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EB83" w14:textId="77777777" w:rsidR="00CB4C2D" w:rsidRDefault="00397949">
      <w:pPr>
        <w:pStyle w:val="Heading1"/>
      </w:pPr>
      <w:bookmarkStart w:id="0" w:name="_Toc234836005"/>
      <w:bookmarkStart w:id="1" w:name="Xb61bfad0102b9c372a00bd2c03f4f142ed93bcd"/>
      <w:r>
        <w:t>Visual Summary: Cultural and Creative Activity in Australia, 2015–16 to 2024–25</w:t>
      </w:r>
      <w:bookmarkEnd w:id="0"/>
    </w:p>
    <w:p w14:paraId="5B46EB84" w14:textId="77777777" w:rsidR="00CB4C2D" w:rsidRDefault="00397949">
      <w:r>
        <w:t> </w:t>
      </w:r>
    </w:p>
    <w:p w14:paraId="5B46EB85" w14:textId="14AF6C9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b/>
          <w:color w:val="000000"/>
        </w:rPr>
        <w:t xml:space="preserve">                          </w:t>
      </w:r>
      <w:r w:rsidR="000F5054">
        <w:rPr>
          <w:rFonts w:ascii="Calibri (Body)" w:eastAsia="Calibri (Body)" w:hAnsi="Calibri (Body)" w:cs="Calibri (Body)"/>
          <w:b/>
          <w:color w:val="000000"/>
        </w:rPr>
        <w:t>September</w:t>
      </w:r>
      <w:r>
        <w:rPr>
          <w:rFonts w:ascii="Calibri (Body)" w:eastAsia="Calibri (Body)" w:hAnsi="Calibri (Body)" w:cs="Calibri (Body)"/>
          <w:b/>
          <w:color w:val="000000"/>
        </w:rPr>
        <w:t xml:space="preserve"> 2026</w:t>
      </w:r>
    </w:p>
    <w:p w14:paraId="5B46EB86" w14:textId="77777777" w:rsidR="00CB4C2D" w:rsidRDefault="00397949">
      <w:r>
        <w:br w:type="page"/>
      </w:r>
    </w:p>
    <w:p w14:paraId="5B46EB87" w14:textId="77777777" w:rsidR="00CB4C2D" w:rsidRDefault="00397949">
      <w:r>
        <w:lastRenderedPageBreak/>
        <w:t>The Department of Infrastructure, Transport, Regional Development, Communications, Sport and the Arts acknowledges the Traditional Custodians of Country throughout Australia and their continuing connection to land, sea and community. We pay our respects to them, their cultures and to their Elders, past, present and emerging.</w:t>
      </w:r>
    </w:p>
    <w:p w14:paraId="5B46EB88" w14:textId="6005D44A" w:rsidR="00CB4C2D" w:rsidRDefault="00397949">
      <w:r>
        <w:t>© Commonwealth of Australia 2026 ISBN:</w:t>
      </w:r>
      <w:r w:rsidR="00ED1B9B" w:rsidRPr="00ED1B9B">
        <w:t xml:space="preserve"> </w:t>
      </w:r>
      <w:r w:rsidR="00ED1B9B" w:rsidRPr="006A406B">
        <w:t>978-1-923111-30-1</w:t>
      </w:r>
      <w:r>
        <w:t xml:space="preserve"> / BCARR reference:</w:t>
      </w:r>
      <w:r w:rsidR="006A406B">
        <w:t xml:space="preserve"> </w:t>
      </w:r>
      <w:r w:rsidR="00ED1B9B" w:rsidRPr="00ED1B9B">
        <w:t>2026-103</w:t>
      </w:r>
    </w:p>
    <w:p w14:paraId="5B46EB89" w14:textId="77777777" w:rsidR="00CB4C2D" w:rsidRDefault="00397949">
      <w:pPr>
        <w:pStyle w:val="Heading2"/>
      </w:pPr>
      <w:bookmarkStart w:id="2" w:name="_Toc234836006"/>
      <w:bookmarkStart w:id="3" w:name="X9849c867c1d3fc7c7e81a6a2109af076ffb52be"/>
      <w:r>
        <w:rPr>
          <w:b/>
          <w:bCs/>
        </w:rPr>
        <w:t>Ownership of intellectual property rights in this publication</w:t>
      </w:r>
      <w:bookmarkEnd w:id="2"/>
    </w:p>
    <w:p w14:paraId="5B46EB8A" w14:textId="77777777" w:rsidR="00CB4C2D" w:rsidRDefault="00397949">
      <w:r>
        <w:t>Unless otherwise noted, copyright (and any other intellectual property rights, if any) in this publication is owned by the Commonwealth of Australia (referred to below as the Commonwealth).</w:t>
      </w:r>
    </w:p>
    <w:p w14:paraId="5B46EB8B" w14:textId="77777777" w:rsidR="00CB4C2D" w:rsidRDefault="00397949">
      <w:pPr>
        <w:pStyle w:val="Heading2"/>
      </w:pPr>
      <w:bookmarkStart w:id="4" w:name="_Toc234836007"/>
      <w:bookmarkStart w:id="5" w:name="disclaimer"/>
      <w:bookmarkEnd w:id="3"/>
      <w:r>
        <w:rPr>
          <w:b/>
          <w:bCs/>
        </w:rPr>
        <w:t>Disclaimer</w:t>
      </w:r>
      <w:bookmarkEnd w:id="4"/>
    </w:p>
    <w:p w14:paraId="5B46EB8C" w14:textId="77777777" w:rsidR="00CB4C2D" w:rsidRDefault="00397949">
      <w:r>
        <w:t xml:space="preserve">The material contained in this publication is made available on the understanding that the Commonwealth is not providing professional advice, and that users exercise their own skill and care with respect to its </w:t>
      </w:r>
      <w:proofErr w:type="gramStart"/>
      <w:r>
        <w:t>use, and</w:t>
      </w:r>
      <w:proofErr w:type="gramEnd"/>
      <w:r>
        <w:t xml:space="preserve"> seek independent advice if necessary. The Commonwealth makes no representations or warranties as to the contents or accuracy of the information contained in this publication. To the extent permitted by law, the Commonwealth disclaims liability to any person or organisation in respect of anything done, or omitted to be done, in reliance upon information contained in this publication.</w:t>
      </w:r>
    </w:p>
    <w:p w14:paraId="5B46EB8D" w14:textId="77777777" w:rsidR="00CB4C2D" w:rsidRDefault="00397949">
      <w:r>
        <w:rPr>
          <w:b/>
          <w:bCs/>
        </w:rPr>
        <w:t>Creative Commons licence</w:t>
      </w:r>
      <w:r>
        <w:t xml:space="preserve">  </w:t>
      </w:r>
    </w:p>
    <w:p w14:paraId="5B46EB8E" w14:textId="77777777" w:rsidR="00CB4C2D" w:rsidRDefault="00397949">
      <w:hyperlink r:id="rId8">
        <w:r>
          <w:rPr>
            <w:noProof/>
          </w:rPr>
          <w:drawing>
            <wp:inline distT="0" distB="0" distL="0" distR="0" wp14:anchorId="5B46F495" wp14:editId="5B46F496">
              <wp:extent cx="650837" cy="228600"/>
              <wp:effectExtent l="0" t="0" r="0" b="0"/>
              <wp:docPr id="22" name="Picture" descr="CC BY"/>
              <wp:cNvGraphicFramePr/>
              <a:graphic xmlns:a="http://schemas.openxmlformats.org/drawingml/2006/main">
                <a:graphicData uri="http://schemas.openxmlformats.org/drawingml/2006/picture">
                  <pic:pic xmlns:pic="http://schemas.openxmlformats.org/drawingml/2006/picture">
                    <pic:nvPicPr>
                      <pic:cNvPr id="23" name="Picture" descr="C:/Users/tli/Downloads/CCA_PHASE1/FY_2025-26_TEST/INPUT_TEST1/cc-by.png"/>
                      <pic:cNvPicPr>
                        <a:picLocks noChangeAspect="1" noChangeArrowheads="1"/>
                      </pic:cNvPicPr>
                    </pic:nvPicPr>
                    <pic:blipFill>
                      <a:blip r:embed="rId9"/>
                      <a:stretch>
                        <a:fillRect/>
                      </a:stretch>
                    </pic:blipFill>
                    <pic:spPr bwMode="auto">
                      <a:xfrm>
                        <a:off x="0" y="0"/>
                        <a:ext cx="650837" cy="228600"/>
                      </a:xfrm>
                      <a:prstGeom prst="rect">
                        <a:avLst/>
                      </a:prstGeom>
                      <a:noFill/>
                      <a:ln w="9525">
                        <a:noFill/>
                        <a:headEnd/>
                        <a:tailEnd/>
                      </a:ln>
                    </pic:spPr>
                  </pic:pic>
                </a:graphicData>
              </a:graphic>
            </wp:inline>
          </w:drawing>
        </w:r>
      </w:hyperlink>
    </w:p>
    <w:p w14:paraId="5B46EB8F" w14:textId="77777777" w:rsidR="00CB4C2D" w:rsidRDefault="00397949">
      <w:r>
        <w:t>With the exception of (a) the Coat of Arms; (b) the Department of Infrastructure, Transport, Regional Development, Communications, Sport and the Arts photos and graphics; (c) content supplied by third parties; (d) content otherwise labelled; copyright in this publication is licensed under a Creative Commons BY Attribution 4.0 International Licence.</w:t>
      </w:r>
    </w:p>
    <w:p w14:paraId="5B46EB90" w14:textId="77777777" w:rsidR="00CB4C2D" w:rsidRDefault="00397949">
      <w:pPr>
        <w:pStyle w:val="Heading2"/>
      </w:pPr>
      <w:bookmarkStart w:id="6" w:name="_Toc234836008"/>
      <w:bookmarkStart w:id="7" w:name="use-of-the-coat-of-arms"/>
      <w:bookmarkEnd w:id="5"/>
      <w:r>
        <w:rPr>
          <w:b/>
          <w:bCs/>
        </w:rPr>
        <w:t>Use of the Coat of Arms</w:t>
      </w:r>
      <w:bookmarkEnd w:id="6"/>
    </w:p>
    <w:p w14:paraId="5B46EB91" w14:textId="77777777" w:rsidR="00CB4C2D" w:rsidRDefault="00397949">
      <w:r>
        <w:t>The Department of the Prime Minister and Cabinet (PM&amp;C) sets the terms under which the Coat of Arms is used. Please refer to the Commonwealth Coat of Arms Information and Guidelines | PM&amp;C.</w:t>
      </w:r>
    </w:p>
    <w:p w14:paraId="5B46EB92" w14:textId="77777777" w:rsidR="00CB4C2D" w:rsidRDefault="00397949">
      <w:pPr>
        <w:pStyle w:val="Heading2"/>
      </w:pPr>
      <w:bookmarkStart w:id="8" w:name="_Toc234836009"/>
      <w:bookmarkStart w:id="9" w:name="contact-us"/>
      <w:bookmarkEnd w:id="7"/>
      <w:r>
        <w:rPr>
          <w:b/>
          <w:bCs/>
        </w:rPr>
        <w:t>Contact us</w:t>
      </w:r>
      <w:bookmarkEnd w:id="8"/>
    </w:p>
    <w:p w14:paraId="5B46EB93" w14:textId="77777777" w:rsidR="00CB4C2D" w:rsidRDefault="00397949">
      <w:r>
        <w:t>This publication is available in PDF format. All other rights are reserved, including in relation to any departmental logos or trademarks which may exist. For enquiries regarding the licence and any use of this publication, please contact:</w:t>
      </w:r>
    </w:p>
    <w:p w14:paraId="5B46EB94" w14:textId="77777777" w:rsidR="00CB4C2D" w:rsidRDefault="00397949">
      <w:r>
        <w:t xml:space="preserve">Email: </w:t>
      </w:r>
      <w:hyperlink r:id="rId10">
        <w:r>
          <w:rPr>
            <w:rStyle w:val="Hyperlink"/>
          </w:rPr>
          <w:t>BCARR@infrastructure.gov.au</w:t>
        </w:r>
      </w:hyperlink>
    </w:p>
    <w:p w14:paraId="5B46EB95" w14:textId="0B81C2D0" w:rsidR="00CB4C2D" w:rsidRDefault="00397949">
      <w:r>
        <w:t xml:space="preserve">Website: </w:t>
      </w:r>
      <w:hyperlink r:id="rId11" w:history="1">
        <w:r w:rsidR="00DB09FB" w:rsidRPr="005D1659">
          <w:rPr>
            <w:rStyle w:val="Hyperlink"/>
          </w:rPr>
          <w:t>https://www.bitre.gov.au/resource/arts/cultural-and-creative-activity</w:t>
        </w:r>
      </w:hyperlink>
      <w:r w:rsidR="00DB09FB">
        <w:t xml:space="preserve"> </w:t>
      </w:r>
    </w:p>
    <w:p w14:paraId="5B46EB96" w14:textId="77777777" w:rsidR="00CB4C2D" w:rsidRDefault="00397949">
      <w:r>
        <w:br w:type="page"/>
      </w:r>
    </w:p>
    <w:p w14:paraId="5B46EB97" w14:textId="30B48950" w:rsidR="00CB4C2D" w:rsidRDefault="00397949">
      <w:pPr>
        <w:pStyle w:val="Heading2"/>
      </w:pPr>
      <w:bookmarkStart w:id="10" w:name="_Toc234836010"/>
      <w:bookmarkStart w:id="11" w:name="content"/>
      <w:bookmarkEnd w:id="9"/>
      <w:r>
        <w:rPr>
          <w:b/>
          <w:bCs/>
        </w:rPr>
        <w:lastRenderedPageBreak/>
        <w:t>Content</w:t>
      </w:r>
      <w:bookmarkEnd w:id="10"/>
      <w:r w:rsidR="00171E0D">
        <w:rPr>
          <w:b/>
          <w:bCs/>
        </w:rPr>
        <w:t>s</w:t>
      </w:r>
    </w:p>
    <w:p w14:paraId="33A8BA43" w14:textId="3E4FDCC5" w:rsidR="00FF3026" w:rsidRDefault="00397949" w:rsidP="00171E0D">
      <w:pPr>
        <w:pStyle w:val="TOC1"/>
        <w:rPr>
          <w:rFonts w:eastAsiaTheme="minorEastAsia"/>
          <w:noProof/>
          <w:color w:val="auto"/>
          <w:kern w:val="2"/>
          <w:szCs w:val="24"/>
          <w:lang w:eastAsia="zh-CN"/>
          <w14:ligatures w14:val="standardContextual"/>
        </w:rPr>
      </w:pPr>
      <w:r>
        <w:fldChar w:fldCharType="begin"/>
      </w:r>
      <w:r>
        <w:instrText>TOC \o "1-2" \h \z \u</w:instrText>
      </w:r>
      <w:r>
        <w:fldChar w:fldCharType="separate"/>
      </w:r>
      <w:hyperlink w:anchor="_Toc234836011" w:history="1">
        <w:r w:rsidR="00FF3026" w:rsidRPr="007F1627">
          <w:rPr>
            <w:rStyle w:val="Hyperlink"/>
            <w:noProof/>
          </w:rPr>
          <w:t>About this document</w:t>
        </w:r>
        <w:r w:rsidR="00FF3026">
          <w:rPr>
            <w:noProof/>
            <w:webHidden/>
          </w:rPr>
          <w:tab/>
        </w:r>
        <w:r w:rsidR="00FF3026">
          <w:rPr>
            <w:noProof/>
            <w:webHidden/>
          </w:rPr>
          <w:fldChar w:fldCharType="begin"/>
        </w:r>
        <w:r w:rsidR="00FF3026">
          <w:rPr>
            <w:noProof/>
            <w:webHidden/>
          </w:rPr>
          <w:instrText xml:space="preserve"> PAGEREF _Toc234836011 \h </w:instrText>
        </w:r>
        <w:r w:rsidR="00FF3026">
          <w:rPr>
            <w:noProof/>
            <w:webHidden/>
          </w:rPr>
        </w:r>
        <w:r w:rsidR="00FF3026">
          <w:rPr>
            <w:noProof/>
            <w:webHidden/>
          </w:rPr>
          <w:fldChar w:fldCharType="separate"/>
        </w:r>
        <w:r w:rsidR="00FF3026">
          <w:rPr>
            <w:noProof/>
            <w:webHidden/>
          </w:rPr>
          <w:t>6</w:t>
        </w:r>
        <w:r w:rsidR="00FF3026">
          <w:rPr>
            <w:noProof/>
            <w:webHidden/>
          </w:rPr>
          <w:fldChar w:fldCharType="end"/>
        </w:r>
      </w:hyperlink>
    </w:p>
    <w:p w14:paraId="6AFE76C7" w14:textId="29C81BDE"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2" w:history="1">
        <w:r w:rsidRPr="007F1627">
          <w:rPr>
            <w:rStyle w:val="Hyperlink"/>
            <w:b/>
            <w:bCs/>
            <w:noProof/>
          </w:rPr>
          <w:t>Table 1: Cultural and creative activity 2015–16 and 2024–25</w:t>
        </w:r>
        <w:r>
          <w:rPr>
            <w:noProof/>
            <w:webHidden/>
          </w:rPr>
          <w:tab/>
        </w:r>
        <w:r>
          <w:rPr>
            <w:noProof/>
            <w:webHidden/>
          </w:rPr>
          <w:fldChar w:fldCharType="begin"/>
        </w:r>
        <w:r>
          <w:rPr>
            <w:noProof/>
            <w:webHidden/>
          </w:rPr>
          <w:instrText xml:space="preserve"> PAGEREF _Toc234836012 \h </w:instrText>
        </w:r>
        <w:r>
          <w:rPr>
            <w:noProof/>
            <w:webHidden/>
          </w:rPr>
        </w:r>
        <w:r>
          <w:rPr>
            <w:noProof/>
            <w:webHidden/>
          </w:rPr>
          <w:fldChar w:fldCharType="separate"/>
        </w:r>
        <w:r>
          <w:rPr>
            <w:noProof/>
            <w:webHidden/>
          </w:rPr>
          <w:t>7</w:t>
        </w:r>
        <w:r>
          <w:rPr>
            <w:noProof/>
            <w:webHidden/>
          </w:rPr>
          <w:fldChar w:fldCharType="end"/>
        </w:r>
      </w:hyperlink>
    </w:p>
    <w:p w14:paraId="3F1F9359" w14:textId="00415E87"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3" w:history="1">
        <w:r w:rsidRPr="007F1627">
          <w:rPr>
            <w:rStyle w:val="Hyperlink"/>
            <w:b/>
            <w:bCs/>
            <w:noProof/>
          </w:rPr>
          <w:t>Table 2: Cultural and creative activity components and share of GDP, 2015–16 to 2024–25</w:t>
        </w:r>
        <w:r>
          <w:rPr>
            <w:noProof/>
            <w:webHidden/>
          </w:rPr>
          <w:tab/>
        </w:r>
        <w:r>
          <w:rPr>
            <w:noProof/>
            <w:webHidden/>
          </w:rPr>
          <w:fldChar w:fldCharType="begin"/>
        </w:r>
        <w:r>
          <w:rPr>
            <w:noProof/>
            <w:webHidden/>
          </w:rPr>
          <w:instrText xml:space="preserve"> PAGEREF _Toc234836013 \h </w:instrText>
        </w:r>
        <w:r>
          <w:rPr>
            <w:noProof/>
            <w:webHidden/>
          </w:rPr>
        </w:r>
        <w:r>
          <w:rPr>
            <w:noProof/>
            <w:webHidden/>
          </w:rPr>
          <w:fldChar w:fldCharType="separate"/>
        </w:r>
        <w:r>
          <w:rPr>
            <w:noProof/>
            <w:webHidden/>
          </w:rPr>
          <w:t>8</w:t>
        </w:r>
        <w:r>
          <w:rPr>
            <w:noProof/>
            <w:webHidden/>
          </w:rPr>
          <w:fldChar w:fldCharType="end"/>
        </w:r>
      </w:hyperlink>
    </w:p>
    <w:p w14:paraId="39649C44" w14:textId="72D33097"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4" w:history="1">
        <w:r w:rsidRPr="007F1627">
          <w:rPr>
            <w:rStyle w:val="Hyperlink"/>
            <w:b/>
            <w:bCs/>
            <w:noProof/>
          </w:rPr>
          <w:t>Figure 1: Relative to nominal Gross Domestic Product (GDP)</w:t>
        </w:r>
        <w:r>
          <w:rPr>
            <w:noProof/>
            <w:webHidden/>
          </w:rPr>
          <w:tab/>
        </w:r>
        <w:r>
          <w:rPr>
            <w:noProof/>
            <w:webHidden/>
          </w:rPr>
          <w:fldChar w:fldCharType="begin"/>
        </w:r>
        <w:r>
          <w:rPr>
            <w:noProof/>
            <w:webHidden/>
          </w:rPr>
          <w:instrText xml:space="preserve"> PAGEREF _Toc234836014 \h </w:instrText>
        </w:r>
        <w:r>
          <w:rPr>
            <w:noProof/>
            <w:webHidden/>
          </w:rPr>
        </w:r>
        <w:r>
          <w:rPr>
            <w:noProof/>
            <w:webHidden/>
          </w:rPr>
          <w:fldChar w:fldCharType="separate"/>
        </w:r>
        <w:r>
          <w:rPr>
            <w:noProof/>
            <w:webHidden/>
          </w:rPr>
          <w:t>9</w:t>
        </w:r>
        <w:r>
          <w:rPr>
            <w:noProof/>
            <w:webHidden/>
          </w:rPr>
          <w:fldChar w:fldCharType="end"/>
        </w:r>
      </w:hyperlink>
    </w:p>
    <w:p w14:paraId="63CBBBDC" w14:textId="1ED76FDC"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5" w:history="1">
        <w:r w:rsidRPr="007F1627">
          <w:rPr>
            <w:rStyle w:val="Hyperlink"/>
            <w:b/>
            <w:bCs/>
            <w:noProof/>
          </w:rPr>
          <w:t>Figure 2: Cultural and creative GVA and industry share of total economy, 2024–25</w:t>
        </w:r>
        <w:r>
          <w:rPr>
            <w:noProof/>
            <w:webHidden/>
          </w:rPr>
          <w:tab/>
        </w:r>
        <w:r>
          <w:rPr>
            <w:noProof/>
            <w:webHidden/>
          </w:rPr>
          <w:fldChar w:fldCharType="begin"/>
        </w:r>
        <w:r>
          <w:rPr>
            <w:noProof/>
            <w:webHidden/>
          </w:rPr>
          <w:instrText xml:space="preserve"> PAGEREF _Toc234836015 \h </w:instrText>
        </w:r>
        <w:r>
          <w:rPr>
            <w:noProof/>
            <w:webHidden/>
          </w:rPr>
        </w:r>
        <w:r>
          <w:rPr>
            <w:noProof/>
            <w:webHidden/>
          </w:rPr>
          <w:fldChar w:fldCharType="separate"/>
        </w:r>
        <w:r>
          <w:rPr>
            <w:noProof/>
            <w:webHidden/>
          </w:rPr>
          <w:t>10</w:t>
        </w:r>
        <w:r>
          <w:rPr>
            <w:noProof/>
            <w:webHidden/>
          </w:rPr>
          <w:fldChar w:fldCharType="end"/>
        </w:r>
      </w:hyperlink>
    </w:p>
    <w:p w14:paraId="19F2DAFD" w14:textId="599864EC"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6" w:history="1">
        <w:r w:rsidRPr="007F1627">
          <w:rPr>
            <w:rStyle w:val="Hyperlink"/>
            <w:b/>
            <w:bCs/>
            <w:noProof/>
          </w:rPr>
          <w:t>Figure 3: GVA average annual growth rate by industry division, 2015–16 to 2024–25</w:t>
        </w:r>
        <w:r>
          <w:rPr>
            <w:noProof/>
            <w:webHidden/>
          </w:rPr>
          <w:tab/>
        </w:r>
        <w:r>
          <w:rPr>
            <w:noProof/>
            <w:webHidden/>
          </w:rPr>
          <w:fldChar w:fldCharType="begin"/>
        </w:r>
        <w:r>
          <w:rPr>
            <w:noProof/>
            <w:webHidden/>
          </w:rPr>
          <w:instrText xml:space="preserve"> PAGEREF _Toc234836016 \h </w:instrText>
        </w:r>
        <w:r>
          <w:rPr>
            <w:noProof/>
            <w:webHidden/>
          </w:rPr>
        </w:r>
        <w:r>
          <w:rPr>
            <w:noProof/>
            <w:webHidden/>
          </w:rPr>
          <w:fldChar w:fldCharType="separate"/>
        </w:r>
        <w:r>
          <w:rPr>
            <w:noProof/>
            <w:webHidden/>
          </w:rPr>
          <w:t>11</w:t>
        </w:r>
        <w:r>
          <w:rPr>
            <w:noProof/>
            <w:webHidden/>
          </w:rPr>
          <w:fldChar w:fldCharType="end"/>
        </w:r>
      </w:hyperlink>
    </w:p>
    <w:p w14:paraId="14C7DD40" w14:textId="19AD3F31"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7" w:history="1">
        <w:r w:rsidRPr="007F1627">
          <w:rPr>
            <w:rStyle w:val="Hyperlink"/>
            <w:b/>
            <w:bCs/>
            <w:noProof/>
          </w:rPr>
          <w:t>Figure 4: Cultural and creative activity, GDP by domain, 2024–25</w:t>
        </w:r>
        <w:r>
          <w:rPr>
            <w:noProof/>
            <w:webHidden/>
          </w:rPr>
          <w:tab/>
        </w:r>
        <w:r>
          <w:rPr>
            <w:noProof/>
            <w:webHidden/>
          </w:rPr>
          <w:fldChar w:fldCharType="begin"/>
        </w:r>
        <w:r>
          <w:rPr>
            <w:noProof/>
            <w:webHidden/>
          </w:rPr>
          <w:instrText xml:space="preserve"> PAGEREF _Toc234836017 \h </w:instrText>
        </w:r>
        <w:r>
          <w:rPr>
            <w:noProof/>
            <w:webHidden/>
          </w:rPr>
        </w:r>
        <w:r>
          <w:rPr>
            <w:noProof/>
            <w:webHidden/>
          </w:rPr>
          <w:fldChar w:fldCharType="separate"/>
        </w:r>
        <w:r>
          <w:rPr>
            <w:noProof/>
            <w:webHidden/>
          </w:rPr>
          <w:t>12</w:t>
        </w:r>
        <w:r>
          <w:rPr>
            <w:noProof/>
            <w:webHidden/>
          </w:rPr>
          <w:fldChar w:fldCharType="end"/>
        </w:r>
      </w:hyperlink>
    </w:p>
    <w:p w14:paraId="527FA2B6" w14:textId="7BF29251"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8" w:history="1">
        <w:r w:rsidRPr="007F1627">
          <w:rPr>
            <w:rStyle w:val="Hyperlink"/>
            <w:b/>
            <w:bCs/>
            <w:noProof/>
          </w:rPr>
          <w:t>Figure 5: Contribution to cultural and creative activity, GDP by domain, 2015–16 and 2024–25</w:t>
        </w:r>
        <w:r>
          <w:rPr>
            <w:noProof/>
            <w:webHidden/>
          </w:rPr>
          <w:tab/>
        </w:r>
        <w:r>
          <w:rPr>
            <w:noProof/>
            <w:webHidden/>
          </w:rPr>
          <w:fldChar w:fldCharType="begin"/>
        </w:r>
        <w:r>
          <w:rPr>
            <w:noProof/>
            <w:webHidden/>
          </w:rPr>
          <w:instrText xml:space="preserve"> PAGEREF _Toc234836018 \h </w:instrText>
        </w:r>
        <w:r>
          <w:rPr>
            <w:noProof/>
            <w:webHidden/>
          </w:rPr>
        </w:r>
        <w:r>
          <w:rPr>
            <w:noProof/>
            <w:webHidden/>
          </w:rPr>
          <w:fldChar w:fldCharType="separate"/>
        </w:r>
        <w:r>
          <w:rPr>
            <w:noProof/>
            <w:webHidden/>
          </w:rPr>
          <w:t>13</w:t>
        </w:r>
        <w:r>
          <w:rPr>
            <w:noProof/>
            <w:webHidden/>
          </w:rPr>
          <w:fldChar w:fldCharType="end"/>
        </w:r>
      </w:hyperlink>
    </w:p>
    <w:p w14:paraId="0591FE62" w14:textId="01E2C03F"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19" w:history="1">
        <w:r w:rsidRPr="007F1627">
          <w:rPr>
            <w:rStyle w:val="Hyperlink"/>
            <w:b/>
            <w:bCs/>
            <w:noProof/>
          </w:rPr>
          <w:t>Figure 6: Nominal GDP growth by domain, between 2015–16 and 2024–25</w:t>
        </w:r>
        <w:r>
          <w:rPr>
            <w:noProof/>
            <w:webHidden/>
          </w:rPr>
          <w:tab/>
        </w:r>
        <w:r>
          <w:rPr>
            <w:noProof/>
            <w:webHidden/>
          </w:rPr>
          <w:fldChar w:fldCharType="begin"/>
        </w:r>
        <w:r>
          <w:rPr>
            <w:noProof/>
            <w:webHidden/>
          </w:rPr>
          <w:instrText xml:space="preserve"> PAGEREF _Toc234836019 \h </w:instrText>
        </w:r>
        <w:r>
          <w:rPr>
            <w:noProof/>
            <w:webHidden/>
          </w:rPr>
        </w:r>
        <w:r>
          <w:rPr>
            <w:noProof/>
            <w:webHidden/>
          </w:rPr>
          <w:fldChar w:fldCharType="separate"/>
        </w:r>
        <w:r>
          <w:rPr>
            <w:noProof/>
            <w:webHidden/>
          </w:rPr>
          <w:t>14</w:t>
        </w:r>
        <w:r>
          <w:rPr>
            <w:noProof/>
            <w:webHidden/>
          </w:rPr>
          <w:fldChar w:fldCharType="end"/>
        </w:r>
      </w:hyperlink>
    </w:p>
    <w:p w14:paraId="4CD8960C" w14:textId="5B63D6B2"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0" w:history="1">
        <w:r w:rsidRPr="007F1627">
          <w:rPr>
            <w:rStyle w:val="Hyperlink"/>
            <w:b/>
            <w:bCs/>
            <w:noProof/>
          </w:rPr>
          <w:t>Figure 7: GDP average annual growth rate by domain, between 2015–16 and 2024–25</w:t>
        </w:r>
        <w:r>
          <w:rPr>
            <w:noProof/>
            <w:webHidden/>
          </w:rPr>
          <w:tab/>
        </w:r>
        <w:r>
          <w:rPr>
            <w:noProof/>
            <w:webHidden/>
          </w:rPr>
          <w:fldChar w:fldCharType="begin"/>
        </w:r>
        <w:r>
          <w:rPr>
            <w:noProof/>
            <w:webHidden/>
          </w:rPr>
          <w:instrText xml:space="preserve"> PAGEREF _Toc234836020 \h </w:instrText>
        </w:r>
        <w:r>
          <w:rPr>
            <w:noProof/>
            <w:webHidden/>
          </w:rPr>
        </w:r>
        <w:r>
          <w:rPr>
            <w:noProof/>
            <w:webHidden/>
          </w:rPr>
          <w:fldChar w:fldCharType="separate"/>
        </w:r>
        <w:r>
          <w:rPr>
            <w:noProof/>
            <w:webHidden/>
          </w:rPr>
          <w:t>15</w:t>
        </w:r>
        <w:r>
          <w:rPr>
            <w:noProof/>
            <w:webHidden/>
          </w:rPr>
          <w:fldChar w:fldCharType="end"/>
        </w:r>
      </w:hyperlink>
    </w:p>
    <w:p w14:paraId="2C0116CA" w14:textId="77E04D99"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1" w:history="1">
        <w:r w:rsidRPr="007F1627">
          <w:rPr>
            <w:rStyle w:val="Hyperlink"/>
            <w:b/>
            <w:bCs/>
            <w:noProof/>
          </w:rPr>
          <w:t>Table 3: Literature, creative and performing arts, 2015–16 to 2024–25</w:t>
        </w:r>
        <w:r>
          <w:rPr>
            <w:noProof/>
            <w:webHidden/>
          </w:rPr>
          <w:tab/>
        </w:r>
        <w:r>
          <w:rPr>
            <w:noProof/>
            <w:webHidden/>
          </w:rPr>
          <w:fldChar w:fldCharType="begin"/>
        </w:r>
        <w:r>
          <w:rPr>
            <w:noProof/>
            <w:webHidden/>
          </w:rPr>
          <w:instrText xml:space="preserve"> PAGEREF _Toc234836021 \h </w:instrText>
        </w:r>
        <w:r>
          <w:rPr>
            <w:noProof/>
            <w:webHidden/>
          </w:rPr>
        </w:r>
        <w:r>
          <w:rPr>
            <w:noProof/>
            <w:webHidden/>
          </w:rPr>
          <w:fldChar w:fldCharType="separate"/>
        </w:r>
        <w:r>
          <w:rPr>
            <w:noProof/>
            <w:webHidden/>
          </w:rPr>
          <w:t>16</w:t>
        </w:r>
        <w:r>
          <w:rPr>
            <w:noProof/>
            <w:webHidden/>
          </w:rPr>
          <w:fldChar w:fldCharType="end"/>
        </w:r>
      </w:hyperlink>
    </w:p>
    <w:p w14:paraId="40D40159" w14:textId="78C5AE78"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2" w:history="1">
        <w:r w:rsidRPr="007F1627">
          <w:rPr>
            <w:rStyle w:val="Hyperlink"/>
            <w:b/>
            <w:bCs/>
            <w:noProof/>
          </w:rPr>
          <w:t>Figure 8: Literature, creative and performing arts, GDP and as a share of overall economy</w:t>
        </w:r>
        <w:r>
          <w:rPr>
            <w:noProof/>
            <w:webHidden/>
          </w:rPr>
          <w:tab/>
        </w:r>
        <w:r>
          <w:rPr>
            <w:noProof/>
            <w:webHidden/>
          </w:rPr>
          <w:fldChar w:fldCharType="begin"/>
        </w:r>
        <w:r>
          <w:rPr>
            <w:noProof/>
            <w:webHidden/>
          </w:rPr>
          <w:instrText xml:space="preserve"> PAGEREF _Toc234836022 \h </w:instrText>
        </w:r>
        <w:r>
          <w:rPr>
            <w:noProof/>
            <w:webHidden/>
          </w:rPr>
        </w:r>
        <w:r>
          <w:rPr>
            <w:noProof/>
            <w:webHidden/>
          </w:rPr>
          <w:fldChar w:fldCharType="separate"/>
        </w:r>
        <w:r>
          <w:rPr>
            <w:noProof/>
            <w:webHidden/>
          </w:rPr>
          <w:t>17</w:t>
        </w:r>
        <w:r>
          <w:rPr>
            <w:noProof/>
            <w:webHidden/>
          </w:rPr>
          <w:fldChar w:fldCharType="end"/>
        </w:r>
      </w:hyperlink>
    </w:p>
    <w:p w14:paraId="2044957E" w14:textId="234388EA"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3" w:history="1">
        <w:r w:rsidRPr="007F1627">
          <w:rPr>
            <w:rStyle w:val="Hyperlink"/>
            <w:b/>
            <w:bCs/>
            <w:noProof/>
          </w:rPr>
          <w:t>Table 4: Visual arts and crafts, 2015–16 to 2024–25</w:t>
        </w:r>
        <w:r>
          <w:rPr>
            <w:noProof/>
            <w:webHidden/>
          </w:rPr>
          <w:tab/>
        </w:r>
        <w:r>
          <w:rPr>
            <w:noProof/>
            <w:webHidden/>
          </w:rPr>
          <w:fldChar w:fldCharType="begin"/>
        </w:r>
        <w:r>
          <w:rPr>
            <w:noProof/>
            <w:webHidden/>
          </w:rPr>
          <w:instrText xml:space="preserve"> PAGEREF _Toc234836023 \h </w:instrText>
        </w:r>
        <w:r>
          <w:rPr>
            <w:noProof/>
            <w:webHidden/>
          </w:rPr>
        </w:r>
        <w:r>
          <w:rPr>
            <w:noProof/>
            <w:webHidden/>
          </w:rPr>
          <w:fldChar w:fldCharType="separate"/>
        </w:r>
        <w:r>
          <w:rPr>
            <w:noProof/>
            <w:webHidden/>
          </w:rPr>
          <w:t>18</w:t>
        </w:r>
        <w:r>
          <w:rPr>
            <w:noProof/>
            <w:webHidden/>
          </w:rPr>
          <w:fldChar w:fldCharType="end"/>
        </w:r>
      </w:hyperlink>
    </w:p>
    <w:p w14:paraId="0227B44E" w14:textId="16DCB8C3"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4" w:history="1">
        <w:r w:rsidRPr="007F1627">
          <w:rPr>
            <w:rStyle w:val="Hyperlink"/>
            <w:b/>
            <w:bCs/>
            <w:noProof/>
          </w:rPr>
          <w:t>Figure 9: Visual arts and crafts, GDP and as a share of overall economy</w:t>
        </w:r>
        <w:r>
          <w:rPr>
            <w:noProof/>
            <w:webHidden/>
          </w:rPr>
          <w:tab/>
        </w:r>
        <w:r>
          <w:rPr>
            <w:noProof/>
            <w:webHidden/>
          </w:rPr>
          <w:fldChar w:fldCharType="begin"/>
        </w:r>
        <w:r>
          <w:rPr>
            <w:noProof/>
            <w:webHidden/>
          </w:rPr>
          <w:instrText xml:space="preserve"> PAGEREF _Toc234836024 \h </w:instrText>
        </w:r>
        <w:r>
          <w:rPr>
            <w:noProof/>
            <w:webHidden/>
          </w:rPr>
        </w:r>
        <w:r>
          <w:rPr>
            <w:noProof/>
            <w:webHidden/>
          </w:rPr>
          <w:fldChar w:fldCharType="separate"/>
        </w:r>
        <w:r>
          <w:rPr>
            <w:noProof/>
            <w:webHidden/>
          </w:rPr>
          <w:t>19</w:t>
        </w:r>
        <w:r>
          <w:rPr>
            <w:noProof/>
            <w:webHidden/>
          </w:rPr>
          <w:fldChar w:fldCharType="end"/>
        </w:r>
      </w:hyperlink>
    </w:p>
    <w:p w14:paraId="483CCA49" w14:textId="65A1F981"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5" w:history="1">
        <w:r w:rsidRPr="007F1627">
          <w:rPr>
            <w:rStyle w:val="Hyperlink"/>
            <w:b/>
            <w:bCs/>
            <w:noProof/>
          </w:rPr>
          <w:t>Table 5: Music production and distribution, 2015–16 to 2024–25</w:t>
        </w:r>
        <w:r>
          <w:rPr>
            <w:noProof/>
            <w:webHidden/>
          </w:rPr>
          <w:tab/>
        </w:r>
        <w:r>
          <w:rPr>
            <w:noProof/>
            <w:webHidden/>
          </w:rPr>
          <w:fldChar w:fldCharType="begin"/>
        </w:r>
        <w:r>
          <w:rPr>
            <w:noProof/>
            <w:webHidden/>
          </w:rPr>
          <w:instrText xml:space="preserve"> PAGEREF _Toc234836025 \h </w:instrText>
        </w:r>
        <w:r>
          <w:rPr>
            <w:noProof/>
            <w:webHidden/>
          </w:rPr>
        </w:r>
        <w:r>
          <w:rPr>
            <w:noProof/>
            <w:webHidden/>
          </w:rPr>
          <w:fldChar w:fldCharType="separate"/>
        </w:r>
        <w:r>
          <w:rPr>
            <w:noProof/>
            <w:webHidden/>
          </w:rPr>
          <w:t>20</w:t>
        </w:r>
        <w:r>
          <w:rPr>
            <w:noProof/>
            <w:webHidden/>
          </w:rPr>
          <w:fldChar w:fldCharType="end"/>
        </w:r>
      </w:hyperlink>
    </w:p>
    <w:p w14:paraId="5F2923F8" w14:textId="674EA3CC"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6" w:history="1">
        <w:r w:rsidRPr="007F1627">
          <w:rPr>
            <w:rStyle w:val="Hyperlink"/>
            <w:b/>
            <w:bCs/>
            <w:noProof/>
          </w:rPr>
          <w:t>Figure 10: Music production and distribution, GDP and as a share of overall economy</w:t>
        </w:r>
        <w:r>
          <w:rPr>
            <w:noProof/>
            <w:webHidden/>
          </w:rPr>
          <w:tab/>
        </w:r>
        <w:r>
          <w:rPr>
            <w:noProof/>
            <w:webHidden/>
          </w:rPr>
          <w:fldChar w:fldCharType="begin"/>
        </w:r>
        <w:r>
          <w:rPr>
            <w:noProof/>
            <w:webHidden/>
          </w:rPr>
          <w:instrText xml:space="preserve"> PAGEREF _Toc234836026 \h </w:instrText>
        </w:r>
        <w:r>
          <w:rPr>
            <w:noProof/>
            <w:webHidden/>
          </w:rPr>
        </w:r>
        <w:r>
          <w:rPr>
            <w:noProof/>
            <w:webHidden/>
          </w:rPr>
          <w:fldChar w:fldCharType="separate"/>
        </w:r>
        <w:r>
          <w:rPr>
            <w:noProof/>
            <w:webHidden/>
          </w:rPr>
          <w:t>21</w:t>
        </w:r>
        <w:r>
          <w:rPr>
            <w:noProof/>
            <w:webHidden/>
          </w:rPr>
          <w:fldChar w:fldCharType="end"/>
        </w:r>
      </w:hyperlink>
    </w:p>
    <w:p w14:paraId="4855BC95" w14:textId="38D35D90"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7" w:history="1">
        <w:r w:rsidRPr="007F1627">
          <w:rPr>
            <w:rStyle w:val="Hyperlink"/>
            <w:b/>
            <w:bCs/>
            <w:noProof/>
          </w:rPr>
          <w:t>Table 6: Museums and galleries, 2015–16 to 2024–25</w:t>
        </w:r>
        <w:r>
          <w:rPr>
            <w:noProof/>
            <w:webHidden/>
          </w:rPr>
          <w:tab/>
        </w:r>
        <w:r>
          <w:rPr>
            <w:noProof/>
            <w:webHidden/>
          </w:rPr>
          <w:fldChar w:fldCharType="begin"/>
        </w:r>
        <w:r>
          <w:rPr>
            <w:noProof/>
            <w:webHidden/>
          </w:rPr>
          <w:instrText xml:space="preserve"> PAGEREF _Toc234836027 \h </w:instrText>
        </w:r>
        <w:r>
          <w:rPr>
            <w:noProof/>
            <w:webHidden/>
          </w:rPr>
        </w:r>
        <w:r>
          <w:rPr>
            <w:noProof/>
            <w:webHidden/>
          </w:rPr>
          <w:fldChar w:fldCharType="separate"/>
        </w:r>
        <w:r>
          <w:rPr>
            <w:noProof/>
            <w:webHidden/>
          </w:rPr>
          <w:t>22</w:t>
        </w:r>
        <w:r>
          <w:rPr>
            <w:noProof/>
            <w:webHidden/>
          </w:rPr>
          <w:fldChar w:fldCharType="end"/>
        </w:r>
      </w:hyperlink>
    </w:p>
    <w:p w14:paraId="1C3071A7" w14:textId="2065DAC1"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8" w:history="1">
        <w:r w:rsidRPr="007F1627">
          <w:rPr>
            <w:rStyle w:val="Hyperlink"/>
            <w:b/>
            <w:bCs/>
            <w:noProof/>
          </w:rPr>
          <w:t>Figure 11: Museums and galleries, GDP and as a share of overall economy</w:t>
        </w:r>
        <w:r>
          <w:rPr>
            <w:noProof/>
            <w:webHidden/>
          </w:rPr>
          <w:tab/>
        </w:r>
        <w:r>
          <w:rPr>
            <w:noProof/>
            <w:webHidden/>
          </w:rPr>
          <w:fldChar w:fldCharType="begin"/>
        </w:r>
        <w:r>
          <w:rPr>
            <w:noProof/>
            <w:webHidden/>
          </w:rPr>
          <w:instrText xml:space="preserve"> PAGEREF _Toc234836028 \h </w:instrText>
        </w:r>
        <w:r>
          <w:rPr>
            <w:noProof/>
            <w:webHidden/>
          </w:rPr>
        </w:r>
        <w:r>
          <w:rPr>
            <w:noProof/>
            <w:webHidden/>
          </w:rPr>
          <w:fldChar w:fldCharType="separate"/>
        </w:r>
        <w:r>
          <w:rPr>
            <w:noProof/>
            <w:webHidden/>
          </w:rPr>
          <w:t>23</w:t>
        </w:r>
        <w:r>
          <w:rPr>
            <w:noProof/>
            <w:webHidden/>
          </w:rPr>
          <w:fldChar w:fldCharType="end"/>
        </w:r>
      </w:hyperlink>
    </w:p>
    <w:p w14:paraId="0984DF20" w14:textId="7247372D"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29" w:history="1">
        <w:r w:rsidRPr="007F1627">
          <w:rPr>
            <w:rStyle w:val="Hyperlink"/>
            <w:b/>
            <w:bCs/>
            <w:noProof/>
          </w:rPr>
          <w:t>Table 7: Film and television activities, 2015–16 to 2024–25</w:t>
        </w:r>
        <w:r>
          <w:rPr>
            <w:noProof/>
            <w:webHidden/>
          </w:rPr>
          <w:tab/>
        </w:r>
        <w:r>
          <w:rPr>
            <w:noProof/>
            <w:webHidden/>
          </w:rPr>
          <w:fldChar w:fldCharType="begin"/>
        </w:r>
        <w:r>
          <w:rPr>
            <w:noProof/>
            <w:webHidden/>
          </w:rPr>
          <w:instrText xml:space="preserve"> PAGEREF _Toc234836029 \h </w:instrText>
        </w:r>
        <w:r>
          <w:rPr>
            <w:noProof/>
            <w:webHidden/>
          </w:rPr>
        </w:r>
        <w:r>
          <w:rPr>
            <w:noProof/>
            <w:webHidden/>
          </w:rPr>
          <w:fldChar w:fldCharType="separate"/>
        </w:r>
        <w:r>
          <w:rPr>
            <w:noProof/>
            <w:webHidden/>
          </w:rPr>
          <w:t>24</w:t>
        </w:r>
        <w:r>
          <w:rPr>
            <w:noProof/>
            <w:webHidden/>
          </w:rPr>
          <w:fldChar w:fldCharType="end"/>
        </w:r>
      </w:hyperlink>
    </w:p>
    <w:p w14:paraId="49707EBB" w14:textId="3304CAA1"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0" w:history="1">
        <w:r w:rsidRPr="007F1627">
          <w:rPr>
            <w:rStyle w:val="Hyperlink"/>
            <w:b/>
            <w:bCs/>
            <w:noProof/>
          </w:rPr>
          <w:t>Figure 12: Film and television activities, GDP and as a share of overall economy</w:t>
        </w:r>
        <w:r>
          <w:rPr>
            <w:noProof/>
            <w:webHidden/>
          </w:rPr>
          <w:tab/>
        </w:r>
        <w:r>
          <w:rPr>
            <w:noProof/>
            <w:webHidden/>
          </w:rPr>
          <w:fldChar w:fldCharType="begin"/>
        </w:r>
        <w:r>
          <w:rPr>
            <w:noProof/>
            <w:webHidden/>
          </w:rPr>
          <w:instrText xml:space="preserve"> PAGEREF _Toc234836030 \h </w:instrText>
        </w:r>
        <w:r>
          <w:rPr>
            <w:noProof/>
            <w:webHidden/>
          </w:rPr>
        </w:r>
        <w:r>
          <w:rPr>
            <w:noProof/>
            <w:webHidden/>
          </w:rPr>
          <w:fldChar w:fldCharType="separate"/>
        </w:r>
        <w:r>
          <w:rPr>
            <w:noProof/>
            <w:webHidden/>
          </w:rPr>
          <w:t>25</w:t>
        </w:r>
        <w:r>
          <w:rPr>
            <w:noProof/>
            <w:webHidden/>
          </w:rPr>
          <w:fldChar w:fldCharType="end"/>
        </w:r>
      </w:hyperlink>
    </w:p>
    <w:p w14:paraId="7BBA96EF" w14:textId="424C76E7"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1" w:history="1">
        <w:r w:rsidRPr="007F1627">
          <w:rPr>
            <w:rStyle w:val="Hyperlink"/>
            <w:b/>
            <w:bCs/>
            <w:noProof/>
          </w:rPr>
          <w:t>Table 8: Radio broadcasting, 2015–16 to 2024–25</w:t>
        </w:r>
        <w:r>
          <w:rPr>
            <w:noProof/>
            <w:webHidden/>
          </w:rPr>
          <w:tab/>
        </w:r>
        <w:r>
          <w:rPr>
            <w:noProof/>
            <w:webHidden/>
          </w:rPr>
          <w:fldChar w:fldCharType="begin"/>
        </w:r>
        <w:r>
          <w:rPr>
            <w:noProof/>
            <w:webHidden/>
          </w:rPr>
          <w:instrText xml:space="preserve"> PAGEREF _Toc234836031 \h </w:instrText>
        </w:r>
        <w:r>
          <w:rPr>
            <w:noProof/>
            <w:webHidden/>
          </w:rPr>
        </w:r>
        <w:r>
          <w:rPr>
            <w:noProof/>
            <w:webHidden/>
          </w:rPr>
          <w:fldChar w:fldCharType="separate"/>
        </w:r>
        <w:r>
          <w:rPr>
            <w:noProof/>
            <w:webHidden/>
          </w:rPr>
          <w:t>26</w:t>
        </w:r>
        <w:r>
          <w:rPr>
            <w:noProof/>
            <w:webHidden/>
          </w:rPr>
          <w:fldChar w:fldCharType="end"/>
        </w:r>
      </w:hyperlink>
    </w:p>
    <w:p w14:paraId="403D4835" w14:textId="13A014FC"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2" w:history="1">
        <w:r w:rsidRPr="007F1627">
          <w:rPr>
            <w:rStyle w:val="Hyperlink"/>
            <w:b/>
            <w:bCs/>
            <w:noProof/>
          </w:rPr>
          <w:t>Figure 13: Radio broadcasting, GDP and as a share of overall economy</w:t>
        </w:r>
        <w:r>
          <w:rPr>
            <w:noProof/>
            <w:webHidden/>
          </w:rPr>
          <w:tab/>
        </w:r>
        <w:r>
          <w:rPr>
            <w:noProof/>
            <w:webHidden/>
          </w:rPr>
          <w:fldChar w:fldCharType="begin"/>
        </w:r>
        <w:r>
          <w:rPr>
            <w:noProof/>
            <w:webHidden/>
          </w:rPr>
          <w:instrText xml:space="preserve"> PAGEREF _Toc234836032 \h </w:instrText>
        </w:r>
        <w:r>
          <w:rPr>
            <w:noProof/>
            <w:webHidden/>
          </w:rPr>
        </w:r>
        <w:r>
          <w:rPr>
            <w:noProof/>
            <w:webHidden/>
          </w:rPr>
          <w:fldChar w:fldCharType="separate"/>
        </w:r>
        <w:r>
          <w:rPr>
            <w:noProof/>
            <w:webHidden/>
          </w:rPr>
          <w:t>27</w:t>
        </w:r>
        <w:r>
          <w:rPr>
            <w:noProof/>
            <w:webHidden/>
          </w:rPr>
          <w:fldChar w:fldCharType="end"/>
        </w:r>
      </w:hyperlink>
    </w:p>
    <w:p w14:paraId="0A07FCFD" w14:textId="00B9A1BD"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3" w:history="1">
        <w:r w:rsidRPr="007F1627">
          <w:rPr>
            <w:rStyle w:val="Hyperlink"/>
            <w:b/>
            <w:bCs/>
            <w:noProof/>
          </w:rPr>
          <w:t>Table 9: Internet publishing and broadcasting, 2015–16 to 2024–25</w:t>
        </w:r>
        <w:r>
          <w:rPr>
            <w:noProof/>
            <w:webHidden/>
          </w:rPr>
          <w:tab/>
        </w:r>
        <w:r>
          <w:rPr>
            <w:noProof/>
            <w:webHidden/>
          </w:rPr>
          <w:fldChar w:fldCharType="begin"/>
        </w:r>
        <w:r>
          <w:rPr>
            <w:noProof/>
            <w:webHidden/>
          </w:rPr>
          <w:instrText xml:space="preserve"> PAGEREF _Toc234836033 \h </w:instrText>
        </w:r>
        <w:r>
          <w:rPr>
            <w:noProof/>
            <w:webHidden/>
          </w:rPr>
        </w:r>
        <w:r>
          <w:rPr>
            <w:noProof/>
            <w:webHidden/>
          </w:rPr>
          <w:fldChar w:fldCharType="separate"/>
        </w:r>
        <w:r>
          <w:rPr>
            <w:noProof/>
            <w:webHidden/>
          </w:rPr>
          <w:t>28</w:t>
        </w:r>
        <w:r>
          <w:rPr>
            <w:noProof/>
            <w:webHidden/>
          </w:rPr>
          <w:fldChar w:fldCharType="end"/>
        </w:r>
      </w:hyperlink>
    </w:p>
    <w:p w14:paraId="6F812051" w14:textId="4D655CC8"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4" w:history="1">
        <w:r w:rsidRPr="007F1627">
          <w:rPr>
            <w:rStyle w:val="Hyperlink"/>
            <w:b/>
            <w:bCs/>
            <w:noProof/>
          </w:rPr>
          <w:t>Figure 14: Internet publishing and broadcasting, GDP and as a share of overall economy</w:t>
        </w:r>
        <w:r>
          <w:rPr>
            <w:noProof/>
            <w:webHidden/>
          </w:rPr>
          <w:tab/>
        </w:r>
        <w:r>
          <w:rPr>
            <w:noProof/>
            <w:webHidden/>
          </w:rPr>
          <w:fldChar w:fldCharType="begin"/>
        </w:r>
        <w:r>
          <w:rPr>
            <w:noProof/>
            <w:webHidden/>
          </w:rPr>
          <w:instrText xml:space="preserve"> PAGEREF _Toc234836034 \h </w:instrText>
        </w:r>
        <w:r>
          <w:rPr>
            <w:noProof/>
            <w:webHidden/>
          </w:rPr>
        </w:r>
        <w:r>
          <w:rPr>
            <w:noProof/>
            <w:webHidden/>
          </w:rPr>
          <w:fldChar w:fldCharType="separate"/>
        </w:r>
        <w:r>
          <w:rPr>
            <w:noProof/>
            <w:webHidden/>
          </w:rPr>
          <w:t>29</w:t>
        </w:r>
        <w:r>
          <w:rPr>
            <w:noProof/>
            <w:webHidden/>
          </w:rPr>
          <w:fldChar w:fldCharType="end"/>
        </w:r>
      </w:hyperlink>
    </w:p>
    <w:p w14:paraId="47C1BC49" w14:textId="151E7FFF"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5" w:history="1">
        <w:r w:rsidRPr="007F1627">
          <w:rPr>
            <w:rStyle w:val="Hyperlink"/>
            <w:b/>
            <w:bCs/>
            <w:noProof/>
          </w:rPr>
          <w:t>Table 10: Libraries and archives, 2015–16 to 2024–25</w:t>
        </w:r>
        <w:r>
          <w:rPr>
            <w:noProof/>
            <w:webHidden/>
          </w:rPr>
          <w:tab/>
        </w:r>
        <w:r>
          <w:rPr>
            <w:noProof/>
            <w:webHidden/>
          </w:rPr>
          <w:fldChar w:fldCharType="begin"/>
        </w:r>
        <w:r>
          <w:rPr>
            <w:noProof/>
            <w:webHidden/>
          </w:rPr>
          <w:instrText xml:space="preserve"> PAGEREF _Toc234836035 \h </w:instrText>
        </w:r>
        <w:r>
          <w:rPr>
            <w:noProof/>
            <w:webHidden/>
          </w:rPr>
        </w:r>
        <w:r>
          <w:rPr>
            <w:noProof/>
            <w:webHidden/>
          </w:rPr>
          <w:fldChar w:fldCharType="separate"/>
        </w:r>
        <w:r>
          <w:rPr>
            <w:noProof/>
            <w:webHidden/>
          </w:rPr>
          <w:t>30</w:t>
        </w:r>
        <w:r>
          <w:rPr>
            <w:noProof/>
            <w:webHidden/>
          </w:rPr>
          <w:fldChar w:fldCharType="end"/>
        </w:r>
      </w:hyperlink>
    </w:p>
    <w:p w14:paraId="6E6115E8" w14:textId="683CBDF6"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6" w:history="1">
        <w:r w:rsidRPr="007F1627">
          <w:rPr>
            <w:rStyle w:val="Hyperlink"/>
            <w:b/>
            <w:bCs/>
            <w:noProof/>
          </w:rPr>
          <w:t>Figure 15: Libraries and archives, GDP and as a share of overall economy</w:t>
        </w:r>
        <w:r>
          <w:rPr>
            <w:noProof/>
            <w:webHidden/>
          </w:rPr>
          <w:tab/>
        </w:r>
        <w:r>
          <w:rPr>
            <w:noProof/>
            <w:webHidden/>
          </w:rPr>
          <w:fldChar w:fldCharType="begin"/>
        </w:r>
        <w:r>
          <w:rPr>
            <w:noProof/>
            <w:webHidden/>
          </w:rPr>
          <w:instrText xml:space="preserve"> PAGEREF _Toc234836036 \h </w:instrText>
        </w:r>
        <w:r>
          <w:rPr>
            <w:noProof/>
            <w:webHidden/>
          </w:rPr>
        </w:r>
        <w:r>
          <w:rPr>
            <w:noProof/>
            <w:webHidden/>
          </w:rPr>
          <w:fldChar w:fldCharType="separate"/>
        </w:r>
        <w:r>
          <w:rPr>
            <w:noProof/>
            <w:webHidden/>
          </w:rPr>
          <w:t>31</w:t>
        </w:r>
        <w:r>
          <w:rPr>
            <w:noProof/>
            <w:webHidden/>
          </w:rPr>
          <w:fldChar w:fldCharType="end"/>
        </w:r>
      </w:hyperlink>
    </w:p>
    <w:p w14:paraId="1D9259DF" w14:textId="0FD25F91"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7" w:history="1">
        <w:r w:rsidRPr="007F1627">
          <w:rPr>
            <w:rStyle w:val="Hyperlink"/>
            <w:b/>
            <w:bCs/>
            <w:noProof/>
          </w:rPr>
          <w:t>Table 11: Print media and publishing (excl. internet), 2015–16 to 2024–25</w:t>
        </w:r>
        <w:r>
          <w:rPr>
            <w:noProof/>
            <w:webHidden/>
          </w:rPr>
          <w:tab/>
        </w:r>
        <w:r>
          <w:rPr>
            <w:noProof/>
            <w:webHidden/>
          </w:rPr>
          <w:fldChar w:fldCharType="begin"/>
        </w:r>
        <w:r>
          <w:rPr>
            <w:noProof/>
            <w:webHidden/>
          </w:rPr>
          <w:instrText xml:space="preserve"> PAGEREF _Toc234836037 \h </w:instrText>
        </w:r>
        <w:r>
          <w:rPr>
            <w:noProof/>
            <w:webHidden/>
          </w:rPr>
        </w:r>
        <w:r>
          <w:rPr>
            <w:noProof/>
            <w:webHidden/>
          </w:rPr>
          <w:fldChar w:fldCharType="separate"/>
        </w:r>
        <w:r>
          <w:rPr>
            <w:noProof/>
            <w:webHidden/>
          </w:rPr>
          <w:t>32</w:t>
        </w:r>
        <w:r>
          <w:rPr>
            <w:noProof/>
            <w:webHidden/>
          </w:rPr>
          <w:fldChar w:fldCharType="end"/>
        </w:r>
      </w:hyperlink>
    </w:p>
    <w:p w14:paraId="128E8BC4" w14:textId="3157A9E9"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8" w:history="1">
        <w:r w:rsidRPr="007F1627">
          <w:rPr>
            <w:rStyle w:val="Hyperlink"/>
            <w:b/>
            <w:bCs/>
            <w:noProof/>
          </w:rPr>
          <w:t>Figure 16: Print media and publishing (excl. internet), GDP and as a share of overall economy</w:t>
        </w:r>
        <w:r>
          <w:rPr>
            <w:noProof/>
            <w:webHidden/>
          </w:rPr>
          <w:tab/>
        </w:r>
        <w:r>
          <w:rPr>
            <w:noProof/>
            <w:webHidden/>
          </w:rPr>
          <w:fldChar w:fldCharType="begin"/>
        </w:r>
        <w:r>
          <w:rPr>
            <w:noProof/>
            <w:webHidden/>
          </w:rPr>
          <w:instrText xml:space="preserve"> PAGEREF _Toc234836038 \h </w:instrText>
        </w:r>
        <w:r>
          <w:rPr>
            <w:noProof/>
            <w:webHidden/>
          </w:rPr>
        </w:r>
        <w:r>
          <w:rPr>
            <w:noProof/>
            <w:webHidden/>
          </w:rPr>
          <w:fldChar w:fldCharType="separate"/>
        </w:r>
        <w:r>
          <w:rPr>
            <w:noProof/>
            <w:webHidden/>
          </w:rPr>
          <w:t>33</w:t>
        </w:r>
        <w:r>
          <w:rPr>
            <w:noProof/>
            <w:webHidden/>
          </w:rPr>
          <w:fldChar w:fldCharType="end"/>
        </w:r>
      </w:hyperlink>
    </w:p>
    <w:p w14:paraId="0194AA2F" w14:textId="1AD4BDA4"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39" w:history="1">
        <w:r w:rsidRPr="007F1627">
          <w:rPr>
            <w:rStyle w:val="Hyperlink"/>
            <w:b/>
            <w:bCs/>
            <w:noProof/>
          </w:rPr>
          <w:t>Table 12: Architecture services, 2015–16 to 2024–25</w:t>
        </w:r>
        <w:r>
          <w:rPr>
            <w:noProof/>
            <w:webHidden/>
          </w:rPr>
          <w:tab/>
        </w:r>
        <w:r>
          <w:rPr>
            <w:noProof/>
            <w:webHidden/>
          </w:rPr>
          <w:fldChar w:fldCharType="begin"/>
        </w:r>
        <w:r>
          <w:rPr>
            <w:noProof/>
            <w:webHidden/>
          </w:rPr>
          <w:instrText xml:space="preserve"> PAGEREF _Toc234836039 \h </w:instrText>
        </w:r>
        <w:r>
          <w:rPr>
            <w:noProof/>
            <w:webHidden/>
          </w:rPr>
        </w:r>
        <w:r>
          <w:rPr>
            <w:noProof/>
            <w:webHidden/>
          </w:rPr>
          <w:fldChar w:fldCharType="separate"/>
        </w:r>
        <w:r>
          <w:rPr>
            <w:noProof/>
            <w:webHidden/>
          </w:rPr>
          <w:t>34</w:t>
        </w:r>
        <w:r>
          <w:rPr>
            <w:noProof/>
            <w:webHidden/>
          </w:rPr>
          <w:fldChar w:fldCharType="end"/>
        </w:r>
      </w:hyperlink>
    </w:p>
    <w:p w14:paraId="3F518798" w14:textId="264FFCC2"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0" w:history="1">
        <w:r w:rsidRPr="007F1627">
          <w:rPr>
            <w:rStyle w:val="Hyperlink"/>
            <w:b/>
            <w:bCs/>
            <w:noProof/>
          </w:rPr>
          <w:t>Figure 17: Architecture services, GDP and as a share of overall economy</w:t>
        </w:r>
        <w:r>
          <w:rPr>
            <w:noProof/>
            <w:webHidden/>
          </w:rPr>
          <w:tab/>
        </w:r>
        <w:r>
          <w:rPr>
            <w:noProof/>
            <w:webHidden/>
          </w:rPr>
          <w:fldChar w:fldCharType="begin"/>
        </w:r>
        <w:r>
          <w:rPr>
            <w:noProof/>
            <w:webHidden/>
          </w:rPr>
          <w:instrText xml:space="preserve"> PAGEREF _Toc234836040 \h </w:instrText>
        </w:r>
        <w:r>
          <w:rPr>
            <w:noProof/>
            <w:webHidden/>
          </w:rPr>
        </w:r>
        <w:r>
          <w:rPr>
            <w:noProof/>
            <w:webHidden/>
          </w:rPr>
          <w:fldChar w:fldCharType="separate"/>
        </w:r>
        <w:r>
          <w:rPr>
            <w:noProof/>
            <w:webHidden/>
          </w:rPr>
          <w:t>35</w:t>
        </w:r>
        <w:r>
          <w:rPr>
            <w:noProof/>
            <w:webHidden/>
          </w:rPr>
          <w:fldChar w:fldCharType="end"/>
        </w:r>
      </w:hyperlink>
    </w:p>
    <w:p w14:paraId="35CBA6BD" w14:textId="52DC4AA8"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1" w:history="1">
        <w:r w:rsidRPr="007F1627">
          <w:rPr>
            <w:rStyle w:val="Hyperlink"/>
            <w:b/>
            <w:bCs/>
            <w:noProof/>
          </w:rPr>
          <w:t>Table 13: Design and fashion, 2015–16 to 2024–25</w:t>
        </w:r>
        <w:r>
          <w:rPr>
            <w:noProof/>
            <w:webHidden/>
          </w:rPr>
          <w:tab/>
        </w:r>
        <w:r>
          <w:rPr>
            <w:noProof/>
            <w:webHidden/>
          </w:rPr>
          <w:fldChar w:fldCharType="begin"/>
        </w:r>
        <w:r>
          <w:rPr>
            <w:noProof/>
            <w:webHidden/>
          </w:rPr>
          <w:instrText xml:space="preserve"> PAGEREF _Toc234836041 \h </w:instrText>
        </w:r>
        <w:r>
          <w:rPr>
            <w:noProof/>
            <w:webHidden/>
          </w:rPr>
        </w:r>
        <w:r>
          <w:rPr>
            <w:noProof/>
            <w:webHidden/>
          </w:rPr>
          <w:fldChar w:fldCharType="separate"/>
        </w:r>
        <w:r>
          <w:rPr>
            <w:noProof/>
            <w:webHidden/>
          </w:rPr>
          <w:t>36</w:t>
        </w:r>
        <w:r>
          <w:rPr>
            <w:noProof/>
            <w:webHidden/>
          </w:rPr>
          <w:fldChar w:fldCharType="end"/>
        </w:r>
      </w:hyperlink>
    </w:p>
    <w:p w14:paraId="60C881C4" w14:textId="052CBCAB"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2" w:history="1">
        <w:r w:rsidRPr="007F1627">
          <w:rPr>
            <w:rStyle w:val="Hyperlink"/>
            <w:b/>
            <w:bCs/>
            <w:noProof/>
          </w:rPr>
          <w:t>Figure 18: Design and fashion, GDP and as a share of overall economy</w:t>
        </w:r>
        <w:r>
          <w:rPr>
            <w:noProof/>
            <w:webHidden/>
          </w:rPr>
          <w:tab/>
        </w:r>
        <w:r>
          <w:rPr>
            <w:noProof/>
            <w:webHidden/>
          </w:rPr>
          <w:fldChar w:fldCharType="begin"/>
        </w:r>
        <w:r>
          <w:rPr>
            <w:noProof/>
            <w:webHidden/>
          </w:rPr>
          <w:instrText xml:space="preserve"> PAGEREF _Toc234836042 \h </w:instrText>
        </w:r>
        <w:r>
          <w:rPr>
            <w:noProof/>
            <w:webHidden/>
          </w:rPr>
        </w:r>
        <w:r>
          <w:rPr>
            <w:noProof/>
            <w:webHidden/>
          </w:rPr>
          <w:fldChar w:fldCharType="separate"/>
        </w:r>
        <w:r>
          <w:rPr>
            <w:noProof/>
            <w:webHidden/>
          </w:rPr>
          <w:t>37</w:t>
        </w:r>
        <w:r>
          <w:rPr>
            <w:noProof/>
            <w:webHidden/>
          </w:rPr>
          <w:fldChar w:fldCharType="end"/>
        </w:r>
      </w:hyperlink>
    </w:p>
    <w:p w14:paraId="072725A2" w14:textId="05306C88"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3" w:history="1">
        <w:r w:rsidRPr="007F1627">
          <w:rPr>
            <w:rStyle w:val="Hyperlink"/>
            <w:b/>
            <w:bCs/>
            <w:noProof/>
          </w:rPr>
          <w:t>Table 14: Advertising and promotion, 2015–16 to 2024–25</w:t>
        </w:r>
        <w:r>
          <w:rPr>
            <w:noProof/>
            <w:webHidden/>
          </w:rPr>
          <w:tab/>
        </w:r>
        <w:r>
          <w:rPr>
            <w:noProof/>
            <w:webHidden/>
          </w:rPr>
          <w:fldChar w:fldCharType="begin"/>
        </w:r>
        <w:r>
          <w:rPr>
            <w:noProof/>
            <w:webHidden/>
          </w:rPr>
          <w:instrText xml:space="preserve"> PAGEREF _Toc234836043 \h </w:instrText>
        </w:r>
        <w:r>
          <w:rPr>
            <w:noProof/>
            <w:webHidden/>
          </w:rPr>
        </w:r>
        <w:r>
          <w:rPr>
            <w:noProof/>
            <w:webHidden/>
          </w:rPr>
          <w:fldChar w:fldCharType="separate"/>
        </w:r>
        <w:r>
          <w:rPr>
            <w:noProof/>
            <w:webHidden/>
          </w:rPr>
          <w:t>38</w:t>
        </w:r>
        <w:r>
          <w:rPr>
            <w:noProof/>
            <w:webHidden/>
          </w:rPr>
          <w:fldChar w:fldCharType="end"/>
        </w:r>
      </w:hyperlink>
    </w:p>
    <w:p w14:paraId="03DB5AC6" w14:textId="459583A7"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4" w:history="1">
        <w:r w:rsidRPr="007F1627">
          <w:rPr>
            <w:rStyle w:val="Hyperlink"/>
            <w:b/>
            <w:bCs/>
            <w:noProof/>
          </w:rPr>
          <w:t>Figure 19: Advertising and promotion, GDP and as a share of overall economy</w:t>
        </w:r>
        <w:r>
          <w:rPr>
            <w:noProof/>
            <w:webHidden/>
          </w:rPr>
          <w:tab/>
        </w:r>
        <w:r>
          <w:rPr>
            <w:noProof/>
            <w:webHidden/>
          </w:rPr>
          <w:fldChar w:fldCharType="begin"/>
        </w:r>
        <w:r>
          <w:rPr>
            <w:noProof/>
            <w:webHidden/>
          </w:rPr>
          <w:instrText xml:space="preserve"> PAGEREF _Toc234836044 \h </w:instrText>
        </w:r>
        <w:r>
          <w:rPr>
            <w:noProof/>
            <w:webHidden/>
          </w:rPr>
        </w:r>
        <w:r>
          <w:rPr>
            <w:noProof/>
            <w:webHidden/>
          </w:rPr>
          <w:fldChar w:fldCharType="separate"/>
        </w:r>
        <w:r>
          <w:rPr>
            <w:noProof/>
            <w:webHidden/>
          </w:rPr>
          <w:t>39</w:t>
        </w:r>
        <w:r>
          <w:rPr>
            <w:noProof/>
            <w:webHidden/>
          </w:rPr>
          <w:fldChar w:fldCharType="end"/>
        </w:r>
      </w:hyperlink>
    </w:p>
    <w:p w14:paraId="113603C6" w14:textId="5973F9EE"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5" w:history="1">
        <w:r w:rsidRPr="007F1627">
          <w:rPr>
            <w:rStyle w:val="Hyperlink"/>
            <w:b/>
            <w:bCs/>
            <w:noProof/>
          </w:rPr>
          <w:t>Table 15: Events (arts), 2015–16 to 2024–25</w:t>
        </w:r>
        <w:r>
          <w:rPr>
            <w:noProof/>
            <w:webHidden/>
          </w:rPr>
          <w:tab/>
        </w:r>
        <w:r>
          <w:rPr>
            <w:noProof/>
            <w:webHidden/>
          </w:rPr>
          <w:fldChar w:fldCharType="begin"/>
        </w:r>
        <w:r>
          <w:rPr>
            <w:noProof/>
            <w:webHidden/>
          </w:rPr>
          <w:instrText xml:space="preserve"> PAGEREF _Toc234836045 \h </w:instrText>
        </w:r>
        <w:r>
          <w:rPr>
            <w:noProof/>
            <w:webHidden/>
          </w:rPr>
        </w:r>
        <w:r>
          <w:rPr>
            <w:noProof/>
            <w:webHidden/>
          </w:rPr>
          <w:fldChar w:fldCharType="separate"/>
        </w:r>
        <w:r>
          <w:rPr>
            <w:noProof/>
            <w:webHidden/>
          </w:rPr>
          <w:t>40</w:t>
        </w:r>
        <w:r>
          <w:rPr>
            <w:noProof/>
            <w:webHidden/>
          </w:rPr>
          <w:fldChar w:fldCharType="end"/>
        </w:r>
      </w:hyperlink>
    </w:p>
    <w:p w14:paraId="603B6BFD" w14:textId="536CF70A"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6" w:history="1">
        <w:r w:rsidRPr="007F1627">
          <w:rPr>
            <w:rStyle w:val="Hyperlink"/>
            <w:b/>
            <w:bCs/>
            <w:noProof/>
          </w:rPr>
          <w:t>Figure 20: Events (arts), GDP and as a share of overall economy</w:t>
        </w:r>
        <w:r>
          <w:rPr>
            <w:noProof/>
            <w:webHidden/>
          </w:rPr>
          <w:tab/>
        </w:r>
        <w:r>
          <w:rPr>
            <w:noProof/>
            <w:webHidden/>
          </w:rPr>
          <w:fldChar w:fldCharType="begin"/>
        </w:r>
        <w:r>
          <w:rPr>
            <w:noProof/>
            <w:webHidden/>
          </w:rPr>
          <w:instrText xml:space="preserve"> PAGEREF _Toc234836046 \h </w:instrText>
        </w:r>
        <w:r>
          <w:rPr>
            <w:noProof/>
            <w:webHidden/>
          </w:rPr>
        </w:r>
        <w:r>
          <w:rPr>
            <w:noProof/>
            <w:webHidden/>
          </w:rPr>
          <w:fldChar w:fldCharType="separate"/>
        </w:r>
        <w:r>
          <w:rPr>
            <w:noProof/>
            <w:webHidden/>
          </w:rPr>
          <w:t>41</w:t>
        </w:r>
        <w:r>
          <w:rPr>
            <w:noProof/>
            <w:webHidden/>
          </w:rPr>
          <w:fldChar w:fldCharType="end"/>
        </w:r>
      </w:hyperlink>
    </w:p>
    <w:p w14:paraId="62AAB76D" w14:textId="4AD64A40"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7" w:history="1">
        <w:r w:rsidRPr="007F1627">
          <w:rPr>
            <w:rStyle w:val="Hyperlink"/>
            <w:b/>
            <w:bCs/>
            <w:noProof/>
          </w:rPr>
          <w:t>Table 16: Arts education, 2015–16 to 2024–25</w:t>
        </w:r>
        <w:r>
          <w:rPr>
            <w:noProof/>
            <w:webHidden/>
          </w:rPr>
          <w:tab/>
        </w:r>
        <w:r>
          <w:rPr>
            <w:noProof/>
            <w:webHidden/>
          </w:rPr>
          <w:fldChar w:fldCharType="begin"/>
        </w:r>
        <w:r>
          <w:rPr>
            <w:noProof/>
            <w:webHidden/>
          </w:rPr>
          <w:instrText xml:space="preserve"> PAGEREF _Toc234836047 \h </w:instrText>
        </w:r>
        <w:r>
          <w:rPr>
            <w:noProof/>
            <w:webHidden/>
          </w:rPr>
        </w:r>
        <w:r>
          <w:rPr>
            <w:noProof/>
            <w:webHidden/>
          </w:rPr>
          <w:fldChar w:fldCharType="separate"/>
        </w:r>
        <w:r>
          <w:rPr>
            <w:noProof/>
            <w:webHidden/>
          </w:rPr>
          <w:t>42</w:t>
        </w:r>
        <w:r>
          <w:rPr>
            <w:noProof/>
            <w:webHidden/>
          </w:rPr>
          <w:fldChar w:fldCharType="end"/>
        </w:r>
      </w:hyperlink>
    </w:p>
    <w:p w14:paraId="4A4BCDBA" w14:textId="76800CC3"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8" w:history="1">
        <w:r w:rsidRPr="007F1627">
          <w:rPr>
            <w:rStyle w:val="Hyperlink"/>
            <w:b/>
            <w:bCs/>
            <w:noProof/>
          </w:rPr>
          <w:t>Figure 21: Arts education, GDP and as a share of overall economy</w:t>
        </w:r>
        <w:r>
          <w:rPr>
            <w:noProof/>
            <w:webHidden/>
          </w:rPr>
          <w:tab/>
        </w:r>
        <w:r>
          <w:rPr>
            <w:noProof/>
            <w:webHidden/>
          </w:rPr>
          <w:fldChar w:fldCharType="begin"/>
        </w:r>
        <w:r>
          <w:rPr>
            <w:noProof/>
            <w:webHidden/>
          </w:rPr>
          <w:instrText xml:space="preserve"> PAGEREF _Toc234836048 \h </w:instrText>
        </w:r>
        <w:r>
          <w:rPr>
            <w:noProof/>
            <w:webHidden/>
          </w:rPr>
        </w:r>
        <w:r>
          <w:rPr>
            <w:noProof/>
            <w:webHidden/>
          </w:rPr>
          <w:fldChar w:fldCharType="separate"/>
        </w:r>
        <w:r>
          <w:rPr>
            <w:noProof/>
            <w:webHidden/>
          </w:rPr>
          <w:t>43</w:t>
        </w:r>
        <w:r>
          <w:rPr>
            <w:noProof/>
            <w:webHidden/>
          </w:rPr>
          <w:fldChar w:fldCharType="end"/>
        </w:r>
      </w:hyperlink>
    </w:p>
    <w:p w14:paraId="59203F72" w14:textId="44662292"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49" w:history="1">
        <w:r w:rsidRPr="007F1627">
          <w:rPr>
            <w:rStyle w:val="Hyperlink"/>
            <w:b/>
            <w:bCs/>
            <w:noProof/>
          </w:rPr>
          <w:t>Table 17: Digital games development, 2015–16 to 2024–25</w:t>
        </w:r>
        <w:r>
          <w:rPr>
            <w:noProof/>
            <w:webHidden/>
          </w:rPr>
          <w:tab/>
        </w:r>
        <w:r>
          <w:rPr>
            <w:noProof/>
            <w:webHidden/>
          </w:rPr>
          <w:fldChar w:fldCharType="begin"/>
        </w:r>
        <w:r>
          <w:rPr>
            <w:noProof/>
            <w:webHidden/>
          </w:rPr>
          <w:instrText xml:space="preserve"> PAGEREF _Toc234836049 \h </w:instrText>
        </w:r>
        <w:r>
          <w:rPr>
            <w:noProof/>
            <w:webHidden/>
          </w:rPr>
        </w:r>
        <w:r>
          <w:rPr>
            <w:noProof/>
            <w:webHidden/>
          </w:rPr>
          <w:fldChar w:fldCharType="separate"/>
        </w:r>
        <w:r>
          <w:rPr>
            <w:noProof/>
            <w:webHidden/>
          </w:rPr>
          <w:t>44</w:t>
        </w:r>
        <w:r>
          <w:rPr>
            <w:noProof/>
            <w:webHidden/>
          </w:rPr>
          <w:fldChar w:fldCharType="end"/>
        </w:r>
      </w:hyperlink>
    </w:p>
    <w:p w14:paraId="452EE150" w14:textId="199E574C"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0" w:history="1">
        <w:r w:rsidRPr="007F1627">
          <w:rPr>
            <w:rStyle w:val="Hyperlink"/>
            <w:b/>
            <w:bCs/>
            <w:noProof/>
          </w:rPr>
          <w:t>Figure 22: Digital games development, GDP and as a share of overall economy</w:t>
        </w:r>
        <w:r>
          <w:rPr>
            <w:noProof/>
            <w:webHidden/>
          </w:rPr>
          <w:tab/>
        </w:r>
        <w:r>
          <w:rPr>
            <w:noProof/>
            <w:webHidden/>
          </w:rPr>
          <w:fldChar w:fldCharType="begin"/>
        </w:r>
        <w:r>
          <w:rPr>
            <w:noProof/>
            <w:webHidden/>
          </w:rPr>
          <w:instrText xml:space="preserve"> PAGEREF _Toc234836050 \h </w:instrText>
        </w:r>
        <w:r>
          <w:rPr>
            <w:noProof/>
            <w:webHidden/>
          </w:rPr>
        </w:r>
        <w:r>
          <w:rPr>
            <w:noProof/>
            <w:webHidden/>
          </w:rPr>
          <w:fldChar w:fldCharType="separate"/>
        </w:r>
        <w:r>
          <w:rPr>
            <w:noProof/>
            <w:webHidden/>
          </w:rPr>
          <w:t>45</w:t>
        </w:r>
        <w:r>
          <w:rPr>
            <w:noProof/>
            <w:webHidden/>
          </w:rPr>
          <w:fldChar w:fldCharType="end"/>
        </w:r>
      </w:hyperlink>
    </w:p>
    <w:p w14:paraId="32869F4B" w14:textId="7656FEAA"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1" w:history="1">
        <w:r w:rsidRPr="007F1627">
          <w:rPr>
            <w:rStyle w:val="Hyperlink"/>
            <w:b/>
            <w:bCs/>
            <w:noProof/>
          </w:rPr>
          <w:t>Table 18: Cultural and creative activity, GVA by industry division ($m), 2015–16 to 2024–25</w:t>
        </w:r>
        <w:r>
          <w:rPr>
            <w:noProof/>
            <w:webHidden/>
          </w:rPr>
          <w:tab/>
        </w:r>
        <w:r>
          <w:rPr>
            <w:noProof/>
            <w:webHidden/>
          </w:rPr>
          <w:fldChar w:fldCharType="begin"/>
        </w:r>
        <w:r>
          <w:rPr>
            <w:noProof/>
            <w:webHidden/>
          </w:rPr>
          <w:instrText xml:space="preserve"> PAGEREF _Toc234836051 \h </w:instrText>
        </w:r>
        <w:r>
          <w:rPr>
            <w:noProof/>
            <w:webHidden/>
          </w:rPr>
        </w:r>
        <w:r>
          <w:rPr>
            <w:noProof/>
            <w:webHidden/>
          </w:rPr>
          <w:fldChar w:fldCharType="separate"/>
        </w:r>
        <w:r>
          <w:rPr>
            <w:noProof/>
            <w:webHidden/>
          </w:rPr>
          <w:t>46</w:t>
        </w:r>
        <w:r>
          <w:rPr>
            <w:noProof/>
            <w:webHidden/>
          </w:rPr>
          <w:fldChar w:fldCharType="end"/>
        </w:r>
      </w:hyperlink>
    </w:p>
    <w:p w14:paraId="7199C2EE" w14:textId="53963675"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2" w:history="1">
        <w:r w:rsidRPr="007F1627">
          <w:rPr>
            <w:rStyle w:val="Hyperlink"/>
            <w:b/>
            <w:bCs/>
            <w:noProof/>
          </w:rPr>
          <w:t>Figure 23: Cultural and creative GVA change by division, 2015–16 to 2024–25</w:t>
        </w:r>
        <w:r>
          <w:rPr>
            <w:noProof/>
            <w:webHidden/>
          </w:rPr>
          <w:tab/>
        </w:r>
        <w:r>
          <w:rPr>
            <w:noProof/>
            <w:webHidden/>
          </w:rPr>
          <w:fldChar w:fldCharType="begin"/>
        </w:r>
        <w:r>
          <w:rPr>
            <w:noProof/>
            <w:webHidden/>
          </w:rPr>
          <w:instrText xml:space="preserve"> PAGEREF _Toc234836052 \h </w:instrText>
        </w:r>
        <w:r>
          <w:rPr>
            <w:noProof/>
            <w:webHidden/>
          </w:rPr>
        </w:r>
        <w:r>
          <w:rPr>
            <w:noProof/>
            <w:webHidden/>
          </w:rPr>
          <w:fldChar w:fldCharType="separate"/>
        </w:r>
        <w:r>
          <w:rPr>
            <w:noProof/>
            <w:webHidden/>
          </w:rPr>
          <w:t>47</w:t>
        </w:r>
        <w:r>
          <w:rPr>
            <w:noProof/>
            <w:webHidden/>
          </w:rPr>
          <w:fldChar w:fldCharType="end"/>
        </w:r>
      </w:hyperlink>
    </w:p>
    <w:p w14:paraId="32D817A0" w14:textId="47E5BF7F"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3" w:history="1">
        <w:r w:rsidRPr="007F1627">
          <w:rPr>
            <w:rStyle w:val="Hyperlink"/>
            <w:b/>
            <w:bCs/>
            <w:noProof/>
          </w:rPr>
          <w:t>Figure 24: Industry contributors to specialised, support and embedded activities, 2015–16 to 2024–25</w:t>
        </w:r>
        <w:r>
          <w:rPr>
            <w:noProof/>
            <w:webHidden/>
          </w:rPr>
          <w:tab/>
        </w:r>
        <w:r>
          <w:rPr>
            <w:noProof/>
            <w:webHidden/>
          </w:rPr>
          <w:fldChar w:fldCharType="begin"/>
        </w:r>
        <w:r>
          <w:rPr>
            <w:noProof/>
            <w:webHidden/>
          </w:rPr>
          <w:instrText xml:space="preserve"> PAGEREF _Toc234836053 \h </w:instrText>
        </w:r>
        <w:r>
          <w:rPr>
            <w:noProof/>
            <w:webHidden/>
          </w:rPr>
        </w:r>
        <w:r>
          <w:rPr>
            <w:noProof/>
            <w:webHidden/>
          </w:rPr>
          <w:fldChar w:fldCharType="separate"/>
        </w:r>
        <w:r>
          <w:rPr>
            <w:noProof/>
            <w:webHidden/>
          </w:rPr>
          <w:t>48</w:t>
        </w:r>
        <w:r>
          <w:rPr>
            <w:noProof/>
            <w:webHidden/>
          </w:rPr>
          <w:fldChar w:fldCharType="end"/>
        </w:r>
      </w:hyperlink>
    </w:p>
    <w:p w14:paraId="270F3602" w14:textId="46225F01"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4" w:history="1">
        <w:r w:rsidRPr="007F1627">
          <w:rPr>
            <w:rStyle w:val="Hyperlink"/>
            <w:b/>
            <w:bCs/>
            <w:noProof/>
          </w:rPr>
          <w:t>Table 19: Specialised activity, 2015–16 to 2024–25 ($m)</w:t>
        </w:r>
        <w:r>
          <w:rPr>
            <w:noProof/>
            <w:webHidden/>
          </w:rPr>
          <w:tab/>
        </w:r>
        <w:r>
          <w:rPr>
            <w:noProof/>
            <w:webHidden/>
          </w:rPr>
          <w:fldChar w:fldCharType="begin"/>
        </w:r>
        <w:r>
          <w:rPr>
            <w:noProof/>
            <w:webHidden/>
          </w:rPr>
          <w:instrText xml:space="preserve"> PAGEREF _Toc234836054 \h </w:instrText>
        </w:r>
        <w:r>
          <w:rPr>
            <w:noProof/>
            <w:webHidden/>
          </w:rPr>
        </w:r>
        <w:r>
          <w:rPr>
            <w:noProof/>
            <w:webHidden/>
          </w:rPr>
          <w:fldChar w:fldCharType="separate"/>
        </w:r>
        <w:r>
          <w:rPr>
            <w:noProof/>
            <w:webHidden/>
          </w:rPr>
          <w:t>49</w:t>
        </w:r>
        <w:r>
          <w:rPr>
            <w:noProof/>
            <w:webHidden/>
          </w:rPr>
          <w:fldChar w:fldCharType="end"/>
        </w:r>
      </w:hyperlink>
    </w:p>
    <w:p w14:paraId="0D97BF40" w14:textId="31C752B7"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5" w:history="1">
        <w:r w:rsidRPr="007F1627">
          <w:rPr>
            <w:rStyle w:val="Hyperlink"/>
            <w:b/>
            <w:bCs/>
            <w:noProof/>
          </w:rPr>
          <w:t>Table 20: Support activity, 2015–16 to 2024–25 ($m)</w:t>
        </w:r>
        <w:r>
          <w:rPr>
            <w:noProof/>
            <w:webHidden/>
          </w:rPr>
          <w:tab/>
        </w:r>
        <w:r>
          <w:rPr>
            <w:noProof/>
            <w:webHidden/>
          </w:rPr>
          <w:fldChar w:fldCharType="begin"/>
        </w:r>
        <w:r>
          <w:rPr>
            <w:noProof/>
            <w:webHidden/>
          </w:rPr>
          <w:instrText xml:space="preserve"> PAGEREF _Toc234836055 \h </w:instrText>
        </w:r>
        <w:r>
          <w:rPr>
            <w:noProof/>
            <w:webHidden/>
          </w:rPr>
        </w:r>
        <w:r>
          <w:rPr>
            <w:noProof/>
            <w:webHidden/>
          </w:rPr>
          <w:fldChar w:fldCharType="separate"/>
        </w:r>
        <w:r>
          <w:rPr>
            <w:noProof/>
            <w:webHidden/>
          </w:rPr>
          <w:t>50</w:t>
        </w:r>
        <w:r>
          <w:rPr>
            <w:noProof/>
            <w:webHidden/>
          </w:rPr>
          <w:fldChar w:fldCharType="end"/>
        </w:r>
      </w:hyperlink>
    </w:p>
    <w:p w14:paraId="1190A988" w14:textId="5C72FF1E"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6" w:history="1">
        <w:r w:rsidRPr="007F1627">
          <w:rPr>
            <w:rStyle w:val="Hyperlink"/>
            <w:b/>
            <w:bCs/>
            <w:noProof/>
          </w:rPr>
          <w:t>Table 21: In-scope cultural and creative industry subdivisions ($m)</w:t>
        </w:r>
        <w:r>
          <w:rPr>
            <w:noProof/>
            <w:webHidden/>
          </w:rPr>
          <w:tab/>
        </w:r>
        <w:r>
          <w:rPr>
            <w:noProof/>
            <w:webHidden/>
          </w:rPr>
          <w:fldChar w:fldCharType="begin"/>
        </w:r>
        <w:r>
          <w:rPr>
            <w:noProof/>
            <w:webHidden/>
          </w:rPr>
          <w:instrText xml:space="preserve"> PAGEREF _Toc234836056 \h </w:instrText>
        </w:r>
        <w:r>
          <w:rPr>
            <w:noProof/>
            <w:webHidden/>
          </w:rPr>
        </w:r>
        <w:r>
          <w:rPr>
            <w:noProof/>
            <w:webHidden/>
          </w:rPr>
          <w:fldChar w:fldCharType="separate"/>
        </w:r>
        <w:r>
          <w:rPr>
            <w:noProof/>
            <w:webHidden/>
          </w:rPr>
          <w:t>51</w:t>
        </w:r>
        <w:r>
          <w:rPr>
            <w:noProof/>
            <w:webHidden/>
          </w:rPr>
          <w:fldChar w:fldCharType="end"/>
        </w:r>
      </w:hyperlink>
    </w:p>
    <w:p w14:paraId="75C4917B" w14:textId="42E4FE62"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7" w:history="1">
        <w:r w:rsidRPr="007F1627">
          <w:rPr>
            <w:rStyle w:val="Hyperlink"/>
            <w:b/>
            <w:bCs/>
            <w:noProof/>
          </w:rPr>
          <w:t>Table 22: Embedded activity, 2015–16 to 2024–25 ($m)</w:t>
        </w:r>
        <w:r>
          <w:rPr>
            <w:noProof/>
            <w:webHidden/>
          </w:rPr>
          <w:tab/>
        </w:r>
        <w:r>
          <w:rPr>
            <w:noProof/>
            <w:webHidden/>
          </w:rPr>
          <w:fldChar w:fldCharType="begin"/>
        </w:r>
        <w:r>
          <w:rPr>
            <w:noProof/>
            <w:webHidden/>
          </w:rPr>
          <w:instrText xml:space="preserve"> PAGEREF _Toc234836057 \h </w:instrText>
        </w:r>
        <w:r>
          <w:rPr>
            <w:noProof/>
            <w:webHidden/>
          </w:rPr>
        </w:r>
        <w:r>
          <w:rPr>
            <w:noProof/>
            <w:webHidden/>
          </w:rPr>
          <w:fldChar w:fldCharType="separate"/>
        </w:r>
        <w:r>
          <w:rPr>
            <w:noProof/>
            <w:webHidden/>
          </w:rPr>
          <w:t>52</w:t>
        </w:r>
        <w:r>
          <w:rPr>
            <w:noProof/>
            <w:webHidden/>
          </w:rPr>
          <w:fldChar w:fldCharType="end"/>
        </w:r>
      </w:hyperlink>
    </w:p>
    <w:p w14:paraId="110E1C0A" w14:textId="1F648F24"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8" w:history="1">
        <w:r w:rsidRPr="007F1627">
          <w:rPr>
            <w:rStyle w:val="Hyperlink"/>
            <w:b/>
            <w:bCs/>
            <w:noProof/>
          </w:rPr>
          <w:t>Table 23: Revisions from 2015–16 to 2023–24</w:t>
        </w:r>
        <w:r>
          <w:rPr>
            <w:noProof/>
            <w:webHidden/>
          </w:rPr>
          <w:tab/>
        </w:r>
        <w:r>
          <w:rPr>
            <w:noProof/>
            <w:webHidden/>
          </w:rPr>
          <w:fldChar w:fldCharType="begin"/>
        </w:r>
        <w:r>
          <w:rPr>
            <w:noProof/>
            <w:webHidden/>
          </w:rPr>
          <w:instrText xml:space="preserve"> PAGEREF _Toc234836058 \h </w:instrText>
        </w:r>
        <w:r>
          <w:rPr>
            <w:noProof/>
            <w:webHidden/>
          </w:rPr>
        </w:r>
        <w:r>
          <w:rPr>
            <w:noProof/>
            <w:webHidden/>
          </w:rPr>
          <w:fldChar w:fldCharType="separate"/>
        </w:r>
        <w:r>
          <w:rPr>
            <w:noProof/>
            <w:webHidden/>
          </w:rPr>
          <w:t>53</w:t>
        </w:r>
        <w:r>
          <w:rPr>
            <w:noProof/>
            <w:webHidden/>
          </w:rPr>
          <w:fldChar w:fldCharType="end"/>
        </w:r>
      </w:hyperlink>
    </w:p>
    <w:p w14:paraId="655664F3" w14:textId="392D25D2" w:rsidR="00FF3026" w:rsidRDefault="00FF3026">
      <w:pPr>
        <w:pStyle w:val="TOC2"/>
        <w:tabs>
          <w:tab w:val="right" w:leader="dot" w:pos="14786"/>
        </w:tabs>
        <w:rPr>
          <w:rFonts w:eastAsiaTheme="minorEastAsia"/>
          <w:noProof/>
          <w:color w:val="auto"/>
          <w:kern w:val="2"/>
          <w:sz w:val="24"/>
          <w:szCs w:val="24"/>
          <w:lang w:eastAsia="zh-CN"/>
          <w14:ligatures w14:val="standardContextual"/>
        </w:rPr>
      </w:pPr>
      <w:hyperlink w:anchor="_Toc234836059" w:history="1">
        <w:r w:rsidRPr="007F1627">
          <w:rPr>
            <w:rStyle w:val="Hyperlink"/>
            <w:noProof/>
          </w:rPr>
          <w:t>Appendix: Scope of cultural and creative domains</w:t>
        </w:r>
        <w:r>
          <w:rPr>
            <w:noProof/>
            <w:webHidden/>
          </w:rPr>
          <w:tab/>
        </w:r>
        <w:r>
          <w:rPr>
            <w:noProof/>
            <w:webHidden/>
          </w:rPr>
          <w:fldChar w:fldCharType="begin"/>
        </w:r>
        <w:r>
          <w:rPr>
            <w:noProof/>
            <w:webHidden/>
          </w:rPr>
          <w:instrText xml:space="preserve"> PAGEREF _Toc234836059 \h </w:instrText>
        </w:r>
        <w:r>
          <w:rPr>
            <w:noProof/>
            <w:webHidden/>
          </w:rPr>
        </w:r>
        <w:r>
          <w:rPr>
            <w:noProof/>
            <w:webHidden/>
          </w:rPr>
          <w:fldChar w:fldCharType="separate"/>
        </w:r>
        <w:r>
          <w:rPr>
            <w:noProof/>
            <w:webHidden/>
          </w:rPr>
          <w:t>54</w:t>
        </w:r>
        <w:r>
          <w:rPr>
            <w:noProof/>
            <w:webHidden/>
          </w:rPr>
          <w:fldChar w:fldCharType="end"/>
        </w:r>
      </w:hyperlink>
    </w:p>
    <w:p w14:paraId="5B46EB98" w14:textId="3E6BBCC2" w:rsidR="00CB4C2D" w:rsidRDefault="00397949">
      <w:r>
        <w:lastRenderedPageBreak/>
        <w:fldChar w:fldCharType="end"/>
      </w:r>
    </w:p>
    <w:p w14:paraId="5B46EB99" w14:textId="40B4AFCC" w:rsidR="00CB4C2D" w:rsidRDefault="00CB4C2D"/>
    <w:p w14:paraId="5B46EB9A" w14:textId="77777777" w:rsidR="00CB4C2D" w:rsidRDefault="00397949">
      <w:pPr>
        <w:pStyle w:val="Heading2"/>
      </w:pPr>
      <w:bookmarkStart w:id="12" w:name="_Toc234836011"/>
      <w:bookmarkStart w:id="13" w:name="about-this-document"/>
      <w:bookmarkEnd w:id="11"/>
      <w:r>
        <w:t>About this document</w:t>
      </w:r>
      <w:bookmarkEnd w:id="12"/>
    </w:p>
    <w:p w14:paraId="5B46EB9B" w14:textId="77777777" w:rsidR="00CB4C2D" w:rsidRDefault="00397949">
      <w:r>
        <w:t>The Bureau of Communications, Arts and Regional Research (BCARR) within the Department of Infrastructure, Transport, Regional Development, Communications, Sport and the Arts has estimated the economic contribution of cultural and creative activity in Australia over a 10-year period, from 2015–16 to 2024–25.</w:t>
      </w:r>
    </w:p>
    <w:p w14:paraId="5B46EB9C" w14:textId="37626218" w:rsidR="00CB4C2D" w:rsidRDefault="00397949">
      <w:r>
        <w:t xml:space="preserve">This publication provides an update to the BCARR annual report: </w:t>
      </w:r>
      <w:hyperlink r:id="rId12" w:history="1">
        <w:r w:rsidRPr="00C97707">
          <w:rPr>
            <w:rStyle w:val="Hyperlink"/>
            <w:i/>
            <w:iCs/>
          </w:rPr>
          <w:t>Cultural and Creative Activity in Australia, 2014–15 to 2023–24</w:t>
        </w:r>
      </w:hyperlink>
      <w:r>
        <w:t xml:space="preserve"> released in September 2025. The updated estimates are presented as a visual summary. Each table and figure corresponds to those used in the BCARR working paper: </w:t>
      </w:r>
      <w:hyperlink r:id="rId13" w:history="1">
        <w:r w:rsidRPr="00C97707">
          <w:rPr>
            <w:rStyle w:val="Hyperlink"/>
            <w:i/>
            <w:iCs/>
          </w:rPr>
          <w:t>Cultural and Creative Activity in Australia, 2008–09 to 2022–23 (Methodology Refresh)</w:t>
        </w:r>
      </w:hyperlink>
      <w:r>
        <w:t>.</w:t>
      </w:r>
    </w:p>
    <w:p w14:paraId="70951F6C" w14:textId="77777777" w:rsidR="005E0668" w:rsidRPr="00F52A06" w:rsidRDefault="005E0668" w:rsidP="005E0668">
      <w:pPr>
        <w:rPr>
          <w:lang w:val="x-none"/>
        </w:rPr>
      </w:pPr>
      <w:r w:rsidRPr="00F52A06">
        <w:rPr>
          <w:lang w:val="x-none"/>
        </w:rPr>
        <w:t xml:space="preserve">This </w:t>
      </w:r>
      <w:r w:rsidRPr="00F52A06">
        <w:t xml:space="preserve">annual update </w:t>
      </w:r>
      <w:r>
        <w:t xml:space="preserve">applies the </w:t>
      </w:r>
      <w:r w:rsidRPr="00F52A06">
        <w:rPr>
          <w:lang w:val="x-none"/>
        </w:rPr>
        <w:t xml:space="preserve">same </w:t>
      </w:r>
      <w:r>
        <w:rPr>
          <w:lang w:val="x-none"/>
        </w:rPr>
        <w:t xml:space="preserve">methodological </w:t>
      </w:r>
      <w:r w:rsidRPr="00F52A06">
        <w:rPr>
          <w:lang w:val="x-none"/>
        </w:rPr>
        <w:t xml:space="preserve">approach </w:t>
      </w:r>
      <w:r>
        <w:rPr>
          <w:lang w:val="x-none"/>
        </w:rPr>
        <w:t>established</w:t>
      </w:r>
      <w:r w:rsidRPr="00F52A06">
        <w:rPr>
          <w:lang w:val="x-none"/>
        </w:rPr>
        <w:t xml:space="preserve"> in </w:t>
      </w:r>
      <w:r w:rsidRPr="00F52A06">
        <w:t xml:space="preserve">BCARR’s 2024 statistical </w:t>
      </w:r>
      <w:r w:rsidRPr="00F52A06">
        <w:rPr>
          <w:lang w:val="x-none"/>
        </w:rPr>
        <w:t xml:space="preserve">working paper. </w:t>
      </w:r>
      <w:r>
        <w:rPr>
          <w:lang w:val="x-none"/>
        </w:rPr>
        <w:t xml:space="preserve">The </w:t>
      </w:r>
      <w:r w:rsidRPr="00F52A06">
        <w:rPr>
          <w:lang w:val="x-none"/>
        </w:rPr>
        <w:t>table</w:t>
      </w:r>
      <w:r>
        <w:rPr>
          <w:lang w:val="x-none"/>
        </w:rPr>
        <w:t>s</w:t>
      </w:r>
      <w:r w:rsidRPr="00F52A06">
        <w:rPr>
          <w:lang w:val="x-none"/>
        </w:rPr>
        <w:t xml:space="preserve"> and figure</w:t>
      </w:r>
      <w:r>
        <w:rPr>
          <w:lang w:val="x-none"/>
        </w:rPr>
        <w:t>s align with</w:t>
      </w:r>
      <w:r w:rsidRPr="00F52A06">
        <w:rPr>
          <w:lang w:val="x-none"/>
        </w:rPr>
        <w:t xml:space="preserve"> those in</w:t>
      </w:r>
      <w:r w:rsidRPr="004F311C">
        <w:t xml:space="preserve"> the original publication to support comparability over time</w:t>
      </w:r>
      <w:r w:rsidRPr="00F52A06">
        <w:rPr>
          <w:lang w:val="x-none"/>
        </w:rPr>
        <w:t>.</w:t>
      </w:r>
    </w:p>
    <w:p w14:paraId="5B46EB9E" w14:textId="77777777" w:rsidR="00CB4C2D" w:rsidRDefault="00397949">
      <w:r>
        <w:t>Note that data is subject to revisions in the Australian Bureau of Statistics’ (ABS) national accounts datasets. Estimates in this release vary from those published previously. This document also includes a table of revisions to the data, covering the period from 2015–16 to 2023–24.</w:t>
      </w:r>
    </w:p>
    <w:p w14:paraId="5B46EB9F" w14:textId="0C6CAB4E" w:rsidR="00CB4C2D" w:rsidRDefault="00397949">
      <w:r>
        <w:t>Estimates and their components in this document have been rounded and discrepancies may occur between sums of component items and totals. Analysis featured in this release is based on unrounded data. Calculations based on rounded data may differ to those published.</w:t>
      </w:r>
    </w:p>
    <w:p w14:paraId="5B46EBA0" w14:textId="77777777" w:rsidR="00CB4C2D" w:rsidRDefault="00397949">
      <w:r>
        <w:t xml:space="preserve">Further information on these updates can be found in the </w:t>
      </w:r>
      <w:r w:rsidRPr="00C97707">
        <w:rPr>
          <w:i/>
          <w:iCs/>
        </w:rPr>
        <w:t>FAQ: Cultural and creative activity in Australia, 2015–16 to 2024–25</w:t>
      </w:r>
      <w:r>
        <w:t>.</w:t>
      </w:r>
    </w:p>
    <w:p w14:paraId="5B46EBA1" w14:textId="77777777" w:rsidR="00CB4C2D" w:rsidRDefault="00397949">
      <w:r>
        <w:br w:type="page"/>
      </w:r>
    </w:p>
    <w:p w14:paraId="5B46EBA2" w14:textId="77777777" w:rsidR="00CB4C2D" w:rsidRDefault="00397949">
      <w:pPr>
        <w:pStyle w:val="Heading2"/>
      </w:pPr>
      <w:bookmarkStart w:id="14" w:name="_Toc234836012"/>
      <w:bookmarkStart w:id="15" w:name="X1ad85b30996443d39e590a608cee06f1e51b370"/>
      <w:bookmarkEnd w:id="13"/>
      <w:r>
        <w:rPr>
          <w:b/>
          <w:bCs/>
        </w:rPr>
        <w:lastRenderedPageBreak/>
        <w:t>Table 1: Cultural and creative activity 2015–16 and 2024–25</w:t>
      </w:r>
      <w:bookmarkEnd w:id="14"/>
    </w:p>
    <w:p w14:paraId="5B46EBA3" w14:textId="77777777" w:rsidR="00CB4C2D" w:rsidRDefault="00397949">
      <w:r>
        <w:t> </w:t>
      </w:r>
    </w:p>
    <w:tbl>
      <w:tblPr>
        <w:tblW w:w="0" w:type="auto"/>
        <w:jc w:val="center"/>
        <w:tblLayout w:type="fixed"/>
        <w:tblLook w:val="0420" w:firstRow="1" w:lastRow="0" w:firstColumn="0" w:lastColumn="0" w:noHBand="0" w:noVBand="1"/>
      </w:tblPr>
      <w:tblGrid>
        <w:gridCol w:w="5040"/>
        <w:gridCol w:w="1080"/>
        <w:gridCol w:w="1080"/>
        <w:gridCol w:w="1080"/>
        <w:gridCol w:w="1872"/>
      </w:tblGrid>
      <w:tr w:rsidR="00CB4C2D" w14:paraId="5B46EBA9" w14:textId="77777777">
        <w:trPr>
          <w:tblHeader/>
          <w:jc w:val="center"/>
        </w:trPr>
        <w:tc>
          <w:tcPr>
            <w:tcW w:w="50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Cultural and Creative Activity</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A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2015–16</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A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2024–25</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A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Change</w:t>
            </w:r>
          </w:p>
        </w:tc>
        <w:tc>
          <w:tcPr>
            <w:tcW w:w="18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A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Movement (%)</w:t>
            </w:r>
          </w:p>
        </w:tc>
      </w:tr>
      <w:tr w:rsidR="00CB4C2D" w14:paraId="5B46EBAF" w14:textId="77777777">
        <w:trPr>
          <w:jc w:val="center"/>
        </w:trPr>
        <w:tc>
          <w:tcPr>
            <w:tcW w:w="50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Gross Value Added ($m)</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45,357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A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66,767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21,409</w:t>
            </w:r>
          </w:p>
        </w:tc>
        <w:tc>
          <w:tcPr>
            <w:tcW w:w="18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A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47.2</w:t>
            </w:r>
          </w:p>
        </w:tc>
      </w:tr>
      <w:tr w:rsidR="00CB4C2D" w14:paraId="5B46EBB5" w14:textId="77777777">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roofErr w:type="gramStart"/>
            <w:r>
              <w:rPr>
                <w:rFonts w:ascii="Arial" w:eastAsia="Arial" w:hAnsi="Arial" w:cs="Arial"/>
                <w:color w:val="000000"/>
              </w:rPr>
              <w:t>plus</w:t>
            </w:r>
            <w:proofErr w:type="gramEnd"/>
            <w:r>
              <w:rPr>
                <w:rFonts w:ascii="Arial" w:eastAsia="Arial" w:hAnsi="Arial" w:cs="Arial"/>
                <w:color w:val="000000"/>
              </w:rPr>
              <w:t xml:space="preserve"> Net taxes on products ($m)</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2,444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1,076</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44.0</w:t>
            </w:r>
          </w:p>
        </w:tc>
      </w:tr>
      <w:tr w:rsidR="00CB4C2D" w14:paraId="5B46EBBB" w14:textId="77777777">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equals Total Cultural and Creative GDP ($m)</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47,801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70,286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22,485</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B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47.0</w:t>
            </w:r>
          </w:p>
        </w:tc>
      </w:tr>
      <w:tr w:rsidR="00CB4C2D" w14:paraId="5B46EBC1" w14:textId="77777777">
        <w:trPr>
          <w:jc w:val="center"/>
        </w:trPr>
        <w:tc>
          <w:tcPr>
            <w:tcW w:w="50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As a proportion of GDP (%)</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B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-0.3</w:t>
            </w:r>
          </w:p>
        </w:tc>
        <w:tc>
          <w:tcPr>
            <w:tcW w:w="18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C0" w14:textId="77777777" w:rsidR="00CB4C2D" w:rsidRDefault="00CB4C2D">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p>
        </w:tc>
      </w:tr>
    </w:tbl>
    <w:p w14:paraId="5B46EBC2" w14:textId="77777777" w:rsidR="00CB4C2D" w:rsidRDefault="00397949">
      <w:r>
        <w:t> </w:t>
      </w:r>
    </w:p>
    <w:p w14:paraId="5B46EBC3"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w:t>
      </w:r>
    </w:p>
    <w:p w14:paraId="5B46EBC4" w14:textId="77777777" w:rsidR="00CB4C2D" w:rsidRDefault="00397949">
      <w:r>
        <w:t> </w:t>
      </w:r>
    </w:p>
    <w:p w14:paraId="5B46EBC5" w14:textId="77777777" w:rsidR="00CB4C2D" w:rsidRDefault="00397949">
      <w:pPr>
        <w:pStyle w:val="Heading3"/>
      </w:pPr>
      <w:bookmarkStart w:id="16" w:name="explanatory-notes"/>
      <w:r>
        <w:rPr>
          <w:bCs/>
        </w:rPr>
        <w:t>Explanatory notes</w:t>
      </w:r>
    </w:p>
    <w:p w14:paraId="5B46EBC6" w14:textId="114A8237" w:rsidR="00CB4C2D" w:rsidRDefault="00397949">
      <w:r>
        <w:t xml:space="preserve">New estimates </w:t>
      </w:r>
      <w:r w:rsidR="00A11FE3">
        <w:t xml:space="preserve">show </w:t>
      </w:r>
      <w:r>
        <w:t xml:space="preserve">cultural and creative activity </w:t>
      </w:r>
      <w:r w:rsidR="00A11FE3">
        <w:t xml:space="preserve">contributed $47.8 billion </w:t>
      </w:r>
      <w:r>
        <w:t xml:space="preserve">to GDP in 2015–16. </w:t>
      </w:r>
      <w:r w:rsidR="00A11FE3">
        <w:t>By 2024–25, this had increased to $70.3 billion, up $22.5 billion, or 47.0%.</w:t>
      </w:r>
      <w:r>
        <w:t xml:space="preserve"> While this activity is growing in absolute terms, as a share of GDP, it declined by 0.3% points</w:t>
      </w:r>
      <w:r w:rsidR="00A11FE3">
        <w:t>,</w:t>
      </w:r>
      <w:r>
        <w:t xml:space="preserve"> from 2.9% in 2015–16 to 2.5% in 2024–25.</w:t>
      </w:r>
    </w:p>
    <w:p w14:paraId="5B46EBC7" w14:textId="77777777" w:rsidR="00CB4C2D" w:rsidRDefault="00397949">
      <w:r>
        <w:br w:type="page"/>
      </w:r>
    </w:p>
    <w:p w14:paraId="5B46EBC8" w14:textId="77777777" w:rsidR="00CB4C2D" w:rsidRDefault="00397949">
      <w:pPr>
        <w:pStyle w:val="Heading2"/>
      </w:pPr>
      <w:bookmarkStart w:id="17" w:name="_Toc234836013"/>
      <w:bookmarkStart w:id="18" w:name="X247ff9a157d84cb2766d59c2f0a86be591905fb"/>
      <w:bookmarkEnd w:id="15"/>
      <w:bookmarkEnd w:id="16"/>
      <w:r>
        <w:rPr>
          <w:b/>
          <w:bCs/>
        </w:rPr>
        <w:lastRenderedPageBreak/>
        <w:t>Table 2: Cultural and creative activity components and share of GDP, 2015–16 to 2024–25</w:t>
      </w:r>
      <w:bookmarkEnd w:id="17"/>
    </w:p>
    <w:tbl>
      <w:tblPr>
        <w:tblW w:w="0" w:type="auto"/>
        <w:jc w:val="center"/>
        <w:tblLayout w:type="fixed"/>
        <w:tblLook w:val="0420" w:firstRow="1" w:lastRow="0" w:firstColumn="0" w:lastColumn="0" w:noHBand="0" w:noVBand="1"/>
      </w:tblPr>
      <w:tblGrid>
        <w:gridCol w:w="1080"/>
        <w:gridCol w:w="3312"/>
        <w:gridCol w:w="3456"/>
        <w:gridCol w:w="3312"/>
        <w:gridCol w:w="3312"/>
      </w:tblGrid>
      <w:tr w:rsidR="00CB4C2D" w14:paraId="5B46EBCE"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C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33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C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Cultural and creative activity gross value added (GVA) ($m)</w:t>
            </w:r>
          </w:p>
        </w:tc>
        <w:tc>
          <w:tcPr>
            <w:tcW w:w="345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C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of cultural and creative activity ($m)</w:t>
            </w:r>
          </w:p>
        </w:tc>
        <w:tc>
          <w:tcPr>
            <w:tcW w:w="33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C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Cultural and creative activity GDP ($m)</w:t>
            </w:r>
          </w:p>
        </w:tc>
        <w:tc>
          <w:tcPr>
            <w:tcW w:w="33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B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Cultural and creative activity as a share of GDP (%)</w:t>
            </w:r>
          </w:p>
        </w:tc>
      </w:tr>
      <w:tr w:rsidR="00CB4C2D" w14:paraId="5B46EBD4"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33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45,357</w:t>
            </w:r>
          </w:p>
        </w:tc>
        <w:tc>
          <w:tcPr>
            <w:tcW w:w="345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2,444</w:t>
            </w:r>
          </w:p>
        </w:tc>
        <w:tc>
          <w:tcPr>
            <w:tcW w:w="33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47,801</w:t>
            </w:r>
          </w:p>
        </w:tc>
        <w:tc>
          <w:tcPr>
            <w:tcW w:w="33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w:t>
            </w:r>
          </w:p>
        </w:tc>
      </w:tr>
      <w:tr w:rsidR="00CB4C2D" w14:paraId="5B46EBD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46,597</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2,223</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48,819</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w:t>
            </w:r>
          </w:p>
        </w:tc>
      </w:tr>
      <w:tr w:rsidR="00CB4C2D" w14:paraId="5B46EBE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47,620</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2,272</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49,892</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w:t>
            </w:r>
          </w:p>
        </w:tc>
      </w:tr>
      <w:tr w:rsidR="00CB4C2D" w14:paraId="5B46EBE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48,123</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2,259</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50,382</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2.6</w:t>
            </w:r>
          </w:p>
        </w:tc>
      </w:tr>
      <w:tr w:rsidR="00CB4C2D" w14:paraId="5B46EBE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47,592</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2,239</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49,831</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r>
      <w:tr w:rsidR="00CB4C2D" w14:paraId="5B46EBF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49,290</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E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2,441</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51,731</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r>
      <w:tr w:rsidR="00CB4C2D" w14:paraId="5B46EBF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54,689</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2,891</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57,580</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r>
      <w:tr w:rsidR="00CB4C2D" w14:paraId="5B46EBF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60,066</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3,106</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63,172</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r>
      <w:tr w:rsidR="00CB4C2D" w14:paraId="5B46EC0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B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0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64,272</w:t>
            </w:r>
          </w:p>
        </w:tc>
        <w:tc>
          <w:tcPr>
            <w:tcW w:w="34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0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3,345</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0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67,617</w:t>
            </w:r>
          </w:p>
        </w:tc>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r>
      <w:tr w:rsidR="00CB4C2D" w14:paraId="5B46EC0A"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33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66,767</w:t>
            </w:r>
          </w:p>
        </w:tc>
        <w:tc>
          <w:tcPr>
            <w:tcW w:w="345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0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3,519</w:t>
            </w:r>
          </w:p>
        </w:tc>
        <w:tc>
          <w:tcPr>
            <w:tcW w:w="33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70,286</w:t>
            </w:r>
          </w:p>
        </w:tc>
        <w:tc>
          <w:tcPr>
            <w:tcW w:w="33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r>
    </w:tbl>
    <w:p w14:paraId="5B46EC0B"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3.</w:t>
      </w:r>
    </w:p>
    <w:p w14:paraId="5B46EC0C" w14:textId="77777777" w:rsidR="00CB4C2D" w:rsidRDefault="00397949">
      <w:pPr>
        <w:pStyle w:val="Heading3"/>
      </w:pPr>
      <w:bookmarkStart w:id="19" w:name="explanatory-notes-1"/>
      <w:r>
        <w:rPr>
          <w:bCs/>
        </w:rPr>
        <w:t>Explanatory notes</w:t>
      </w:r>
    </w:p>
    <w:p w14:paraId="5B46EC0D" w14:textId="31347D83" w:rsidR="00CB4C2D" w:rsidRDefault="00397949">
      <w:r>
        <w:t xml:space="preserve">Cultural and creative activity in Australia grew to $70.3 billion in nominal terms in 2024–25, </w:t>
      </w:r>
      <w:r w:rsidR="002C09C5">
        <w:t>up</w:t>
      </w:r>
      <w:r>
        <w:t xml:space="preserve"> $22.5 billion</w:t>
      </w:r>
      <w:r w:rsidR="002C09C5">
        <w:t>,</w:t>
      </w:r>
      <w:r>
        <w:t xml:space="preserve"> or 47.0%</w:t>
      </w:r>
      <w:r w:rsidR="002C09C5">
        <w:t>,</w:t>
      </w:r>
      <w:r>
        <w:t xml:space="preserve"> since 2015–16. This growth included an increase of $21.4 billion in cultural and creative gross value added from 2015–16 to 2024–25, which was primarily from the Professional, Scientific and Technical Services industry</w:t>
      </w:r>
      <w:r w:rsidR="002C09C5">
        <w:t>, which rose by</w:t>
      </w:r>
      <w:r>
        <w:t xml:space="preserve"> $11.7 billion. This industry division includes activities</w:t>
      </w:r>
      <w:r w:rsidR="002C09C5">
        <w:t xml:space="preserve"> that</w:t>
      </w:r>
      <w:r>
        <w:t xml:space="preserve"> generally require a high level of expertise and training and formal (usually tertiary level) qualifications. Cultural and creative activities captured within this division primarily include advertising, architecture, management services for artists, and professional photography. Net taxes on products of cultural and creative activity have increased by $1.1 billion</w:t>
      </w:r>
      <w:r w:rsidR="002C09C5">
        <w:t>,</w:t>
      </w:r>
      <w:r>
        <w:t xml:space="preserve"> or 44.0%, from $2.4 billion in 2015–16 to $3.5 billion in 2024–25.</w:t>
      </w:r>
    </w:p>
    <w:p w14:paraId="5B46EC0E" w14:textId="77777777" w:rsidR="00CB4C2D" w:rsidRDefault="00397949">
      <w:r>
        <w:t>While cultural and creative activity is growing in nominal terms, as a share of GDP it declined by 0.3 percentage points over the period – from 2.9% in 2015–16 to 2.5% in 2024–25.</w:t>
      </w:r>
    </w:p>
    <w:p w14:paraId="5B46EC0F" w14:textId="77777777" w:rsidR="00CB4C2D" w:rsidRDefault="00397949">
      <w:r>
        <w:br w:type="page"/>
      </w:r>
    </w:p>
    <w:p w14:paraId="5B46EC10" w14:textId="77777777" w:rsidR="00CB4C2D" w:rsidRDefault="00397949">
      <w:pPr>
        <w:pStyle w:val="Heading2"/>
      </w:pPr>
      <w:bookmarkStart w:id="20" w:name="_Toc234836014"/>
      <w:bookmarkStart w:id="21" w:name="Xa4384dda0e82b70bed8928423ac0ac7a6a0b8f7"/>
      <w:bookmarkEnd w:id="18"/>
      <w:bookmarkEnd w:id="19"/>
      <w:r>
        <w:rPr>
          <w:b/>
          <w:bCs/>
        </w:rPr>
        <w:lastRenderedPageBreak/>
        <w:t>Figure 1: Relative to nominal Gross Domestic Product (GDP)</w:t>
      </w:r>
      <w:bookmarkEnd w:id="20"/>
    </w:p>
    <w:p w14:paraId="5B46EC11" w14:textId="77777777" w:rsidR="00CB4C2D" w:rsidRDefault="00397949">
      <w:r>
        <w:rPr>
          <w:noProof/>
        </w:rPr>
        <w:drawing>
          <wp:inline distT="0" distB="0" distL="0" distR="0" wp14:anchorId="5B46F497" wp14:editId="068F3160">
            <wp:extent cx="7854214" cy="4158113"/>
            <wp:effectExtent l="0" t="0" r="0" b="0"/>
            <wp:docPr id="37" name="Picture" descr="This is an index line chart showing cultural and creative activity has grown slower than the overall economy since 2015–16."/>
            <wp:cNvGraphicFramePr/>
            <a:graphic xmlns:a="http://schemas.openxmlformats.org/drawingml/2006/main">
              <a:graphicData uri="http://schemas.openxmlformats.org/drawingml/2006/picture">
                <pic:pic xmlns:pic="http://schemas.openxmlformats.org/drawingml/2006/picture">
                  <pic:nvPicPr>
                    <pic:cNvPr id="37" name="Picture" descr="This is an index line chart showing cultural and creative activity has grown slower than the overall economy since 2015–16."/>
                    <pic:cNvPicPr>
                      <a:picLocks noChangeAspect="1" noChangeArrowheads="1"/>
                    </pic:cNvPicPr>
                  </pic:nvPicPr>
                  <pic:blipFill>
                    <a:blip r:embed="rId14"/>
                    <a:stretch>
                      <a:fillRect/>
                    </a:stretch>
                  </pic:blipFill>
                  <pic:spPr bwMode="auto">
                    <a:xfrm>
                      <a:off x="0" y="0"/>
                      <a:ext cx="7854214" cy="4158113"/>
                    </a:xfrm>
                    <a:prstGeom prst="rect">
                      <a:avLst/>
                    </a:prstGeom>
                    <a:noFill/>
                    <a:ln w="9525">
                      <a:noFill/>
                      <a:headEnd/>
                      <a:tailEnd/>
                    </a:ln>
                  </pic:spPr>
                </pic:pic>
              </a:graphicData>
            </a:graphic>
          </wp:inline>
        </w:drawing>
      </w:r>
    </w:p>
    <w:p w14:paraId="5B46EC12"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8.</w:t>
      </w:r>
    </w:p>
    <w:p w14:paraId="5B46EC13" w14:textId="77777777" w:rsidR="00CB4C2D" w:rsidRDefault="00397949">
      <w:pPr>
        <w:pStyle w:val="Heading3"/>
      </w:pPr>
      <w:bookmarkStart w:id="22" w:name="explanatory-notes-2"/>
      <w:r>
        <w:rPr>
          <w:bCs/>
        </w:rPr>
        <w:t>Explanatory notes</w:t>
      </w:r>
    </w:p>
    <w:p w14:paraId="5B46EC14" w14:textId="4087B86D" w:rsidR="00CB4C2D" w:rsidRDefault="00C20670">
      <w:r>
        <w:t>C</w:t>
      </w:r>
      <w:r w:rsidR="00397949">
        <w:t xml:space="preserve">ultural and creative activity </w:t>
      </w:r>
      <w:r>
        <w:t>has grown more slowly</w:t>
      </w:r>
      <w:r w:rsidR="00397949">
        <w:t xml:space="preserve"> than the Australian economy overall. In Figure 1, the index </w:t>
      </w:r>
      <w:r>
        <w:t>value of</w:t>
      </w:r>
      <w:r w:rsidR="00397949">
        <w:t xml:space="preserve"> 100 represents the 2015–16</w:t>
      </w:r>
      <w:r>
        <w:t xml:space="preserve"> base year</w:t>
      </w:r>
      <w:r w:rsidR="00397949">
        <w:t xml:space="preserve">. </w:t>
      </w:r>
      <w:r w:rsidR="00397949" w:rsidRPr="00A42FDA">
        <w:t xml:space="preserve">The dashed line represents GDP growth for the entire Australian economy relative to the base year. </w:t>
      </w:r>
      <w:r>
        <w:t>S</w:t>
      </w:r>
      <w:r w:rsidRPr="00A42FDA">
        <w:t>ince 2015–16</w:t>
      </w:r>
      <w:r>
        <w:t>, c</w:t>
      </w:r>
      <w:r w:rsidR="00397949" w:rsidRPr="00A42FDA">
        <w:t xml:space="preserve">ultural and creative activity </w:t>
      </w:r>
      <w:r>
        <w:t xml:space="preserve">has increased at a </w:t>
      </w:r>
      <w:r w:rsidR="00397949" w:rsidRPr="00A42FDA">
        <w:t>slower</w:t>
      </w:r>
      <w:r>
        <w:t xml:space="preserve"> rate</w:t>
      </w:r>
      <w:r w:rsidR="00397949" w:rsidRPr="00A42FDA">
        <w:t xml:space="preserve"> than </w:t>
      </w:r>
      <w:r>
        <w:t>total GDP, reflecting stronger growth in industries</w:t>
      </w:r>
      <w:r w:rsidR="00397949" w:rsidRPr="00A42FDA">
        <w:t xml:space="preserve"> such as </w:t>
      </w:r>
      <w:r w:rsidR="00A600F1">
        <w:t>M</w:t>
      </w:r>
      <w:r w:rsidR="00A600F1" w:rsidRPr="00A42FDA">
        <w:t>ining</w:t>
      </w:r>
      <w:r w:rsidR="00397949">
        <w:t xml:space="preserve"> and </w:t>
      </w:r>
      <w:r w:rsidR="00A600F1">
        <w:t>Health care and social assistance</w:t>
      </w:r>
      <w:r w:rsidR="00397949">
        <w:t xml:space="preserve"> that are almost entirely outside cultural and creative activity (explained further in Figure</w:t>
      </w:r>
      <w:r>
        <w:t>s</w:t>
      </w:r>
      <w:r w:rsidR="00397949">
        <w:t xml:space="preserve"> 2 and 3). </w:t>
      </w:r>
    </w:p>
    <w:p w14:paraId="5B46EC15" w14:textId="4BFE7B5A" w:rsidR="00CB4C2D" w:rsidRDefault="00397949">
      <w:pPr>
        <w:pStyle w:val="Heading2"/>
      </w:pPr>
      <w:bookmarkStart w:id="23" w:name="_Toc234836015"/>
      <w:bookmarkStart w:id="24" w:name="Xc3a38462fc0e57ce2346ce3bfa4f767093271f0"/>
      <w:bookmarkEnd w:id="21"/>
      <w:bookmarkEnd w:id="22"/>
      <w:r>
        <w:rPr>
          <w:b/>
          <w:bCs/>
        </w:rPr>
        <w:lastRenderedPageBreak/>
        <w:t xml:space="preserve">Figure 2: Cultural and creative </w:t>
      </w:r>
      <w:r w:rsidR="00F22DB7">
        <w:rPr>
          <w:b/>
          <w:bCs/>
        </w:rPr>
        <w:t xml:space="preserve">activity </w:t>
      </w:r>
      <w:r>
        <w:rPr>
          <w:b/>
          <w:bCs/>
        </w:rPr>
        <w:t>GVA and industry share of total economy, 2024–25</w:t>
      </w:r>
      <w:bookmarkEnd w:id="23"/>
    </w:p>
    <w:p w14:paraId="5B46EC16" w14:textId="77777777" w:rsidR="00CB4C2D" w:rsidRDefault="00397949">
      <w:r>
        <w:rPr>
          <w:noProof/>
        </w:rPr>
        <w:drawing>
          <wp:inline distT="0" distB="0" distL="0" distR="0" wp14:anchorId="5B46F499" wp14:editId="1999EB7A">
            <wp:extent cx="7392202" cy="3234088"/>
            <wp:effectExtent l="0" t="0" r="0" b="0"/>
            <wp:docPr id="42" name="Picture" descr="This is a bar chart showing that cultural and creative activity made up 2.6% of GVA in 2024–25, comparable to the Accommodation and food services at 2.6%."/>
            <wp:cNvGraphicFramePr/>
            <a:graphic xmlns:a="http://schemas.openxmlformats.org/drawingml/2006/main">
              <a:graphicData uri="http://schemas.openxmlformats.org/drawingml/2006/picture">
                <pic:pic xmlns:pic="http://schemas.openxmlformats.org/drawingml/2006/picture">
                  <pic:nvPicPr>
                    <pic:cNvPr id="42" name="Picture" descr="This is a bar chart showing that cultural and creative activity made up 2.6% of GVA in 2024–25, comparable to the Accommodation and food services at 2.6%."/>
                    <pic:cNvPicPr>
                      <a:picLocks noChangeAspect="1" noChangeArrowheads="1"/>
                    </pic:cNvPicPr>
                  </pic:nvPicPr>
                  <pic:blipFill>
                    <a:blip r:embed="rId15"/>
                    <a:stretch>
                      <a:fillRect/>
                    </a:stretch>
                  </pic:blipFill>
                  <pic:spPr bwMode="auto">
                    <a:xfrm>
                      <a:off x="0" y="0"/>
                      <a:ext cx="7392202" cy="3234088"/>
                    </a:xfrm>
                    <a:prstGeom prst="rect">
                      <a:avLst/>
                    </a:prstGeom>
                    <a:noFill/>
                    <a:ln w="9525">
                      <a:noFill/>
                      <a:headEnd/>
                      <a:tailEnd/>
                    </a:ln>
                  </pic:spPr>
                </pic:pic>
              </a:graphicData>
            </a:graphic>
          </wp:inline>
        </w:drawing>
      </w:r>
    </w:p>
    <w:p w14:paraId="5B46EC17" w14:textId="071C4A92"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9.</w:t>
      </w:r>
    </w:p>
    <w:p w14:paraId="5B46EC18" w14:textId="77777777" w:rsidR="00CB4C2D" w:rsidRDefault="00397949">
      <w:pPr>
        <w:pStyle w:val="Heading3"/>
      </w:pPr>
      <w:bookmarkStart w:id="25" w:name="explanatory-notes-3"/>
      <w:r>
        <w:rPr>
          <w:bCs/>
        </w:rPr>
        <w:t>Explanatory notes</w:t>
      </w:r>
    </w:p>
    <w:p w14:paraId="5B46EC19" w14:textId="77777777" w:rsidR="00CB4C2D" w:rsidRDefault="00397949">
      <w:pPr>
        <w:pBdr>
          <w:top w:val="none" w:sz="0" w:space="0" w:color="000000"/>
          <w:left w:val="none" w:sz="0" w:space="0" w:color="000000"/>
          <w:bottom w:val="none" w:sz="0" w:space="0" w:color="000000"/>
          <w:right w:val="none" w:sz="0" w:space="0" w:color="000000"/>
        </w:pBdr>
        <w:spacing w:after="0"/>
        <w:rPr>
          <w:rFonts w:ascii="Calibri (Body)" w:eastAsia="Calibri (Body)" w:hAnsi="Calibri (Body)" w:cs="Calibri (Body)"/>
          <w:color w:val="000000"/>
          <w:sz w:val="20"/>
          <w:szCs w:val="20"/>
        </w:rPr>
      </w:pPr>
      <w:r>
        <w:rPr>
          <w:rFonts w:ascii="Calibri (Body)" w:eastAsia="Calibri (Body)" w:hAnsi="Calibri (Body)" w:cs="Calibri (Body)"/>
          <w:color w:val="000000"/>
          <w:sz w:val="20"/>
          <w:szCs w:val="20"/>
        </w:rPr>
        <w:t xml:space="preserve">The Australian System of National Accounts lists 19 industries in the Australian economy. When added together with Ownership of Dwellings, the activity in these industries equals the total amount of final goods and services produced in the economy </w:t>
      </w:r>
      <w:proofErr w:type="gramStart"/>
      <w:r>
        <w:rPr>
          <w:rFonts w:ascii="Calibri (Body)" w:eastAsia="Calibri (Body)" w:hAnsi="Calibri (Body)" w:cs="Calibri (Body)"/>
          <w:color w:val="000000"/>
          <w:sz w:val="20"/>
          <w:szCs w:val="20"/>
        </w:rPr>
        <w:t>in a given</w:t>
      </w:r>
      <w:proofErr w:type="gramEnd"/>
      <w:r>
        <w:rPr>
          <w:rFonts w:ascii="Calibri (Body)" w:eastAsia="Calibri (Body)" w:hAnsi="Calibri (Body)" w:cs="Calibri (Body)"/>
          <w:color w:val="000000"/>
          <w:sz w:val="20"/>
          <w:szCs w:val="20"/>
        </w:rPr>
        <w:t xml:space="preserve"> period. Cultural and creative activity is not an industry division, but rather includes output produced by many industries across the economy. Cultural and creative activity is therefore not additional to the industry shares shown in Figure 2 but is provided here to indicate its size relative to other industry divisions.</w:t>
      </w:r>
    </w:p>
    <w:p w14:paraId="6E3638E0" w14:textId="77777777" w:rsidR="00053CBA" w:rsidRDefault="00053CBA">
      <w:pPr>
        <w:pBdr>
          <w:top w:val="none" w:sz="0" w:space="0" w:color="000000"/>
          <w:left w:val="none" w:sz="0" w:space="0" w:color="000000"/>
          <w:bottom w:val="none" w:sz="0" w:space="0" w:color="000000"/>
          <w:right w:val="none" w:sz="0" w:space="0" w:color="000000"/>
        </w:pBdr>
        <w:spacing w:after="0"/>
      </w:pPr>
    </w:p>
    <w:p w14:paraId="5B46EC1A" w14:textId="30B512A4" w:rsidR="00CB4C2D" w:rsidRDefault="00397949">
      <w:pPr>
        <w:pBdr>
          <w:top w:val="none" w:sz="0" w:space="0" w:color="000000"/>
          <w:left w:val="none" w:sz="0" w:space="0" w:color="000000"/>
          <w:bottom w:val="none" w:sz="0" w:space="0" w:color="000000"/>
          <w:right w:val="none" w:sz="0" w:space="0" w:color="000000"/>
        </w:pBdr>
        <w:spacing w:after="0"/>
        <w:rPr>
          <w:rFonts w:ascii="Calibri (Body)" w:eastAsia="Calibri (Body)" w:hAnsi="Calibri (Body)" w:cs="Calibri (Body)"/>
          <w:color w:val="000000"/>
          <w:sz w:val="20"/>
          <w:szCs w:val="20"/>
        </w:rPr>
      </w:pPr>
      <w:r>
        <w:rPr>
          <w:rFonts w:ascii="Calibri (Body)" w:eastAsia="Calibri (Body)" w:hAnsi="Calibri (Body)" w:cs="Calibri (Body)"/>
          <w:color w:val="000000"/>
          <w:sz w:val="20"/>
          <w:szCs w:val="20"/>
        </w:rPr>
        <w:t>Figure 2 shows that cultural and creative activity accounted for 2.6% of GVA</w:t>
      </w:r>
      <w:r w:rsidRPr="006A0CEE">
        <w:rPr>
          <w:rFonts w:ascii="Calibri (Body)" w:eastAsia="Calibri (Body)" w:hAnsi="Calibri (Body)" w:cs="Calibri (Body)"/>
          <w:color w:val="000000"/>
          <w:sz w:val="20"/>
          <w:szCs w:val="20"/>
          <w:vertAlign w:val="superscript"/>
        </w:rPr>
        <w:t>1</w:t>
      </w:r>
      <w:r>
        <w:rPr>
          <w:rFonts w:ascii="Calibri (Body)" w:eastAsia="Calibri (Body)" w:hAnsi="Calibri (Body)" w:cs="Calibri (Body)"/>
          <w:color w:val="000000"/>
          <w:sz w:val="20"/>
          <w:szCs w:val="20"/>
        </w:rPr>
        <w:t xml:space="preserve"> in the economy in 2024–25</w:t>
      </w:r>
      <w:r w:rsidR="00053CBA">
        <w:rPr>
          <w:rFonts w:ascii="Calibri (Body)" w:eastAsia="Calibri (Body)" w:hAnsi="Calibri (Body)" w:cs="Calibri (Body)"/>
          <w:color w:val="000000"/>
          <w:sz w:val="20"/>
          <w:szCs w:val="20"/>
        </w:rPr>
        <w:t>,</w:t>
      </w:r>
      <w:r>
        <w:rPr>
          <w:rFonts w:ascii="Calibri (Body)" w:eastAsia="Calibri (Body)" w:hAnsi="Calibri (Body)" w:cs="Calibri (Body)"/>
          <w:color w:val="000000"/>
          <w:sz w:val="20"/>
          <w:szCs w:val="20"/>
        </w:rPr>
        <w:t xml:space="preserve"> comparable to the size of the Accommodation and food services industry.</w:t>
      </w:r>
    </w:p>
    <w:p w14:paraId="724531C7" w14:textId="77777777" w:rsidR="00053CBA" w:rsidRDefault="00053CBA">
      <w:pPr>
        <w:pBdr>
          <w:top w:val="none" w:sz="0" w:space="0" w:color="000000"/>
          <w:left w:val="none" w:sz="0" w:space="0" w:color="000000"/>
          <w:bottom w:val="none" w:sz="0" w:space="0" w:color="000000"/>
          <w:right w:val="none" w:sz="0" w:space="0" w:color="000000"/>
        </w:pBdr>
        <w:spacing w:after="0"/>
      </w:pPr>
    </w:p>
    <w:p w14:paraId="5B46EC1B"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1</w:t>
      </w:r>
      <w:r w:rsidRPr="00776C38">
        <w:rPr>
          <w:rFonts w:ascii="Calibri (Body)" w:eastAsia="Calibri (Body)" w:hAnsi="Calibri (Body)" w:cs="Calibri (Body)"/>
          <w:color w:val="000000"/>
          <w:sz w:val="18"/>
          <w:szCs w:val="18"/>
        </w:rPr>
        <w:t xml:space="preserve"> GVA is a measure of the contribution to domestic production made by an individual producer, industry or sector. This is the value of output less the value of the goods and services used up in the process of production. By excluding net taxes, GVA provides a more accurate measure of economic activity by industry than gross domestic product (GDP).</w:t>
      </w:r>
    </w:p>
    <w:p w14:paraId="5B46EC1C" w14:textId="77777777" w:rsidR="00CB4C2D" w:rsidRDefault="00397949">
      <w:r>
        <w:br w:type="page"/>
      </w:r>
    </w:p>
    <w:p w14:paraId="5B46EC1D" w14:textId="77777777" w:rsidR="00CB4C2D" w:rsidRDefault="00397949">
      <w:pPr>
        <w:pStyle w:val="Heading2"/>
      </w:pPr>
      <w:bookmarkStart w:id="26" w:name="_Toc234836016"/>
      <w:bookmarkStart w:id="27" w:name="X9ffdec69cb5b537508d9f41f872f73cac76a40d"/>
      <w:bookmarkEnd w:id="24"/>
      <w:bookmarkEnd w:id="25"/>
      <w:r>
        <w:rPr>
          <w:b/>
          <w:bCs/>
        </w:rPr>
        <w:lastRenderedPageBreak/>
        <w:t>Figure 3: GVA average annual growth rate by industry division, 2015–16 to 2024–25</w:t>
      </w:r>
      <w:bookmarkEnd w:id="26"/>
    </w:p>
    <w:p w14:paraId="5B46EC1E" w14:textId="77777777" w:rsidR="00CB4C2D" w:rsidRDefault="00397949">
      <w:r>
        <w:rPr>
          <w:noProof/>
        </w:rPr>
        <w:drawing>
          <wp:inline distT="0" distB="0" distL="0" distR="0" wp14:anchorId="5B46F49B" wp14:editId="5B46F49C">
            <wp:extent cx="7392202" cy="3696101"/>
            <wp:effectExtent l="0" t="0" r="0" b="0"/>
            <wp:docPr id="47" name="Picture" descr="This is a bar chart showing from 2015–16 to 2024–25, GVA growth average annual was 13.1% for mining, 8.0% for health care and social assistance, 6.0% for the economy overall, and 4.5% for cultural and creative activity."/>
            <wp:cNvGraphicFramePr/>
            <a:graphic xmlns:a="http://schemas.openxmlformats.org/drawingml/2006/main">
              <a:graphicData uri="http://schemas.openxmlformats.org/drawingml/2006/picture">
                <pic:pic xmlns:pic="http://schemas.openxmlformats.org/drawingml/2006/picture">
                  <pic:nvPicPr>
                    <pic:cNvPr id="48" name="Picture" descr="1__CCA_Phase1_MODEL_VisualSum_Trade_3July2026_updated_files/figure-docx/unnamed-chunk-76-1.png"/>
                    <pic:cNvPicPr>
                      <a:picLocks noChangeAspect="1" noChangeArrowheads="1"/>
                    </pic:cNvPicPr>
                  </pic:nvPicPr>
                  <pic:blipFill>
                    <a:blip r:embed="rId16"/>
                    <a:stretch>
                      <a:fillRect/>
                    </a:stretch>
                  </pic:blipFill>
                  <pic:spPr bwMode="auto">
                    <a:xfrm>
                      <a:off x="0" y="0"/>
                      <a:ext cx="7392202" cy="3696101"/>
                    </a:xfrm>
                    <a:prstGeom prst="rect">
                      <a:avLst/>
                    </a:prstGeom>
                    <a:noFill/>
                    <a:ln w="9525">
                      <a:noFill/>
                      <a:headEnd/>
                      <a:tailEnd/>
                    </a:ln>
                  </pic:spPr>
                </pic:pic>
              </a:graphicData>
            </a:graphic>
          </wp:inline>
        </w:drawing>
      </w:r>
    </w:p>
    <w:p w14:paraId="5B46EC1F"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10.</w:t>
      </w:r>
    </w:p>
    <w:p w14:paraId="5B46EC20" w14:textId="77777777" w:rsidR="00CB4C2D" w:rsidRDefault="00397949">
      <w:pPr>
        <w:pStyle w:val="Heading3"/>
      </w:pPr>
      <w:bookmarkStart w:id="28" w:name="explanatory-notes-4"/>
      <w:r>
        <w:rPr>
          <w:bCs/>
        </w:rPr>
        <w:t>Explanatory notes</w:t>
      </w:r>
    </w:p>
    <w:p w14:paraId="5B46EC21" w14:textId="7174DEE0" w:rsidR="00CB4C2D" w:rsidRDefault="00D77A69">
      <w:r>
        <w:t>From 2015–16 to 2024–25, t</w:t>
      </w:r>
      <w:r w:rsidR="00397949">
        <w:t>he Australian economy has been supported by strong growth in Mining</w:t>
      </w:r>
      <w:r>
        <w:t xml:space="preserve">, </w:t>
      </w:r>
      <w:r w:rsidR="00397949">
        <w:t>buoyed by high commodity prices</w:t>
      </w:r>
      <w:r>
        <w:t>,</w:t>
      </w:r>
      <w:r w:rsidR="00397949">
        <w:t xml:space="preserve"> and </w:t>
      </w:r>
      <w:r>
        <w:t>Health care and social assistance,</w:t>
      </w:r>
      <w:r w:rsidR="00397949">
        <w:t xml:space="preserve"> supported by an ageing population</w:t>
      </w:r>
      <w:r>
        <w:t>. A</w:t>
      </w:r>
      <w:r w:rsidR="00397949">
        <w:t xml:space="preserve">verage annual GVA growth was 13.1% in </w:t>
      </w:r>
      <w:r>
        <w:t>Mining</w:t>
      </w:r>
      <w:r w:rsidR="00397949">
        <w:t>, 8.0% in Health care and social assistance, 6.0% for the overall economy, and 4.5% in cultural and creative activit</w:t>
      </w:r>
      <w:r>
        <w:t>y</w:t>
      </w:r>
      <w:r w:rsidR="00397949">
        <w:t xml:space="preserve">. </w:t>
      </w:r>
    </w:p>
    <w:p w14:paraId="5B46EC22" w14:textId="77777777" w:rsidR="00CB4C2D" w:rsidRDefault="00397949">
      <w:pPr>
        <w:pStyle w:val="Heading2"/>
      </w:pPr>
      <w:bookmarkStart w:id="29" w:name="_Toc234836017"/>
      <w:bookmarkStart w:id="30" w:name="X15eea5dc869ca5ec481a26863c14859d2794002"/>
      <w:bookmarkEnd w:id="27"/>
      <w:bookmarkEnd w:id="28"/>
      <w:r>
        <w:rPr>
          <w:b/>
          <w:bCs/>
        </w:rPr>
        <w:lastRenderedPageBreak/>
        <w:t>Figure 4: Cultural and creative activity, GDP by domain, 2024–25</w:t>
      </w:r>
      <w:bookmarkEnd w:id="29"/>
    </w:p>
    <w:p w14:paraId="5B46EC23" w14:textId="77777777" w:rsidR="00CB4C2D" w:rsidRDefault="00397949">
      <w:r>
        <w:rPr>
          <w:noProof/>
        </w:rPr>
        <w:drawing>
          <wp:inline distT="0" distB="0" distL="0" distR="0" wp14:anchorId="5B46F49D" wp14:editId="5B46F49E">
            <wp:extent cx="7392202" cy="4620126"/>
            <wp:effectExtent l="0" t="0" r="0" b="0"/>
            <wp:docPr id="52" name="Picture" descr="This dot plot chart shows 15 domains in 2024–25, with advertising and promotion the top contributor to cultural and creative activity, accounting for $18.1 billion."/>
            <wp:cNvGraphicFramePr/>
            <a:graphic xmlns:a="http://schemas.openxmlformats.org/drawingml/2006/main">
              <a:graphicData uri="http://schemas.openxmlformats.org/drawingml/2006/picture">
                <pic:pic xmlns:pic="http://schemas.openxmlformats.org/drawingml/2006/picture">
                  <pic:nvPicPr>
                    <pic:cNvPr id="53" name="Picture" descr="1__CCA_Phase1_MODEL_VisualSum_Trade_3July2026_updated_files/figure-docx/unnamed-chunk-79-1.png"/>
                    <pic:cNvPicPr>
                      <a:picLocks noChangeAspect="1" noChangeArrowheads="1"/>
                    </pic:cNvPicPr>
                  </pic:nvPicPr>
                  <pic:blipFill>
                    <a:blip r:embed="rId17"/>
                    <a:stretch>
                      <a:fillRect/>
                    </a:stretch>
                  </pic:blipFill>
                  <pic:spPr bwMode="auto">
                    <a:xfrm>
                      <a:off x="0" y="0"/>
                      <a:ext cx="7392202" cy="4620126"/>
                    </a:xfrm>
                    <a:prstGeom prst="rect">
                      <a:avLst/>
                    </a:prstGeom>
                    <a:noFill/>
                    <a:ln w="9525">
                      <a:noFill/>
                      <a:headEnd/>
                      <a:tailEnd/>
                    </a:ln>
                  </pic:spPr>
                </pic:pic>
              </a:graphicData>
            </a:graphic>
          </wp:inline>
        </w:drawing>
      </w:r>
    </w:p>
    <w:p w14:paraId="5B46EC24"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11.</w:t>
      </w:r>
    </w:p>
    <w:p w14:paraId="5B46EC25" w14:textId="77777777" w:rsidR="00CB4C2D" w:rsidRDefault="00397949">
      <w:pPr>
        <w:pStyle w:val="Heading3"/>
      </w:pPr>
      <w:bookmarkStart w:id="31" w:name="explanatory-notes-5"/>
      <w:r>
        <w:rPr>
          <w:bCs/>
        </w:rPr>
        <w:t>Explanatory notes</w:t>
      </w:r>
    </w:p>
    <w:p w14:paraId="13E1B709" w14:textId="77777777" w:rsidR="00EE1B9D" w:rsidRDefault="00EE1B9D">
      <w:pPr>
        <w:rPr>
          <w:color w:val="000000"/>
          <w:kern w:val="2"/>
          <w:lang w:eastAsia="en-AU"/>
          <w14:ligatures w14:val="standardContextual"/>
        </w:rPr>
      </w:pPr>
      <w:r>
        <w:t>Cultural and creative activity is grouped into 15 domains. In 2024–25, advertising and promotion was the largest contributor, at $18.1 billion.</w:t>
      </w:r>
    </w:p>
    <w:p w14:paraId="5B46EC27" w14:textId="77777777" w:rsidR="00CB4C2D" w:rsidRDefault="00397949">
      <w:r>
        <w:br w:type="page"/>
      </w:r>
    </w:p>
    <w:p w14:paraId="5B46EC28" w14:textId="77777777" w:rsidR="00CB4C2D" w:rsidRDefault="00397949">
      <w:pPr>
        <w:pStyle w:val="Heading2"/>
      </w:pPr>
      <w:bookmarkStart w:id="32" w:name="_Toc234836018"/>
      <w:bookmarkStart w:id="33" w:name="X63d6bc47ad638a0460f8cbf1a60d433f0f0a90c"/>
      <w:bookmarkEnd w:id="30"/>
      <w:bookmarkEnd w:id="31"/>
      <w:r>
        <w:rPr>
          <w:b/>
          <w:bCs/>
        </w:rPr>
        <w:lastRenderedPageBreak/>
        <w:t>Figure 5: Contribution to cultural and creative activity, GDP by domain, 2015–16 and 2024–25</w:t>
      </w:r>
      <w:bookmarkEnd w:id="32"/>
    </w:p>
    <w:p w14:paraId="5B46EC29" w14:textId="2CCF37B8" w:rsidR="00CB4C2D" w:rsidRDefault="009C7326">
      <w:r>
        <w:rPr>
          <w:noProof/>
        </w:rPr>
        <w:drawing>
          <wp:inline distT="0" distB="0" distL="0" distR="0" wp14:anchorId="2499631D" wp14:editId="2B7C1E23">
            <wp:extent cx="9240252" cy="4244741"/>
            <wp:effectExtent l="0" t="0" r="0" b="0"/>
            <wp:docPr id="57" name="Picture" descr="This stacked column chart shows the GDP contribution to cultural and creative activity by major domains between 2015–16 and 2024–25. The top four domains in 2024–25 are Advertising and promotion, Print media and publishing (excl. internet), Film and television activities, and Architecture services"/>
            <wp:cNvGraphicFramePr/>
            <a:graphic xmlns:a="http://schemas.openxmlformats.org/drawingml/2006/main">
              <a:graphicData uri="http://schemas.openxmlformats.org/drawingml/2006/picture">
                <pic:pic xmlns:pic="http://schemas.openxmlformats.org/drawingml/2006/picture">
                  <pic:nvPicPr>
                    <pic:cNvPr id="58" name="Picture" descr="1__CCA_Phase1_MODEL_VisualSum_Trade_20260831_files/figure-docx/unnamed-chunk-83-1.png"/>
                    <pic:cNvPicPr>
                      <a:picLocks noChangeAspect="1" noChangeArrowheads="1"/>
                    </pic:cNvPicPr>
                  </pic:nvPicPr>
                  <pic:blipFill>
                    <a:blip r:embed="rId18"/>
                    <a:stretch>
                      <a:fillRect/>
                    </a:stretch>
                  </pic:blipFill>
                  <pic:spPr bwMode="auto">
                    <a:xfrm>
                      <a:off x="0" y="0"/>
                      <a:ext cx="9240252" cy="4244741"/>
                    </a:xfrm>
                    <a:prstGeom prst="rect">
                      <a:avLst/>
                    </a:prstGeom>
                    <a:noFill/>
                    <a:ln w="9525">
                      <a:noFill/>
                      <a:headEnd/>
                      <a:tailEnd/>
                    </a:ln>
                  </pic:spPr>
                </pic:pic>
              </a:graphicData>
            </a:graphic>
          </wp:inline>
        </w:drawing>
      </w:r>
    </w:p>
    <w:p w14:paraId="5B46EC2A"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12.</w:t>
      </w:r>
    </w:p>
    <w:p w14:paraId="5B46EC2B" w14:textId="77777777" w:rsidR="00CB4C2D" w:rsidRDefault="00397949">
      <w:pPr>
        <w:pStyle w:val="Heading3"/>
      </w:pPr>
      <w:bookmarkStart w:id="34" w:name="explanatory-notes-6"/>
      <w:r>
        <w:rPr>
          <w:bCs/>
        </w:rPr>
        <w:t>Explanatory notes</w:t>
      </w:r>
    </w:p>
    <w:p w14:paraId="5B46EC2C" w14:textId="6C2F5EB0" w:rsidR="00CB4C2D" w:rsidRDefault="00745AF4">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Advertising </w:t>
      </w:r>
      <w:r w:rsidR="00397949">
        <w:rPr>
          <w:rFonts w:ascii="Calibri (Body)" w:eastAsia="Calibri (Body)" w:hAnsi="Calibri (Body)" w:cs="Calibri (Body)"/>
          <w:color w:val="000000"/>
          <w:sz w:val="20"/>
          <w:szCs w:val="20"/>
        </w:rPr>
        <w:t xml:space="preserve">and promotion </w:t>
      </w:r>
      <w:proofErr w:type="gramStart"/>
      <w:r w:rsidR="00397949">
        <w:rPr>
          <w:rFonts w:ascii="Calibri (Body)" w:eastAsia="Calibri (Body)" w:hAnsi="Calibri (Body)" w:cs="Calibri (Body)"/>
          <w:color w:val="000000"/>
          <w:sz w:val="20"/>
          <w:szCs w:val="20"/>
        </w:rPr>
        <w:t>was</w:t>
      </w:r>
      <w:proofErr w:type="gramEnd"/>
      <w:r w:rsidR="00397949">
        <w:rPr>
          <w:rFonts w:ascii="Calibri (Body)" w:eastAsia="Calibri (Body)" w:hAnsi="Calibri (Body)" w:cs="Calibri (Body)"/>
          <w:color w:val="000000"/>
          <w:sz w:val="20"/>
          <w:szCs w:val="20"/>
        </w:rPr>
        <w:t xml:space="preserve"> the largest domain, with its share</w:t>
      </w:r>
      <w:r>
        <w:rPr>
          <w:rFonts w:ascii="Calibri (Body)" w:eastAsia="Calibri (Body)" w:hAnsi="Calibri (Body)" w:cs="Calibri (Body)"/>
          <w:color w:val="000000"/>
          <w:sz w:val="20"/>
          <w:szCs w:val="20"/>
        </w:rPr>
        <w:t xml:space="preserve"> of cultural and creative activity</w:t>
      </w:r>
      <w:r w:rsidR="00397949">
        <w:rPr>
          <w:rFonts w:ascii="Calibri (Body)" w:eastAsia="Calibri (Body)" w:hAnsi="Calibri (Body)" w:cs="Calibri (Body)"/>
          <w:color w:val="000000"/>
          <w:sz w:val="20"/>
          <w:szCs w:val="20"/>
        </w:rPr>
        <w:t xml:space="preserve"> </w:t>
      </w:r>
      <w:r>
        <w:rPr>
          <w:rFonts w:ascii="Calibri (Body)" w:eastAsia="Calibri (Body)" w:hAnsi="Calibri (Body)" w:cs="Calibri (Body)"/>
          <w:color w:val="000000"/>
          <w:sz w:val="20"/>
          <w:szCs w:val="20"/>
        </w:rPr>
        <w:t xml:space="preserve">increasing </w:t>
      </w:r>
      <w:r w:rsidR="00397949">
        <w:rPr>
          <w:rFonts w:ascii="Calibri (Body)" w:eastAsia="Calibri (Body)" w:hAnsi="Calibri (Body)" w:cs="Calibri (Body)"/>
          <w:color w:val="000000"/>
          <w:sz w:val="20"/>
          <w:szCs w:val="20"/>
        </w:rPr>
        <w:t>from 23.3% in 2015–16 to 25.7%</w:t>
      </w:r>
      <w:r>
        <w:rPr>
          <w:rFonts w:ascii="Calibri (Body)" w:eastAsia="Calibri (Body)" w:hAnsi="Calibri (Body)" w:cs="Calibri (Body)"/>
          <w:color w:val="000000"/>
          <w:sz w:val="20"/>
          <w:szCs w:val="20"/>
        </w:rPr>
        <w:t xml:space="preserve"> in 2024–25</w:t>
      </w:r>
      <w:r w:rsidR="00397949">
        <w:rPr>
          <w:rFonts w:ascii="Calibri (Body)" w:eastAsia="Calibri (Body)" w:hAnsi="Calibri (Body)" w:cs="Calibri (Body)"/>
          <w:color w:val="000000"/>
          <w:sz w:val="20"/>
          <w:szCs w:val="20"/>
        </w:rPr>
        <w:t xml:space="preserve">. Print media and publishing (excl. internet) </w:t>
      </w:r>
      <w:r>
        <w:rPr>
          <w:rFonts w:ascii="Calibri (Body)" w:eastAsia="Calibri (Body)" w:hAnsi="Calibri (Body)" w:cs="Calibri (Body)"/>
          <w:color w:val="000000"/>
          <w:sz w:val="20"/>
          <w:szCs w:val="20"/>
        </w:rPr>
        <w:t>was the second largest</w:t>
      </w:r>
      <w:r w:rsidR="00397949">
        <w:rPr>
          <w:rFonts w:ascii="Calibri (Body)" w:eastAsia="Calibri (Body)" w:hAnsi="Calibri (Body)" w:cs="Calibri (Body)"/>
          <w:color w:val="000000"/>
          <w:sz w:val="20"/>
          <w:szCs w:val="20"/>
        </w:rPr>
        <w:t>, up from $10.9 billion</w:t>
      </w:r>
      <w:r>
        <w:rPr>
          <w:rFonts w:ascii="Calibri (Body)" w:eastAsia="Calibri (Body)" w:hAnsi="Calibri (Body)" w:cs="Calibri (Body)"/>
          <w:color w:val="000000"/>
          <w:sz w:val="20"/>
          <w:szCs w:val="20"/>
        </w:rPr>
        <w:t>,</w:t>
      </w:r>
      <w:r w:rsidR="00397949">
        <w:rPr>
          <w:rFonts w:ascii="Calibri (Body)" w:eastAsia="Calibri (Body)" w:hAnsi="Calibri (Body)" w:cs="Calibri (Body)"/>
          <w:color w:val="000000"/>
          <w:sz w:val="20"/>
          <w:szCs w:val="20"/>
        </w:rPr>
        <w:t xml:space="preserve"> or 22.9%</w:t>
      </w:r>
      <w:r>
        <w:rPr>
          <w:rFonts w:ascii="Calibri (Body)" w:eastAsia="Calibri (Body)" w:hAnsi="Calibri (Body)" w:cs="Calibri (Body)"/>
          <w:color w:val="000000"/>
          <w:sz w:val="20"/>
          <w:szCs w:val="20"/>
        </w:rPr>
        <w:t>,</w:t>
      </w:r>
      <w:r w:rsidR="00397949">
        <w:rPr>
          <w:rFonts w:ascii="Calibri (Body)" w:eastAsia="Calibri (Body)" w:hAnsi="Calibri (Body)" w:cs="Calibri (Body)"/>
          <w:color w:val="000000"/>
          <w:sz w:val="20"/>
          <w:szCs w:val="20"/>
        </w:rPr>
        <w:t xml:space="preserve"> in 2015–16</w:t>
      </w:r>
      <w:r>
        <w:rPr>
          <w:rFonts w:ascii="Calibri (Body)" w:eastAsia="Calibri (Body)" w:hAnsi="Calibri (Body)" w:cs="Calibri (Body)"/>
          <w:color w:val="000000"/>
          <w:sz w:val="20"/>
          <w:szCs w:val="20"/>
        </w:rPr>
        <w:t xml:space="preserve"> </w:t>
      </w:r>
      <w:r>
        <w:rPr>
          <w:rFonts w:ascii="Calibri (Body)" w:hAnsi="Calibri (Body)"/>
          <w:sz w:val="20"/>
          <w:szCs w:val="20"/>
        </w:rPr>
        <w:t>to $17.6 billion, or 25.1%, in 2024–25</w:t>
      </w:r>
      <w:r w:rsidR="00397949">
        <w:rPr>
          <w:rFonts w:ascii="Calibri (Body)" w:eastAsia="Calibri (Body)" w:hAnsi="Calibri (Body)" w:cs="Calibri (Body)"/>
          <w:color w:val="000000"/>
          <w:sz w:val="20"/>
          <w:szCs w:val="20"/>
        </w:rPr>
        <w:t>. Film and television activities w</w:t>
      </w:r>
      <w:r>
        <w:rPr>
          <w:rFonts w:ascii="Calibri (Body)" w:eastAsia="Calibri (Body)" w:hAnsi="Calibri (Body)" w:cs="Calibri (Body)"/>
          <w:color w:val="000000"/>
          <w:sz w:val="20"/>
          <w:szCs w:val="20"/>
        </w:rPr>
        <w:t>as</w:t>
      </w:r>
      <w:r w:rsidR="00397949">
        <w:rPr>
          <w:rFonts w:ascii="Calibri (Body)" w:eastAsia="Calibri (Body)" w:hAnsi="Calibri (Body)" w:cs="Calibri (Body)"/>
          <w:color w:val="000000"/>
          <w:sz w:val="20"/>
          <w:szCs w:val="20"/>
        </w:rPr>
        <w:t xml:space="preserve"> valued at $7.3 billion, </w:t>
      </w:r>
      <w:r>
        <w:rPr>
          <w:rFonts w:ascii="Calibri (Body)" w:eastAsia="Calibri (Body)" w:hAnsi="Calibri (Body)" w:cs="Calibri (Body)"/>
          <w:color w:val="000000"/>
          <w:sz w:val="20"/>
          <w:szCs w:val="20"/>
        </w:rPr>
        <w:t xml:space="preserve">although its share fell </w:t>
      </w:r>
      <w:r w:rsidR="00397949">
        <w:rPr>
          <w:rFonts w:ascii="Calibri (Body)" w:eastAsia="Calibri (Body)" w:hAnsi="Calibri (Body)" w:cs="Calibri (Body)"/>
          <w:color w:val="000000"/>
          <w:sz w:val="20"/>
          <w:szCs w:val="20"/>
        </w:rPr>
        <w:t xml:space="preserve">from 16.7% to 10.4%. Architecture services </w:t>
      </w:r>
      <w:r>
        <w:rPr>
          <w:rFonts w:ascii="Calibri (Body)" w:eastAsia="Calibri (Body)" w:hAnsi="Calibri (Body)" w:cs="Calibri (Body)"/>
          <w:color w:val="000000"/>
          <w:sz w:val="20"/>
          <w:szCs w:val="20"/>
        </w:rPr>
        <w:t xml:space="preserve">contributed </w:t>
      </w:r>
      <w:r w:rsidR="00397949">
        <w:rPr>
          <w:rFonts w:ascii="Calibri (Body)" w:eastAsia="Calibri (Body)" w:hAnsi="Calibri (Body)" w:cs="Calibri (Body)"/>
          <w:color w:val="000000"/>
          <w:sz w:val="20"/>
          <w:szCs w:val="20"/>
        </w:rPr>
        <w:t>$6.8 billion</w:t>
      </w:r>
      <w:r>
        <w:rPr>
          <w:rFonts w:ascii="Calibri (Body)" w:eastAsia="Calibri (Body)" w:hAnsi="Calibri (Body)" w:cs="Calibri (Body)"/>
          <w:color w:val="000000"/>
          <w:sz w:val="20"/>
          <w:szCs w:val="20"/>
        </w:rPr>
        <w:t xml:space="preserve"> and </w:t>
      </w:r>
      <w:r>
        <w:rPr>
          <w:rFonts w:ascii="Calibri (Body)" w:hAnsi="Calibri (Body)"/>
          <w:sz w:val="20"/>
          <w:szCs w:val="20"/>
        </w:rPr>
        <w:t xml:space="preserve">remained broadly stable as a share, decreasing slightly from 9.7% to 9.6%. Together, </w:t>
      </w:r>
      <w:r>
        <w:rPr>
          <w:rFonts w:ascii="Calibri (Body)" w:eastAsia="Calibri (Body)" w:hAnsi="Calibri (Body)" w:cs="Calibri (Body)"/>
          <w:color w:val="000000"/>
          <w:sz w:val="20"/>
          <w:szCs w:val="20"/>
        </w:rPr>
        <w:t>t</w:t>
      </w:r>
      <w:r w:rsidR="00397949">
        <w:rPr>
          <w:rFonts w:ascii="Calibri (Body)" w:eastAsia="Calibri (Body)" w:hAnsi="Calibri (Body)" w:cs="Calibri (Body)"/>
          <w:color w:val="000000"/>
          <w:sz w:val="20"/>
          <w:szCs w:val="20"/>
        </w:rPr>
        <w:t>hese four domains represented over 70% of cultural and creative activity in 2024–25.</w:t>
      </w:r>
    </w:p>
    <w:p w14:paraId="5B46EC2D" w14:textId="77777777" w:rsidR="00CB4C2D" w:rsidRDefault="00397949">
      <w:r>
        <w:br w:type="page"/>
      </w:r>
    </w:p>
    <w:p w14:paraId="5B46EC2E" w14:textId="77777777" w:rsidR="00CB4C2D" w:rsidRDefault="00397949">
      <w:pPr>
        <w:pStyle w:val="Heading2"/>
      </w:pPr>
      <w:bookmarkStart w:id="35" w:name="_Toc234836019"/>
      <w:bookmarkStart w:id="36" w:name="Xfa0a3edc78ed1a9ad922bf5471907e3b5670144"/>
      <w:bookmarkEnd w:id="33"/>
      <w:bookmarkEnd w:id="34"/>
      <w:r>
        <w:rPr>
          <w:b/>
          <w:bCs/>
        </w:rPr>
        <w:lastRenderedPageBreak/>
        <w:t>Figure 6: Nominal GDP growth by domain, between 2015–16 and 2024–25</w:t>
      </w:r>
      <w:bookmarkEnd w:id="35"/>
    </w:p>
    <w:p w14:paraId="5B46EC2F" w14:textId="77777777" w:rsidR="00CB4C2D" w:rsidRDefault="00397949">
      <w:r>
        <w:rPr>
          <w:noProof/>
        </w:rPr>
        <w:drawing>
          <wp:inline distT="0" distB="0" distL="0" distR="0" wp14:anchorId="5B46F4A1" wp14:editId="5B46F4A2">
            <wp:extent cx="7392202" cy="4158113"/>
            <wp:effectExtent l="0" t="0" r="0" b="0"/>
            <wp:docPr id="62" name="Picture" descr="This bar chart shows from 2015–16 to 2024–25, 13 of 15 domains grew in nominal terms. Advertising and promotion saw the largest increase, while Film and television activities and Radio broadcasting showed declines."/>
            <wp:cNvGraphicFramePr/>
            <a:graphic xmlns:a="http://schemas.openxmlformats.org/drawingml/2006/main">
              <a:graphicData uri="http://schemas.openxmlformats.org/drawingml/2006/picture">
                <pic:pic xmlns:pic="http://schemas.openxmlformats.org/drawingml/2006/picture">
                  <pic:nvPicPr>
                    <pic:cNvPr id="63" name="Picture" descr="1__CCA_Phase1_MODEL_VisualSum_Trade_3July2026_updated_files/figure-docx/unnamed-chunk-85-1.png"/>
                    <pic:cNvPicPr>
                      <a:picLocks noChangeAspect="1" noChangeArrowheads="1"/>
                    </pic:cNvPicPr>
                  </pic:nvPicPr>
                  <pic:blipFill>
                    <a:blip r:embed="rId19"/>
                    <a:stretch>
                      <a:fillRect/>
                    </a:stretch>
                  </pic:blipFill>
                  <pic:spPr bwMode="auto">
                    <a:xfrm>
                      <a:off x="0" y="0"/>
                      <a:ext cx="7392202" cy="4158113"/>
                    </a:xfrm>
                    <a:prstGeom prst="rect">
                      <a:avLst/>
                    </a:prstGeom>
                    <a:noFill/>
                    <a:ln w="9525">
                      <a:noFill/>
                      <a:headEnd/>
                      <a:tailEnd/>
                    </a:ln>
                  </pic:spPr>
                </pic:pic>
              </a:graphicData>
            </a:graphic>
          </wp:inline>
        </w:drawing>
      </w:r>
    </w:p>
    <w:p w14:paraId="5B46EC30"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13.</w:t>
      </w:r>
    </w:p>
    <w:p w14:paraId="5B46EC31" w14:textId="77777777" w:rsidR="00CB4C2D" w:rsidRDefault="00397949">
      <w:pPr>
        <w:pStyle w:val="Heading3"/>
      </w:pPr>
      <w:bookmarkStart w:id="37" w:name="explanatory-notes-7"/>
      <w:r>
        <w:rPr>
          <w:bCs/>
        </w:rPr>
        <w:t>Explanatory notes</w:t>
      </w:r>
    </w:p>
    <w:p w14:paraId="5B46EC32" w14:textId="30B198C7" w:rsidR="00CB4C2D" w:rsidRDefault="00EE1B9D">
      <w:r>
        <w:t xml:space="preserve">Thirteen </w:t>
      </w:r>
      <w:r w:rsidR="00397949">
        <w:t xml:space="preserve">of the 15 domains experienced growth in nominal terms from 2015–16 to 2024–25. Advertising and promotion recorded the strongest growth of $6.9 billion. </w:t>
      </w:r>
      <w:r>
        <w:t>The o</w:t>
      </w:r>
      <w:r w:rsidR="00397949">
        <w:t xml:space="preserve">nly </w:t>
      </w:r>
      <w:r>
        <w:t xml:space="preserve">domains to record a decline over the period were </w:t>
      </w:r>
      <w:r w:rsidR="00397949">
        <w:t xml:space="preserve">Film and television activities and Radio broadcasting, which </w:t>
      </w:r>
      <w:r>
        <w:t>fell</w:t>
      </w:r>
      <w:r w:rsidR="00397949">
        <w:t xml:space="preserve"> by $696 million and $172 million respectively</w:t>
      </w:r>
      <w:r>
        <w:t xml:space="preserve">. These declines were likely influenced </w:t>
      </w:r>
      <w:r w:rsidR="00397949">
        <w:t xml:space="preserve">by rising competition from online and cloud-based media platforms and falling demand from advertisers. </w:t>
      </w:r>
    </w:p>
    <w:p w14:paraId="5B46EC33" w14:textId="77777777" w:rsidR="00CB4C2D" w:rsidRDefault="00397949">
      <w:pPr>
        <w:pStyle w:val="Heading2"/>
      </w:pPr>
      <w:bookmarkStart w:id="38" w:name="_Toc234836020"/>
      <w:bookmarkStart w:id="39" w:name="X0d30469142073f0e4950131445749f5a25d317a"/>
      <w:bookmarkEnd w:id="36"/>
      <w:bookmarkEnd w:id="37"/>
      <w:r>
        <w:rPr>
          <w:b/>
          <w:bCs/>
        </w:rPr>
        <w:lastRenderedPageBreak/>
        <w:t>Figure 7: GDP average annual growth rate by domain, between 2015–16 and 2024–25</w:t>
      </w:r>
      <w:bookmarkEnd w:id="38"/>
    </w:p>
    <w:p w14:paraId="5B46EC34" w14:textId="77777777" w:rsidR="00CB4C2D" w:rsidRDefault="00397949">
      <w:r>
        <w:rPr>
          <w:noProof/>
        </w:rPr>
        <w:drawing>
          <wp:inline distT="0" distB="0" distL="0" distR="0" wp14:anchorId="5B46F4A3" wp14:editId="5B46F4A4">
            <wp:extent cx="8316227" cy="4158113"/>
            <wp:effectExtent l="0" t="0" r="0" b="0"/>
            <wp:docPr id="67" name="Picture" descr="This is a bar chart showing among the 15 domains. Digital games development demonstrated the strongest growth rate between 2015–16 and 2024–25."/>
            <wp:cNvGraphicFramePr/>
            <a:graphic xmlns:a="http://schemas.openxmlformats.org/drawingml/2006/main">
              <a:graphicData uri="http://schemas.openxmlformats.org/drawingml/2006/picture">
                <pic:pic xmlns:pic="http://schemas.openxmlformats.org/drawingml/2006/picture">
                  <pic:nvPicPr>
                    <pic:cNvPr id="68" name="Picture" descr="1__CCA_Phase1_MODEL_VisualSum_Trade_3July2026_updated_files/figure-docx/unnamed-chunk-88-1.png"/>
                    <pic:cNvPicPr>
                      <a:picLocks noChangeAspect="1" noChangeArrowheads="1"/>
                    </pic:cNvPicPr>
                  </pic:nvPicPr>
                  <pic:blipFill>
                    <a:blip r:embed="rId20"/>
                    <a:stretch>
                      <a:fillRect/>
                    </a:stretch>
                  </pic:blipFill>
                  <pic:spPr bwMode="auto">
                    <a:xfrm>
                      <a:off x="0" y="0"/>
                      <a:ext cx="8316227" cy="4158113"/>
                    </a:xfrm>
                    <a:prstGeom prst="rect">
                      <a:avLst/>
                    </a:prstGeom>
                    <a:noFill/>
                    <a:ln w="9525">
                      <a:noFill/>
                      <a:headEnd/>
                      <a:tailEnd/>
                    </a:ln>
                  </pic:spPr>
                </pic:pic>
              </a:graphicData>
            </a:graphic>
          </wp:inline>
        </w:drawing>
      </w:r>
    </w:p>
    <w:p w14:paraId="5B46EC35"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w:t>
      </w:r>
    </w:p>
    <w:p w14:paraId="5B46EC36" w14:textId="77777777" w:rsidR="00CB4C2D" w:rsidRDefault="00397949">
      <w:pPr>
        <w:pStyle w:val="Heading3"/>
      </w:pPr>
      <w:bookmarkStart w:id="40" w:name="explanatory-notes-8"/>
      <w:r>
        <w:rPr>
          <w:bCs/>
        </w:rPr>
        <w:t>Explanatory notes</w:t>
      </w:r>
    </w:p>
    <w:p w14:paraId="5B46EC37" w14:textId="0D643951" w:rsidR="00CB4C2D" w:rsidRDefault="00397949">
      <w:r>
        <w:t xml:space="preserve">Digital games development experienced the strongest growth </w:t>
      </w:r>
      <w:r w:rsidR="006B4526">
        <w:t xml:space="preserve">rate </w:t>
      </w:r>
      <w:r>
        <w:t xml:space="preserve">over the period. From its small base of initial activity, </w:t>
      </w:r>
      <w:r w:rsidR="00B03EDC">
        <w:t xml:space="preserve">digital </w:t>
      </w:r>
      <w:r>
        <w:t xml:space="preserve">games development increased by an average annual growth rate of 13.1% from 2015–16 to 2024–25. </w:t>
      </w:r>
    </w:p>
    <w:p w14:paraId="5B46EC38" w14:textId="77777777" w:rsidR="00CB4C2D" w:rsidRDefault="00397949">
      <w:pPr>
        <w:pStyle w:val="Heading2"/>
      </w:pPr>
      <w:bookmarkStart w:id="41" w:name="_Toc234836021"/>
      <w:bookmarkStart w:id="42" w:name="Xce17ae2ff671a64776523bc982bd1c3c4df6344"/>
      <w:bookmarkEnd w:id="39"/>
      <w:bookmarkEnd w:id="40"/>
      <w:r>
        <w:rPr>
          <w:b/>
          <w:bCs/>
        </w:rPr>
        <w:lastRenderedPageBreak/>
        <w:t>Table 3: Literature, creative and performing arts, 2015–16 to 2024–25</w:t>
      </w:r>
      <w:bookmarkEnd w:id="41"/>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C3F"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39" w14:textId="462CBF5F" w:rsidR="00CB4C2D" w:rsidRDefault="00BB42D8">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3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3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3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3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C46"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4,042</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1,955</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2,030</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4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4,203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2,028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2,104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5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4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4,313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2,020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2,092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0.11</w:t>
            </w:r>
          </w:p>
        </w:tc>
      </w:tr>
      <w:tr w:rsidR="00CB4C2D" w14:paraId="5B46EC5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4,915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2,316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2,392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6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4,267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2,073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5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2,130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0.11</w:t>
            </w:r>
          </w:p>
        </w:tc>
      </w:tr>
      <w:tr w:rsidR="00CB4C2D" w14:paraId="5B46EC6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3,367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1,733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1,760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0.08</w:t>
            </w:r>
          </w:p>
        </w:tc>
      </w:tr>
      <w:tr w:rsidR="00CB4C2D" w14:paraId="5B46EC7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4,244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2,028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2,072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0.09</w:t>
            </w:r>
          </w:p>
        </w:tc>
      </w:tr>
      <w:tr w:rsidR="00CB4C2D" w14:paraId="5B46EC7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5,487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2,471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2,546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0.10</w:t>
            </w:r>
          </w:p>
        </w:tc>
      </w:tr>
      <w:tr w:rsidR="00CB4C2D" w14:paraId="5B46EC7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2,479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2,567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0.10</w:t>
            </w:r>
          </w:p>
        </w:tc>
      </w:tr>
      <w:tr w:rsidR="00CB4C2D" w14:paraId="5B46EC85"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8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6,054</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2,627</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8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2,712</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0.10</w:t>
            </w:r>
          </w:p>
        </w:tc>
      </w:tr>
    </w:tbl>
    <w:p w14:paraId="5B46EC86"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5.</w:t>
      </w:r>
    </w:p>
    <w:p w14:paraId="5B46EC87" w14:textId="77777777" w:rsidR="00CB4C2D" w:rsidRDefault="00397949">
      <w:pPr>
        <w:pStyle w:val="Heading3"/>
      </w:pPr>
      <w:bookmarkStart w:id="43" w:name="explanatory-notes-9"/>
      <w:r>
        <w:rPr>
          <w:bCs/>
        </w:rPr>
        <w:t>Explanatory notes</w:t>
      </w:r>
    </w:p>
    <w:p w14:paraId="6BADE56D" w14:textId="77777777" w:rsidR="001F0397" w:rsidRDefault="001F0397">
      <w:pPr>
        <w:spacing w:after="0"/>
        <w:rPr>
          <w:color w:val="000000"/>
          <w:kern w:val="2"/>
          <w:lang w:eastAsia="en-AU"/>
          <w14:ligatures w14:val="standardContextual"/>
        </w:rPr>
      </w:pPr>
      <w:r>
        <w:rPr>
          <w:rFonts w:ascii="Calibri (Body)" w:hAnsi="Calibri (Body)"/>
          <w:sz w:val="20"/>
          <w:szCs w:val="20"/>
        </w:rPr>
        <w:t>Cultural and creative activity GDP in literature, creative and performing arts increased by $0.7 billion, or 33.6%, from $2.0 billion in 2015–16 to $2.7 billion in 2024–25. Activity declined in 2019–20 and 2020–21, reflecting COVID-19 restrictions and the suspension of live performances.</w:t>
      </w:r>
      <w:r>
        <w:rPr>
          <w:rFonts w:ascii="Calibri (Body)" w:hAnsi="Calibri (Body)"/>
          <w:sz w:val="20"/>
          <w:szCs w:val="20"/>
          <w:vertAlign w:val="superscript"/>
        </w:rPr>
        <w:t>2</w:t>
      </w:r>
      <w:r>
        <w:rPr>
          <w:rFonts w:ascii="Calibri (Body)" w:hAnsi="Calibri (Body)"/>
          <w:sz w:val="20"/>
          <w:szCs w:val="20"/>
        </w:rPr>
        <w:t xml:space="preserve"> Conditions have improved in recent years, supported by strong demand for international contemporary music performances and higher ticket sales.</w:t>
      </w:r>
      <w:r>
        <w:rPr>
          <w:rFonts w:ascii="Calibri (Body)" w:hAnsi="Calibri (Body)"/>
          <w:sz w:val="20"/>
          <w:szCs w:val="20"/>
          <w:vertAlign w:val="superscript"/>
        </w:rPr>
        <w:t>3</w:t>
      </w:r>
      <w:r>
        <w:rPr>
          <w:rFonts w:ascii="Calibri (Body)" w:hAnsi="Calibri (Body)"/>
          <w:sz w:val="20"/>
          <w:szCs w:val="20"/>
        </w:rPr>
        <w:t xml:space="preserve"> As a share of the overall economy, the domain decreased to 0.10% over the period.</w:t>
      </w:r>
    </w:p>
    <w:p w14:paraId="5B46EC89"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EC8A"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2</w:t>
      </w:r>
      <w:r w:rsidRPr="00776C38">
        <w:rPr>
          <w:rFonts w:ascii="Calibri (Body)" w:eastAsia="Calibri (Body)" w:hAnsi="Calibri (Body)" w:cs="Calibri (Body)"/>
          <w:color w:val="000000"/>
          <w:sz w:val="18"/>
          <w:szCs w:val="18"/>
        </w:rPr>
        <w:t xml:space="preserve"> IBISWorld industry report (2021), R9001 Music and Theatre Production in Australia, June 2021, p. 3</w:t>
      </w:r>
    </w:p>
    <w:p w14:paraId="5B46EC8B"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3</w:t>
      </w:r>
      <w:r w:rsidRPr="00776C38">
        <w:rPr>
          <w:rFonts w:ascii="Calibri (Body)" w:eastAsia="Calibri (Body)" w:hAnsi="Calibri (Body)" w:cs="Calibri (Body)"/>
          <w:color w:val="000000"/>
          <w:sz w:val="18"/>
          <w:szCs w:val="18"/>
        </w:rPr>
        <w:t xml:space="preserve"> IBISWorld industry report (2024), R9001 Music and Theatre Production in Australia, July 2024, p. 12</w:t>
      </w:r>
    </w:p>
    <w:p w14:paraId="5B46EC8C" w14:textId="77777777" w:rsidR="00CB4C2D" w:rsidRDefault="00397949">
      <w:r>
        <w:br w:type="page"/>
      </w:r>
    </w:p>
    <w:p w14:paraId="5B46EC8D" w14:textId="77777777" w:rsidR="00CB4C2D" w:rsidRDefault="00397949">
      <w:pPr>
        <w:pStyle w:val="Heading2"/>
      </w:pPr>
      <w:bookmarkStart w:id="44" w:name="_Toc234836022"/>
      <w:bookmarkStart w:id="45" w:name="Xc602478975f394bb4f7d431cabb1b9ac1793fcc"/>
      <w:bookmarkEnd w:id="42"/>
      <w:bookmarkEnd w:id="43"/>
      <w:r>
        <w:rPr>
          <w:b/>
          <w:bCs/>
        </w:rPr>
        <w:lastRenderedPageBreak/>
        <w:t>Figure 8: Literature, creative and performing arts, GDP and as a share of overall economy</w:t>
      </w:r>
      <w:bookmarkEnd w:id="44"/>
    </w:p>
    <w:p w14:paraId="5B46EC8E" w14:textId="77777777" w:rsidR="00CB4C2D" w:rsidRDefault="00397949">
      <w:r>
        <w:rPr>
          <w:noProof/>
        </w:rPr>
        <w:drawing>
          <wp:inline distT="0" distB="0" distL="0" distR="0" wp14:anchorId="5B46F4A5" wp14:editId="5B46F4A6">
            <wp:extent cx="9385300" cy="3754119"/>
            <wp:effectExtent l="0" t="0" r="0" b="0"/>
            <wp:docPr id="74" name="Picture" descr="The two line charts show the GDP of literature, creative, and performing arts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75" name="Picture" descr="1__CCA_Phase1_MODEL_VisualSum_Trade_3July2026_updated_files/figure-docx/unnamed-chunk-94-1.png"/>
                    <pic:cNvPicPr>
                      <a:picLocks noChangeAspect="1" noChangeArrowheads="1"/>
                    </pic:cNvPicPr>
                  </pic:nvPicPr>
                  <pic:blipFill>
                    <a:blip r:embed="rId21"/>
                    <a:stretch>
                      <a:fillRect/>
                    </a:stretch>
                  </pic:blipFill>
                  <pic:spPr bwMode="auto">
                    <a:xfrm>
                      <a:off x="0" y="0"/>
                      <a:ext cx="9385300" cy="3754119"/>
                    </a:xfrm>
                    <a:prstGeom prst="rect">
                      <a:avLst/>
                    </a:prstGeom>
                    <a:noFill/>
                    <a:ln w="9525">
                      <a:noFill/>
                      <a:headEnd/>
                      <a:tailEnd/>
                    </a:ln>
                  </pic:spPr>
                </pic:pic>
              </a:graphicData>
            </a:graphic>
          </wp:inline>
        </w:drawing>
      </w:r>
    </w:p>
    <w:p w14:paraId="5B46EC8F"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14.</w:t>
      </w:r>
    </w:p>
    <w:p w14:paraId="5B46EC90" w14:textId="77777777" w:rsidR="00CB4C2D" w:rsidRDefault="00397949">
      <w:pPr>
        <w:pStyle w:val="Heading3"/>
      </w:pPr>
      <w:bookmarkStart w:id="46" w:name="explanatory-notes-10"/>
      <w:r>
        <w:rPr>
          <w:bCs/>
        </w:rPr>
        <w:t>Explanatory notes</w:t>
      </w:r>
    </w:p>
    <w:p w14:paraId="5B46EC91" w14:textId="77777777" w:rsidR="00CB4C2D" w:rsidRDefault="00397949">
      <w:r>
        <w:t>See notes of Table 3.</w:t>
      </w:r>
    </w:p>
    <w:p w14:paraId="5B46EC92" w14:textId="77777777" w:rsidR="00CB4C2D" w:rsidRDefault="00397949">
      <w:r>
        <w:br w:type="page"/>
      </w:r>
    </w:p>
    <w:p w14:paraId="5B46EC93" w14:textId="77777777" w:rsidR="00CB4C2D" w:rsidRDefault="00397949">
      <w:pPr>
        <w:pStyle w:val="Heading2"/>
      </w:pPr>
      <w:bookmarkStart w:id="47" w:name="_Toc234836023"/>
      <w:bookmarkStart w:id="48" w:name="X6275edd20d03bd31e29777cda94e80f9cf713db"/>
      <w:bookmarkEnd w:id="45"/>
      <w:bookmarkEnd w:id="46"/>
      <w:r>
        <w:rPr>
          <w:b/>
          <w:bCs/>
        </w:rPr>
        <w:lastRenderedPageBreak/>
        <w:t>Table 4: Visual arts and crafts, 2015–16 to 2024–25</w:t>
      </w:r>
      <w:bookmarkEnd w:id="47"/>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C9A"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94" w14:textId="42088EA4"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9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9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9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9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9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CA1"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9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9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4,335</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1,937</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9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631</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9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2,568</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0.15</w:t>
            </w:r>
          </w:p>
        </w:tc>
      </w:tr>
      <w:tr w:rsidR="00CB4C2D" w14:paraId="5B46ECA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3,531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1,664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2,217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0.13</w:t>
            </w:r>
          </w:p>
        </w:tc>
      </w:tr>
      <w:tr w:rsidR="00CB4C2D" w14:paraId="5B46ECA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3,901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1,729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566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2,295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A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B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4,249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1,949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2,542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0.13</w:t>
            </w:r>
          </w:p>
        </w:tc>
      </w:tr>
      <w:tr w:rsidR="00CB4C2D" w14:paraId="5B46ECB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3,954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1,822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2,393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C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4,072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1,876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2,554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C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4,584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2,049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853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2,901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D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4,914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2,177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844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3,021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D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5,162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2,352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797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3,149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r w:rsidR="00CB4C2D" w14:paraId="5B46ECE0"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D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D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5,334</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2,431</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839</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3,270</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0.12</w:t>
            </w:r>
          </w:p>
        </w:tc>
      </w:tr>
    </w:tbl>
    <w:p w14:paraId="5B46ECE1"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6.</w:t>
      </w:r>
    </w:p>
    <w:p w14:paraId="5B46ECE2" w14:textId="77777777" w:rsidR="00CB4C2D" w:rsidRDefault="00397949">
      <w:pPr>
        <w:pStyle w:val="Heading3"/>
      </w:pPr>
      <w:bookmarkStart w:id="49" w:name="explanatory-notes-11"/>
      <w:r>
        <w:rPr>
          <w:bCs/>
        </w:rPr>
        <w:t>Explanatory notes</w:t>
      </w:r>
    </w:p>
    <w:p w14:paraId="5B46ECE3" w14:textId="53CBBE50" w:rsidR="00CB4C2D" w:rsidRDefault="00397949">
      <w:r>
        <w:t>Cultural and creative activity GDP in visual arts and crafts increased by $702 million, from $2.6 billion in 2015–16 to $3.3 billion in 2024–25. As a share of the overall economy, th</w:t>
      </w:r>
      <w:r w:rsidR="000E3A11">
        <w:t>e</w:t>
      </w:r>
      <w:r>
        <w:t xml:space="preserve"> domain declined from 0.15% to 0.12% over the period.</w:t>
      </w:r>
    </w:p>
    <w:p w14:paraId="5B46ECE4" w14:textId="77777777" w:rsidR="00CB4C2D" w:rsidRDefault="00397949">
      <w:r>
        <w:br w:type="page"/>
      </w:r>
    </w:p>
    <w:p w14:paraId="5B46ECE5" w14:textId="77777777" w:rsidR="00CB4C2D" w:rsidRDefault="00397949">
      <w:pPr>
        <w:pStyle w:val="Heading2"/>
      </w:pPr>
      <w:bookmarkStart w:id="50" w:name="_Toc234836024"/>
      <w:bookmarkStart w:id="51" w:name="X98fffb09570645130fab61a79eceb8dffee16ea"/>
      <w:bookmarkEnd w:id="48"/>
      <w:bookmarkEnd w:id="49"/>
      <w:r>
        <w:rPr>
          <w:b/>
          <w:bCs/>
        </w:rPr>
        <w:lastRenderedPageBreak/>
        <w:t>Figure 9: Visual arts and crafts, GDP and as a share of overall economy</w:t>
      </w:r>
      <w:bookmarkEnd w:id="50"/>
    </w:p>
    <w:p w14:paraId="5B46ECE6" w14:textId="77777777" w:rsidR="00CB4C2D" w:rsidRDefault="00397949">
      <w:r>
        <w:rPr>
          <w:noProof/>
        </w:rPr>
        <w:drawing>
          <wp:inline distT="0" distB="0" distL="0" distR="0" wp14:anchorId="5B46F4A7" wp14:editId="5B46F4A8">
            <wp:extent cx="9385300" cy="3754119"/>
            <wp:effectExtent l="0" t="0" r="0" b="0"/>
            <wp:docPr id="81" name="Picture" descr="The two line charts show the GDP of visual arts and crafts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82" name="Picture" descr="1__CCA_Phase1_MODEL_VisualSum_Trade_3July2026_updated_files/figure-docx/unnamed-chunk-99-1.png"/>
                    <pic:cNvPicPr>
                      <a:picLocks noChangeAspect="1" noChangeArrowheads="1"/>
                    </pic:cNvPicPr>
                  </pic:nvPicPr>
                  <pic:blipFill>
                    <a:blip r:embed="rId22"/>
                    <a:stretch>
                      <a:fillRect/>
                    </a:stretch>
                  </pic:blipFill>
                  <pic:spPr bwMode="auto">
                    <a:xfrm>
                      <a:off x="0" y="0"/>
                      <a:ext cx="9385300" cy="3754119"/>
                    </a:xfrm>
                    <a:prstGeom prst="rect">
                      <a:avLst/>
                    </a:prstGeom>
                    <a:noFill/>
                    <a:ln w="9525">
                      <a:noFill/>
                      <a:headEnd/>
                      <a:tailEnd/>
                    </a:ln>
                  </pic:spPr>
                </pic:pic>
              </a:graphicData>
            </a:graphic>
          </wp:inline>
        </w:drawing>
      </w:r>
    </w:p>
    <w:p w14:paraId="5B46ECE7"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15.</w:t>
      </w:r>
    </w:p>
    <w:p w14:paraId="5B46ECE8" w14:textId="77777777" w:rsidR="00CB4C2D" w:rsidRDefault="00397949">
      <w:pPr>
        <w:pStyle w:val="Heading3"/>
      </w:pPr>
      <w:bookmarkStart w:id="52" w:name="explanatory-notes-12"/>
      <w:r>
        <w:rPr>
          <w:bCs/>
        </w:rPr>
        <w:t>Explanatory notes</w:t>
      </w:r>
    </w:p>
    <w:p w14:paraId="5B46ECE9" w14:textId="77777777" w:rsidR="00CB4C2D" w:rsidRDefault="00397949">
      <w:r>
        <w:t>See notes of Table 4.</w:t>
      </w:r>
    </w:p>
    <w:p w14:paraId="5B46ECEA" w14:textId="77777777" w:rsidR="00CB4C2D" w:rsidRDefault="00397949">
      <w:r>
        <w:br w:type="page"/>
      </w:r>
    </w:p>
    <w:p w14:paraId="5B46ECEB" w14:textId="77777777" w:rsidR="00CB4C2D" w:rsidRDefault="00397949">
      <w:pPr>
        <w:pStyle w:val="Heading2"/>
      </w:pPr>
      <w:bookmarkStart w:id="53" w:name="_Toc234836025"/>
      <w:bookmarkStart w:id="54" w:name="X22cc4176aabdcf091143e1659c75b996dcd2847"/>
      <w:bookmarkEnd w:id="51"/>
      <w:bookmarkEnd w:id="52"/>
      <w:r>
        <w:rPr>
          <w:b/>
          <w:bCs/>
        </w:rPr>
        <w:lastRenderedPageBreak/>
        <w:t>Table 5: Music production and distribution, 2015–16 to 2024–25</w:t>
      </w:r>
      <w:bookmarkEnd w:id="53"/>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CF2"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EC" w14:textId="1D82DA48"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E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E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E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F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CF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CF9"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1,258</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455</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109</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565</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0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1,295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C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0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1,347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0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1,311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1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0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1,339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1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1,328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392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520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0.02</w:t>
            </w:r>
          </w:p>
        </w:tc>
      </w:tr>
      <w:tr w:rsidR="00CB4C2D" w14:paraId="5B46ED2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1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0.02</w:t>
            </w:r>
          </w:p>
        </w:tc>
      </w:tr>
      <w:tr w:rsidR="00CB4C2D" w14:paraId="5B46ED2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1,749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691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3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687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2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818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38"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1,990</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3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714</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3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852</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bl>
    <w:p w14:paraId="5B46ED39"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7.</w:t>
      </w:r>
    </w:p>
    <w:p w14:paraId="5B46ED3A" w14:textId="77777777" w:rsidR="00CB4C2D" w:rsidRDefault="00397949">
      <w:pPr>
        <w:pStyle w:val="Heading3"/>
      </w:pPr>
      <w:bookmarkStart w:id="55" w:name="explanatory-notes-13"/>
      <w:r>
        <w:rPr>
          <w:bCs/>
        </w:rPr>
        <w:t>Explanatory notes</w:t>
      </w:r>
    </w:p>
    <w:p w14:paraId="5B46ED3B" w14:textId="77777777" w:rsidR="00CB4C2D" w:rsidRDefault="00397949">
      <w:r>
        <w:t>Cultural and creative activity GDP in music production and distribution increased by $287 million, from $565 million in 2015–16 to $852 million in 2024–25. Music production and distribution is a small domain comprising around 0.03% of the overall economy.</w:t>
      </w:r>
    </w:p>
    <w:p w14:paraId="5B46ED3C" w14:textId="77777777" w:rsidR="00CB4C2D" w:rsidRDefault="00397949">
      <w:r>
        <w:br w:type="page"/>
      </w:r>
    </w:p>
    <w:p w14:paraId="5B46ED3D" w14:textId="77777777" w:rsidR="00CB4C2D" w:rsidRDefault="00397949">
      <w:pPr>
        <w:pStyle w:val="Heading2"/>
      </w:pPr>
      <w:bookmarkStart w:id="56" w:name="_Toc234836026"/>
      <w:bookmarkStart w:id="57" w:name="Xc782a7bfb01bc3f57e98bb12fdbc023b9038b28"/>
      <w:bookmarkEnd w:id="54"/>
      <w:bookmarkEnd w:id="55"/>
      <w:r>
        <w:rPr>
          <w:b/>
          <w:bCs/>
        </w:rPr>
        <w:lastRenderedPageBreak/>
        <w:t>Figure 10: Music production and distribution, GDP and as a share of overall economy</w:t>
      </w:r>
      <w:bookmarkEnd w:id="56"/>
    </w:p>
    <w:p w14:paraId="5B46ED3E" w14:textId="77777777" w:rsidR="00CB4C2D" w:rsidRDefault="00397949">
      <w:r>
        <w:rPr>
          <w:noProof/>
        </w:rPr>
        <w:drawing>
          <wp:inline distT="0" distB="0" distL="0" distR="0" wp14:anchorId="5B46F4A9" wp14:editId="5B46F4AA">
            <wp:extent cx="9385300" cy="3754119"/>
            <wp:effectExtent l="0" t="0" r="0" b="0"/>
            <wp:docPr id="88" name="Picture" descr="The two line charts show the GDP of music production and distribution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89" name="Picture" descr="1__CCA_Phase1_MODEL_VisualSum_Trade_3July2026_updated_files/figure-docx/unnamed-chunk-104-1.png"/>
                    <pic:cNvPicPr>
                      <a:picLocks noChangeAspect="1" noChangeArrowheads="1"/>
                    </pic:cNvPicPr>
                  </pic:nvPicPr>
                  <pic:blipFill>
                    <a:blip r:embed="rId23"/>
                    <a:stretch>
                      <a:fillRect/>
                    </a:stretch>
                  </pic:blipFill>
                  <pic:spPr bwMode="auto">
                    <a:xfrm>
                      <a:off x="0" y="0"/>
                      <a:ext cx="9385300" cy="3754119"/>
                    </a:xfrm>
                    <a:prstGeom prst="rect">
                      <a:avLst/>
                    </a:prstGeom>
                    <a:noFill/>
                    <a:ln w="9525">
                      <a:noFill/>
                      <a:headEnd/>
                      <a:tailEnd/>
                    </a:ln>
                  </pic:spPr>
                </pic:pic>
              </a:graphicData>
            </a:graphic>
          </wp:inline>
        </w:drawing>
      </w:r>
    </w:p>
    <w:p w14:paraId="5B46ED3F"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16.</w:t>
      </w:r>
    </w:p>
    <w:p w14:paraId="5B46ED40" w14:textId="77777777" w:rsidR="00CB4C2D" w:rsidRDefault="00397949">
      <w:pPr>
        <w:pStyle w:val="Heading3"/>
      </w:pPr>
      <w:bookmarkStart w:id="58" w:name="explanatory-notes-14"/>
      <w:r>
        <w:rPr>
          <w:bCs/>
        </w:rPr>
        <w:t>Explanatory notes</w:t>
      </w:r>
    </w:p>
    <w:p w14:paraId="5B46ED41" w14:textId="77777777" w:rsidR="00CB4C2D" w:rsidRDefault="00397949">
      <w:r>
        <w:t>See notes of Table 5.</w:t>
      </w:r>
    </w:p>
    <w:p w14:paraId="5B46ED42" w14:textId="77777777" w:rsidR="00CB4C2D" w:rsidRDefault="00397949">
      <w:r>
        <w:br w:type="page"/>
      </w:r>
    </w:p>
    <w:p w14:paraId="5B46ED43" w14:textId="77777777" w:rsidR="00CB4C2D" w:rsidRDefault="00397949">
      <w:pPr>
        <w:pStyle w:val="Heading2"/>
      </w:pPr>
      <w:bookmarkStart w:id="59" w:name="_Toc234836027"/>
      <w:bookmarkStart w:id="60" w:name="X99b62ca397e5d229f98fe859d5cd76f19c7c43f"/>
      <w:bookmarkEnd w:id="57"/>
      <w:bookmarkEnd w:id="58"/>
      <w:r>
        <w:rPr>
          <w:b/>
          <w:bCs/>
        </w:rPr>
        <w:lastRenderedPageBreak/>
        <w:t>Table 6: Museums and galleries, 2015–16 to 2024–25</w:t>
      </w:r>
      <w:bookmarkEnd w:id="59"/>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D4A"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44" w14:textId="73617B6A"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4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4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4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4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D51"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1,189</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4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574</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4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4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602</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D5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1,277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616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643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D5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1,341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626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660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5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D6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1,464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687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718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D6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1,460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708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736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D7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731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747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D7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1,565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748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771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8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1,861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838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864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8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2,042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886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917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8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D90"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8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8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2,164</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8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939</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8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8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972</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8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bl>
    <w:p w14:paraId="5B46ED91"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8.</w:t>
      </w:r>
    </w:p>
    <w:p w14:paraId="5B46ED92" w14:textId="77777777" w:rsidR="00CB4C2D" w:rsidRDefault="00397949">
      <w:pPr>
        <w:pStyle w:val="Heading3"/>
      </w:pPr>
      <w:bookmarkStart w:id="61" w:name="explanatory-notes-15"/>
      <w:r>
        <w:rPr>
          <w:bCs/>
        </w:rPr>
        <w:t>Explanatory notes</w:t>
      </w:r>
    </w:p>
    <w:p w14:paraId="5B46ED93" w14:textId="4A50EF69" w:rsidR="00CB4C2D" w:rsidRDefault="00397949">
      <w:r>
        <w:t>Cultural and creative activity GDP in museums and galleries increased by $370 million, from $602 million in 2015–16 to $972 million in 2024–25. As a share of the overall economy, it decreased slightly over the period.</w:t>
      </w:r>
    </w:p>
    <w:p w14:paraId="5B46ED94" w14:textId="77777777" w:rsidR="00CB4C2D" w:rsidRDefault="00397949">
      <w:r>
        <w:br w:type="page"/>
      </w:r>
    </w:p>
    <w:p w14:paraId="5B46ED95" w14:textId="77777777" w:rsidR="00CB4C2D" w:rsidRDefault="00397949">
      <w:pPr>
        <w:pStyle w:val="Heading2"/>
      </w:pPr>
      <w:bookmarkStart w:id="62" w:name="_Toc234836028"/>
      <w:bookmarkStart w:id="63" w:name="X0a70a131c28b9e85cfc03517156161e9dac9da5"/>
      <w:bookmarkEnd w:id="60"/>
      <w:bookmarkEnd w:id="61"/>
      <w:r>
        <w:rPr>
          <w:b/>
          <w:bCs/>
        </w:rPr>
        <w:lastRenderedPageBreak/>
        <w:t>Figure 11: Museums and galleries, GDP and as a share of overall economy</w:t>
      </w:r>
      <w:bookmarkEnd w:id="62"/>
    </w:p>
    <w:p w14:paraId="5B46ED96" w14:textId="77777777" w:rsidR="00CB4C2D" w:rsidRDefault="00397949">
      <w:r>
        <w:rPr>
          <w:noProof/>
        </w:rPr>
        <w:drawing>
          <wp:inline distT="0" distB="0" distL="0" distR="0" wp14:anchorId="5B46F4AB" wp14:editId="5B46F4AC">
            <wp:extent cx="9385300" cy="3754119"/>
            <wp:effectExtent l="0" t="0" r="0" b="0"/>
            <wp:docPr id="95" name="Picture" descr="The two line charts show the GDP of museums and galleries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96" name="Picture" descr="1__CCA_Phase1_MODEL_VisualSum_Trade_3July2026_updated_files/figure-docx/unnamed-chunk-109-1.png"/>
                    <pic:cNvPicPr>
                      <a:picLocks noChangeAspect="1" noChangeArrowheads="1"/>
                    </pic:cNvPicPr>
                  </pic:nvPicPr>
                  <pic:blipFill>
                    <a:blip r:embed="rId24"/>
                    <a:stretch>
                      <a:fillRect/>
                    </a:stretch>
                  </pic:blipFill>
                  <pic:spPr bwMode="auto">
                    <a:xfrm>
                      <a:off x="0" y="0"/>
                      <a:ext cx="9385300" cy="3754119"/>
                    </a:xfrm>
                    <a:prstGeom prst="rect">
                      <a:avLst/>
                    </a:prstGeom>
                    <a:noFill/>
                    <a:ln w="9525">
                      <a:noFill/>
                      <a:headEnd/>
                      <a:tailEnd/>
                    </a:ln>
                  </pic:spPr>
                </pic:pic>
              </a:graphicData>
            </a:graphic>
          </wp:inline>
        </w:drawing>
      </w:r>
    </w:p>
    <w:p w14:paraId="5B46ED97"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17.</w:t>
      </w:r>
    </w:p>
    <w:p w14:paraId="5B46ED98" w14:textId="77777777" w:rsidR="00CB4C2D" w:rsidRDefault="00397949">
      <w:pPr>
        <w:pStyle w:val="Heading3"/>
      </w:pPr>
      <w:bookmarkStart w:id="64" w:name="explanatory-notes-16"/>
      <w:r>
        <w:rPr>
          <w:bCs/>
        </w:rPr>
        <w:t>Explanatory notes</w:t>
      </w:r>
    </w:p>
    <w:p w14:paraId="5B46ED99" w14:textId="77777777" w:rsidR="00CB4C2D" w:rsidRDefault="00397949">
      <w:r>
        <w:t>See notes of Table 6.</w:t>
      </w:r>
    </w:p>
    <w:p w14:paraId="5B46ED9A" w14:textId="77777777" w:rsidR="00CB4C2D" w:rsidRDefault="00397949">
      <w:r>
        <w:br w:type="page"/>
      </w:r>
    </w:p>
    <w:p w14:paraId="5B46ED9B" w14:textId="77777777" w:rsidR="00CB4C2D" w:rsidRDefault="00397949">
      <w:pPr>
        <w:pStyle w:val="Heading2"/>
      </w:pPr>
      <w:bookmarkStart w:id="65" w:name="_Toc234836029"/>
      <w:bookmarkStart w:id="66" w:name="X53dccac69e99c6a29c1a3eaac93587b1808fe97"/>
      <w:bookmarkEnd w:id="63"/>
      <w:bookmarkEnd w:id="64"/>
      <w:r>
        <w:rPr>
          <w:b/>
          <w:bCs/>
        </w:rPr>
        <w:lastRenderedPageBreak/>
        <w:t>Table 7: Film and television activities, 2015–16 to 2024–25</w:t>
      </w:r>
      <w:bookmarkEnd w:id="65"/>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DA2"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9C" w14:textId="5F3DF559"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9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9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A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A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DA9"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17,456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7,542</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458</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8,000</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0.48</w:t>
            </w:r>
          </w:p>
        </w:tc>
      </w:tr>
      <w:tr w:rsidR="00CB4C2D" w14:paraId="5B46EDB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17,049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7,252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343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7,595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A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0.43</w:t>
            </w:r>
          </w:p>
        </w:tc>
      </w:tr>
      <w:tr w:rsidR="00CB4C2D" w14:paraId="5B46EDB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7,157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381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7,538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0.41</w:t>
            </w:r>
          </w:p>
        </w:tc>
      </w:tr>
      <w:tr w:rsidR="00CB4C2D" w14:paraId="5B46EDB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16,499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6,413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6,715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0.34</w:t>
            </w:r>
          </w:p>
        </w:tc>
      </w:tr>
      <w:tr w:rsidR="00CB4C2D" w14:paraId="5B46EDC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15,139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5,669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5,945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0.30</w:t>
            </w:r>
          </w:p>
        </w:tc>
      </w:tr>
      <w:tr w:rsidR="00CB4C2D" w14:paraId="5B46EDC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14,947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5,550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5,855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0.28</w:t>
            </w:r>
          </w:p>
        </w:tc>
      </w:tr>
      <w:tr w:rsidR="00CB4C2D" w14:paraId="5B46EDD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16,656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5,856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387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6,243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0.27</w:t>
            </w:r>
          </w:p>
        </w:tc>
      </w:tr>
      <w:tr w:rsidR="00CB4C2D" w14:paraId="5B46EDD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18,528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6,386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6,808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0.26</w:t>
            </w:r>
          </w:p>
        </w:tc>
      </w:tr>
      <w:tr w:rsidR="00CB4C2D" w14:paraId="5B46EDE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18,101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6,613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7,024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E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0.26</w:t>
            </w:r>
          </w:p>
        </w:tc>
      </w:tr>
      <w:tr w:rsidR="00CB4C2D" w14:paraId="5B46EDE8"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E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18,807</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E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6,871</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433</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E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7,305</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0.26</w:t>
            </w:r>
          </w:p>
        </w:tc>
      </w:tr>
    </w:tbl>
    <w:p w14:paraId="5B46EDE9"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9.</w:t>
      </w:r>
    </w:p>
    <w:p w14:paraId="5B46EDEA" w14:textId="77777777" w:rsidR="00CB4C2D" w:rsidRDefault="00397949">
      <w:pPr>
        <w:pStyle w:val="Heading3"/>
      </w:pPr>
      <w:bookmarkStart w:id="67" w:name="explanatory-notes-17"/>
      <w:r>
        <w:rPr>
          <w:bCs/>
        </w:rPr>
        <w:t>Explanatory notes</w:t>
      </w:r>
    </w:p>
    <w:p w14:paraId="5B46EDEB" w14:textId="1BB1B43E" w:rsidR="00CB4C2D" w:rsidRDefault="00397949">
      <w:r>
        <w:t>Film and television activities decreased by $696 million</w:t>
      </w:r>
      <w:r w:rsidR="00E269CF">
        <w:t>,</w:t>
      </w:r>
      <w:r>
        <w:t xml:space="preserve"> or 8.7%</w:t>
      </w:r>
      <w:r w:rsidR="00E269CF">
        <w:t>,</w:t>
      </w:r>
      <w:r>
        <w:t xml:space="preserve"> from 2015–16 to 2024–25. As a share of GDP, it declined from 0.48% to 0.26% </w:t>
      </w:r>
      <w:r w:rsidR="001F0397">
        <w:t xml:space="preserve">over </w:t>
      </w:r>
      <w:r>
        <w:t>the period.</w:t>
      </w:r>
    </w:p>
    <w:p w14:paraId="5B46EDEC" w14:textId="0B5C6633" w:rsidR="00CB4C2D" w:rsidRPr="006A0CEE" w:rsidRDefault="00397949">
      <w:pPr>
        <w:pBdr>
          <w:top w:val="none" w:sz="0" w:space="0" w:color="000000"/>
          <w:left w:val="none" w:sz="0" w:space="0" w:color="000000"/>
          <w:bottom w:val="none" w:sz="0" w:space="0" w:color="000000"/>
          <w:right w:val="none" w:sz="0" w:space="0" w:color="000000"/>
        </w:pBdr>
        <w:spacing w:after="0"/>
        <w:rPr>
          <w:rFonts w:ascii="Calibri (Body)" w:eastAsia="Calibri (Body)" w:hAnsi="Calibri (Body)" w:cs="Calibri (Body)"/>
          <w:color w:val="000000"/>
        </w:rPr>
      </w:pPr>
      <w:r>
        <w:rPr>
          <w:rFonts w:ascii="Calibri (Body)" w:eastAsia="Calibri (Body)" w:hAnsi="Calibri (Body)" w:cs="Calibri (Body)"/>
          <w:color w:val="000000"/>
        </w:rPr>
        <w:t xml:space="preserve">This decline was mainly driven by decreases in free-to-air television broadcasting, and cable and other subscription broadcasting. These </w:t>
      </w:r>
      <w:r w:rsidR="001F0397">
        <w:rPr>
          <w:rFonts w:ascii="Calibri (Body)" w:eastAsia="Calibri (Body)" w:hAnsi="Calibri (Body)" w:cs="Calibri (Body)"/>
          <w:color w:val="000000"/>
        </w:rPr>
        <w:t>segments</w:t>
      </w:r>
      <w:r>
        <w:rPr>
          <w:rFonts w:ascii="Calibri (Body)" w:eastAsia="Calibri (Body)" w:hAnsi="Calibri (Body)" w:cs="Calibri (Body)"/>
          <w:color w:val="000000"/>
        </w:rPr>
        <w:t xml:space="preserve"> have faced several challenges over the period as more Australians have turned to online content. This shift has precipitated a trend where advertising budgets gravitate more towards online platforms.</w:t>
      </w:r>
      <w:r w:rsidRPr="006A0CEE">
        <w:rPr>
          <w:rFonts w:ascii="Calibri (Body)" w:eastAsia="Calibri (Body)" w:hAnsi="Calibri (Body)" w:cs="Calibri (Body)"/>
          <w:color w:val="000000"/>
          <w:vertAlign w:val="superscript"/>
        </w:rPr>
        <w:t>4</w:t>
      </w:r>
    </w:p>
    <w:p w14:paraId="5B46EDED"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EDEE"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4</w:t>
      </w:r>
      <w:r w:rsidRPr="00776C38">
        <w:rPr>
          <w:rFonts w:ascii="Calibri (Body)" w:eastAsia="Calibri (Body)" w:hAnsi="Calibri (Body)" w:cs="Calibri (Body)"/>
          <w:color w:val="000000"/>
          <w:sz w:val="18"/>
          <w:szCs w:val="18"/>
        </w:rPr>
        <w:t xml:space="preserve"> IBISWorld industry report (2025), J5621 Free-to-Air Television Broadcasting in Australia, August 2025, p. 8.</w:t>
      </w:r>
    </w:p>
    <w:p w14:paraId="5B46EDEF" w14:textId="77777777" w:rsidR="00CB4C2D" w:rsidRDefault="00397949">
      <w:r>
        <w:br w:type="page"/>
      </w:r>
    </w:p>
    <w:p w14:paraId="5B46EDF0" w14:textId="77777777" w:rsidR="00CB4C2D" w:rsidRDefault="00397949">
      <w:pPr>
        <w:pStyle w:val="Heading2"/>
      </w:pPr>
      <w:bookmarkStart w:id="68" w:name="_Toc234836030"/>
      <w:bookmarkStart w:id="69" w:name="X08e265325b738d68729c0c8c0bd98d778a158b3"/>
      <w:bookmarkEnd w:id="66"/>
      <w:bookmarkEnd w:id="67"/>
      <w:r>
        <w:rPr>
          <w:b/>
          <w:bCs/>
        </w:rPr>
        <w:lastRenderedPageBreak/>
        <w:t>Figure 12: Film and television activities, GDP and as a share of overall economy</w:t>
      </w:r>
      <w:bookmarkEnd w:id="68"/>
    </w:p>
    <w:p w14:paraId="5B46EDF1" w14:textId="77777777" w:rsidR="00CB4C2D" w:rsidRDefault="00397949">
      <w:r>
        <w:rPr>
          <w:noProof/>
        </w:rPr>
        <w:drawing>
          <wp:inline distT="0" distB="0" distL="0" distR="0" wp14:anchorId="5B46F4AD" wp14:editId="5B46F4AE">
            <wp:extent cx="9385300" cy="3754119"/>
            <wp:effectExtent l="0" t="0" r="0" b="0"/>
            <wp:docPr id="102" name="Picture" descr="The two line charts show the GDP of film and television activities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03" name="Picture" descr="1__CCA_Phase1_MODEL_VisualSum_Trade_3July2026_updated_files/figure-docx/unnamed-chunk-115-1.png"/>
                    <pic:cNvPicPr>
                      <a:picLocks noChangeAspect="1" noChangeArrowheads="1"/>
                    </pic:cNvPicPr>
                  </pic:nvPicPr>
                  <pic:blipFill>
                    <a:blip r:embed="rId25"/>
                    <a:stretch>
                      <a:fillRect/>
                    </a:stretch>
                  </pic:blipFill>
                  <pic:spPr bwMode="auto">
                    <a:xfrm>
                      <a:off x="0" y="0"/>
                      <a:ext cx="9385300" cy="3754119"/>
                    </a:xfrm>
                    <a:prstGeom prst="rect">
                      <a:avLst/>
                    </a:prstGeom>
                    <a:noFill/>
                    <a:ln w="9525">
                      <a:noFill/>
                      <a:headEnd/>
                      <a:tailEnd/>
                    </a:ln>
                  </pic:spPr>
                </pic:pic>
              </a:graphicData>
            </a:graphic>
          </wp:inline>
        </w:drawing>
      </w:r>
    </w:p>
    <w:p w14:paraId="5B46EDF2"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18.</w:t>
      </w:r>
    </w:p>
    <w:p w14:paraId="5B46EDF3" w14:textId="77777777" w:rsidR="00CB4C2D" w:rsidRDefault="00397949">
      <w:pPr>
        <w:pStyle w:val="Heading3"/>
      </w:pPr>
      <w:bookmarkStart w:id="70" w:name="explanatory-notes-18"/>
      <w:r>
        <w:rPr>
          <w:bCs/>
        </w:rPr>
        <w:t>Explanatory notes</w:t>
      </w:r>
    </w:p>
    <w:p w14:paraId="5B46EDF4" w14:textId="77777777" w:rsidR="00CB4C2D" w:rsidRDefault="00397949">
      <w:r>
        <w:t>See notes of Table 7.</w:t>
      </w:r>
    </w:p>
    <w:p w14:paraId="5B46EDF5" w14:textId="77777777" w:rsidR="00CB4C2D" w:rsidRDefault="00397949">
      <w:r>
        <w:br w:type="page"/>
      </w:r>
    </w:p>
    <w:p w14:paraId="5B46EDF6" w14:textId="77777777" w:rsidR="00CB4C2D" w:rsidRDefault="00397949">
      <w:pPr>
        <w:pStyle w:val="Heading2"/>
      </w:pPr>
      <w:bookmarkStart w:id="71" w:name="_Toc234836031"/>
      <w:bookmarkStart w:id="72" w:name="X1a919177f584f6b4fcf5876c52a69c61f451cbd"/>
      <w:bookmarkEnd w:id="69"/>
      <w:bookmarkEnd w:id="70"/>
      <w:r>
        <w:rPr>
          <w:b/>
          <w:bCs/>
        </w:rPr>
        <w:lastRenderedPageBreak/>
        <w:t>Table 8: Radio broadcasting, 2015–16 to 2024–25</w:t>
      </w:r>
      <w:bookmarkEnd w:id="71"/>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DFD"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F7" w14:textId="66E047D9"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F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F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F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D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E04"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F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1,438</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713</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722</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E0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E1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1,451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701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0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711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E1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1,331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562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567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E2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1,265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508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1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E2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EE2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1,391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0.02</w:t>
            </w:r>
          </w:p>
        </w:tc>
      </w:tr>
      <w:tr w:rsidR="00CB4C2D" w14:paraId="5B46EE3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2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555</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0.02</w:t>
            </w:r>
          </w:p>
        </w:tc>
      </w:tr>
      <w:tr w:rsidR="00CB4C2D" w14:paraId="5B46EE3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1,371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529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530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3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0.02</w:t>
            </w:r>
          </w:p>
        </w:tc>
      </w:tr>
      <w:tr w:rsidR="00CB4C2D" w14:paraId="5B46EE43"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3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3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550</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4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551</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4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0.02</w:t>
            </w:r>
          </w:p>
        </w:tc>
      </w:tr>
    </w:tbl>
    <w:p w14:paraId="5B46EE44"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10.</w:t>
      </w:r>
    </w:p>
    <w:p w14:paraId="5B46EE45" w14:textId="77777777" w:rsidR="00CB4C2D" w:rsidRDefault="00397949">
      <w:pPr>
        <w:pStyle w:val="Heading3"/>
      </w:pPr>
      <w:bookmarkStart w:id="73" w:name="explanatory-notes-19"/>
      <w:r>
        <w:rPr>
          <w:bCs/>
        </w:rPr>
        <w:t>Explanatory notes</w:t>
      </w:r>
    </w:p>
    <w:p w14:paraId="5B46EE46" w14:textId="1681888A" w:rsidR="00CB4C2D" w:rsidRDefault="00397949">
      <w:r>
        <w:t>Radio broadcasting GDP decreased by $172 million</w:t>
      </w:r>
      <w:r w:rsidR="001F0397">
        <w:t>,</w:t>
      </w:r>
      <w:r>
        <w:t xml:space="preserve"> or 23.8%</w:t>
      </w:r>
      <w:r w:rsidR="001F0397">
        <w:t>,</w:t>
      </w:r>
      <w:r>
        <w:t xml:space="preserve"> from 2015–16 to 2024–25.</w:t>
      </w:r>
    </w:p>
    <w:p w14:paraId="5B46EE47" w14:textId="3CD0E278" w:rsidR="00CB4C2D" w:rsidRPr="006A0CEE" w:rsidRDefault="00397949">
      <w:pPr>
        <w:pBdr>
          <w:top w:val="none" w:sz="0" w:space="0" w:color="000000"/>
          <w:left w:val="none" w:sz="0" w:space="0" w:color="000000"/>
          <w:bottom w:val="none" w:sz="0" w:space="0" w:color="000000"/>
          <w:right w:val="none" w:sz="0" w:space="0" w:color="000000"/>
        </w:pBdr>
        <w:spacing w:after="0"/>
        <w:rPr>
          <w:rFonts w:ascii="Calibri (Body)" w:eastAsia="Calibri (Body)" w:hAnsi="Calibri (Body)" w:cs="Calibri (Body)"/>
          <w:color w:val="000000"/>
        </w:rPr>
      </w:pPr>
      <w:r>
        <w:rPr>
          <w:rFonts w:ascii="Calibri (Body)" w:eastAsia="Calibri (Body)" w:hAnsi="Calibri (Body)" w:cs="Calibri (Body)"/>
          <w:color w:val="000000"/>
        </w:rPr>
        <w:t xml:space="preserve">The industry </w:t>
      </w:r>
      <w:r w:rsidR="001F0397">
        <w:rPr>
          <w:rFonts w:ascii="Calibri (Body)" w:eastAsia="Calibri (Body)" w:hAnsi="Calibri (Body)" w:cs="Calibri (Body)"/>
          <w:color w:val="000000"/>
        </w:rPr>
        <w:t>has experienced declining</w:t>
      </w:r>
      <w:r>
        <w:rPr>
          <w:rFonts w:ascii="Calibri (Body)" w:eastAsia="Calibri (Body)" w:hAnsi="Calibri (Body)" w:cs="Calibri (Body)"/>
          <w:color w:val="000000"/>
        </w:rPr>
        <w:t xml:space="preserve"> listener numbers</w:t>
      </w:r>
      <w:r w:rsidR="001F0397">
        <w:rPr>
          <w:rFonts w:ascii="Calibri (Body)" w:eastAsia="Calibri (Body)" w:hAnsi="Calibri (Body)" w:cs="Calibri (Body)"/>
          <w:color w:val="000000"/>
        </w:rPr>
        <w:t xml:space="preserve"> as</w:t>
      </w:r>
      <w:r>
        <w:rPr>
          <w:rFonts w:ascii="Calibri (Body)" w:eastAsia="Calibri (Body)" w:hAnsi="Calibri (Body)" w:cs="Calibri (Body)"/>
          <w:color w:val="000000"/>
        </w:rPr>
        <w:t xml:space="preserve"> smartphones and tablets</w:t>
      </w:r>
      <w:r w:rsidR="001F0397">
        <w:rPr>
          <w:rFonts w:ascii="Calibri (Body)" w:eastAsia="Calibri (Body)" w:hAnsi="Calibri (Body)" w:cs="Calibri (Body)"/>
          <w:color w:val="000000"/>
        </w:rPr>
        <w:t xml:space="preserve"> have made</w:t>
      </w:r>
      <w:r>
        <w:rPr>
          <w:rFonts w:ascii="Calibri (Body)" w:eastAsia="Calibri (Body)" w:hAnsi="Calibri (Body)" w:cs="Calibri (Body)"/>
          <w:color w:val="000000"/>
        </w:rPr>
        <w:t xml:space="preserve"> alternative</w:t>
      </w:r>
      <w:r w:rsidR="001F0397">
        <w:rPr>
          <w:rFonts w:ascii="Calibri (Body)" w:eastAsia="Calibri (Body)" w:hAnsi="Calibri (Body)" w:cs="Calibri (Body)"/>
          <w:color w:val="000000"/>
        </w:rPr>
        <w:t xml:space="preserve"> audio and entertainment options </w:t>
      </w:r>
      <w:r>
        <w:rPr>
          <w:rFonts w:ascii="Calibri (Body)" w:eastAsia="Calibri (Body)" w:hAnsi="Calibri (Body)" w:cs="Calibri (Body)"/>
          <w:color w:val="000000"/>
        </w:rPr>
        <w:t>more accessible. However, radio</w:t>
      </w:r>
      <w:r w:rsidR="001F0397">
        <w:rPr>
          <w:rFonts w:ascii="Calibri (Body)" w:eastAsia="Calibri (Body)" w:hAnsi="Calibri (Body)" w:cs="Calibri (Body)"/>
          <w:color w:val="000000"/>
        </w:rPr>
        <w:t>’</w:t>
      </w:r>
      <w:r>
        <w:rPr>
          <w:rFonts w:ascii="Calibri (Body)" w:eastAsia="Calibri (Body)" w:hAnsi="Calibri (Body)" w:cs="Calibri (Body)"/>
          <w:color w:val="000000"/>
        </w:rPr>
        <w:t>s popular personalities and signature interactivity retain a loyal listener base, maintaining some advertising revenue.</w:t>
      </w:r>
      <w:r w:rsidRPr="006A0CEE">
        <w:rPr>
          <w:rFonts w:ascii="Calibri (Body)" w:eastAsia="Calibri (Body)" w:hAnsi="Calibri (Body)" w:cs="Calibri (Body)"/>
          <w:color w:val="000000"/>
          <w:vertAlign w:val="superscript"/>
        </w:rPr>
        <w:t>5</w:t>
      </w:r>
    </w:p>
    <w:p w14:paraId="5B46EE48"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EE49"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5</w:t>
      </w:r>
      <w:r w:rsidRPr="00776C38">
        <w:rPr>
          <w:rFonts w:ascii="Calibri (Body)" w:eastAsia="Calibri (Body)" w:hAnsi="Calibri (Body)" w:cs="Calibri (Body)"/>
          <w:color w:val="000000"/>
          <w:sz w:val="18"/>
          <w:szCs w:val="18"/>
        </w:rPr>
        <w:t xml:space="preserve"> IBISWorld industry report (2024), J5610 Radio Broadcasting in Australia, April 2025, p. 9.</w:t>
      </w:r>
    </w:p>
    <w:p w14:paraId="5B46EE4A" w14:textId="77777777" w:rsidR="00CB4C2D" w:rsidRDefault="00397949">
      <w:r>
        <w:br w:type="page"/>
      </w:r>
    </w:p>
    <w:p w14:paraId="5B46EE4B" w14:textId="77777777" w:rsidR="00CB4C2D" w:rsidRDefault="00397949">
      <w:pPr>
        <w:pStyle w:val="Heading2"/>
      </w:pPr>
      <w:bookmarkStart w:id="74" w:name="_Toc234836032"/>
      <w:bookmarkStart w:id="75" w:name="X6c98454cf1a75dd195e36c4c2692f4d255ab6e1"/>
      <w:bookmarkEnd w:id="72"/>
      <w:bookmarkEnd w:id="73"/>
      <w:r>
        <w:rPr>
          <w:b/>
          <w:bCs/>
        </w:rPr>
        <w:lastRenderedPageBreak/>
        <w:t>Figure 13: Radio broadcasting, GDP and as a share of overall economy</w:t>
      </w:r>
      <w:bookmarkEnd w:id="74"/>
    </w:p>
    <w:p w14:paraId="5B46EE4C" w14:textId="77777777" w:rsidR="00CB4C2D" w:rsidRDefault="00397949">
      <w:r>
        <w:rPr>
          <w:noProof/>
        </w:rPr>
        <w:drawing>
          <wp:inline distT="0" distB="0" distL="0" distR="0" wp14:anchorId="5B46F4AF" wp14:editId="5B46F4B0">
            <wp:extent cx="9385300" cy="3519487"/>
            <wp:effectExtent l="0" t="0" r="0" b="0"/>
            <wp:docPr id="109" name="Picture" descr="The two line charts show the GDP of radio broadcasting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10" name="Picture" descr="1__CCA_Phase1_MODEL_VisualSum_Trade_3July2026_updated_files/figure-docx/unnamed-chunk-123-1.png"/>
                    <pic:cNvPicPr>
                      <a:picLocks noChangeAspect="1" noChangeArrowheads="1"/>
                    </pic:cNvPicPr>
                  </pic:nvPicPr>
                  <pic:blipFill>
                    <a:blip r:embed="rId26"/>
                    <a:stretch>
                      <a:fillRect/>
                    </a:stretch>
                  </pic:blipFill>
                  <pic:spPr bwMode="auto">
                    <a:xfrm>
                      <a:off x="0" y="0"/>
                      <a:ext cx="9385300" cy="3519487"/>
                    </a:xfrm>
                    <a:prstGeom prst="rect">
                      <a:avLst/>
                    </a:prstGeom>
                    <a:noFill/>
                    <a:ln w="9525">
                      <a:noFill/>
                      <a:headEnd/>
                      <a:tailEnd/>
                    </a:ln>
                  </pic:spPr>
                </pic:pic>
              </a:graphicData>
            </a:graphic>
          </wp:inline>
        </w:drawing>
      </w:r>
    </w:p>
    <w:p w14:paraId="5B46EE4D"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19.</w:t>
      </w:r>
    </w:p>
    <w:p w14:paraId="5B46EE4E" w14:textId="77777777" w:rsidR="00CB4C2D" w:rsidRDefault="00397949">
      <w:pPr>
        <w:pStyle w:val="Heading3"/>
      </w:pPr>
      <w:bookmarkStart w:id="76" w:name="explanatory-notes-20"/>
      <w:r>
        <w:rPr>
          <w:bCs/>
        </w:rPr>
        <w:t>Explanatory notes</w:t>
      </w:r>
    </w:p>
    <w:p w14:paraId="5B46EE4F" w14:textId="77777777" w:rsidR="00CB4C2D" w:rsidRDefault="00397949">
      <w:r>
        <w:t>See notes of Table 8.</w:t>
      </w:r>
    </w:p>
    <w:p w14:paraId="5B46EE50" w14:textId="77777777" w:rsidR="00CB4C2D" w:rsidRDefault="00397949">
      <w:r>
        <w:br w:type="page"/>
      </w:r>
    </w:p>
    <w:p w14:paraId="5B46EE51" w14:textId="77777777" w:rsidR="00CB4C2D" w:rsidRDefault="00397949">
      <w:pPr>
        <w:pStyle w:val="Heading2"/>
      </w:pPr>
      <w:bookmarkStart w:id="77" w:name="_Toc234836033"/>
      <w:bookmarkStart w:id="78" w:name="X301d46f57a933b2a7be2e79b1b505b5f1091f47"/>
      <w:bookmarkEnd w:id="75"/>
      <w:bookmarkEnd w:id="76"/>
      <w:r>
        <w:rPr>
          <w:b/>
          <w:bCs/>
        </w:rPr>
        <w:lastRenderedPageBreak/>
        <w:t>Table 9: Internet publishing and broadcasting, 2015–16 to 2024–25</w:t>
      </w:r>
      <w:bookmarkEnd w:id="77"/>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E58"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52" w14:textId="112C8F43"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5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5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5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5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E5F"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1,635</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5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735</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5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735</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5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EE6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2,033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967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974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6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2,337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1,121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1,128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7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1,144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1,152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7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1,183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1,192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8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2,386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1,100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1,110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0.05</w:t>
            </w:r>
          </w:p>
        </w:tc>
      </w:tr>
      <w:tr w:rsidR="00CB4C2D" w14:paraId="5B46EE8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2,695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1,152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1,163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0.05</w:t>
            </w:r>
          </w:p>
        </w:tc>
      </w:tr>
      <w:tr w:rsidR="00CB4C2D" w14:paraId="5B46EE9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3,271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1,368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8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0.05</w:t>
            </w:r>
          </w:p>
        </w:tc>
      </w:tr>
      <w:tr w:rsidR="00CB4C2D" w14:paraId="5B46EE9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9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9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3,706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9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1,550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9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9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1,565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9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9E"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9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9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3,850</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9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1,611</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9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9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1,627</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bl>
    <w:p w14:paraId="5B46EE9F"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11.</w:t>
      </w:r>
    </w:p>
    <w:p w14:paraId="5B46EEA0" w14:textId="77777777" w:rsidR="00CB4C2D" w:rsidRDefault="00397949">
      <w:pPr>
        <w:pStyle w:val="Heading3"/>
      </w:pPr>
      <w:bookmarkStart w:id="79" w:name="explanatory-notes-21"/>
      <w:r>
        <w:rPr>
          <w:bCs/>
        </w:rPr>
        <w:t>Explanatory notes</w:t>
      </w:r>
    </w:p>
    <w:p w14:paraId="5B46EEA1" w14:textId="348CEE03" w:rsidR="00CB4C2D" w:rsidRPr="00F56092" w:rsidRDefault="00F56092">
      <w:pPr>
        <w:pBdr>
          <w:top w:val="none" w:sz="0" w:space="0" w:color="000000"/>
          <w:left w:val="none" w:sz="0" w:space="0" w:color="000000"/>
          <w:bottom w:val="none" w:sz="0" w:space="0" w:color="000000"/>
          <w:right w:val="none" w:sz="0" w:space="0" w:color="000000"/>
        </w:pBdr>
        <w:spacing w:after="0"/>
        <w:rPr>
          <w:rFonts w:cstheme="minorHAnsi"/>
        </w:rPr>
      </w:pPr>
      <w:r>
        <w:rPr>
          <w:rFonts w:ascii="Calibri (Body)" w:eastAsia="Calibri (Body)" w:hAnsi="Calibri (Body)" w:cs="Calibri (Body)"/>
          <w:color w:val="000000"/>
          <w:sz w:val="20"/>
          <w:szCs w:val="20"/>
        </w:rPr>
        <w:t>I</w:t>
      </w:r>
      <w:r w:rsidR="00397949">
        <w:rPr>
          <w:rFonts w:ascii="Calibri (Body)" w:eastAsia="Calibri (Body)" w:hAnsi="Calibri (Body)" w:cs="Calibri (Body)"/>
          <w:color w:val="000000"/>
          <w:sz w:val="20"/>
          <w:szCs w:val="20"/>
        </w:rPr>
        <w:t xml:space="preserve">nternet </w:t>
      </w:r>
      <w:r w:rsidR="00397949" w:rsidRPr="006A0CEE">
        <w:rPr>
          <w:rFonts w:eastAsia="Calibri (Body)" w:cstheme="minorHAnsi"/>
          <w:color w:val="000000"/>
        </w:rPr>
        <w:t>publishing and broadcasting</w:t>
      </w:r>
      <w:r w:rsidRPr="006A0CEE">
        <w:rPr>
          <w:rFonts w:eastAsia="Calibri (Body)" w:cstheme="minorHAnsi"/>
          <w:color w:val="000000"/>
        </w:rPr>
        <w:t xml:space="preserve"> GDP</w:t>
      </w:r>
      <w:r w:rsidR="00397949" w:rsidRPr="006A0CEE">
        <w:rPr>
          <w:rFonts w:eastAsia="Calibri (Body)" w:cstheme="minorHAnsi"/>
          <w:color w:val="000000"/>
        </w:rPr>
        <w:t xml:space="preserve"> increased by $891 million from 2015–16 to 2024–25. This domain has grown strongly.</w:t>
      </w:r>
      <w:r w:rsidR="00A85952" w:rsidRPr="006A0CEE">
        <w:rPr>
          <w:rFonts w:eastAsia="Calibri (Body)" w:cstheme="minorHAnsi"/>
          <w:color w:val="000000"/>
        </w:rPr>
        <w:t xml:space="preserve"> </w:t>
      </w:r>
      <w:r w:rsidR="00397949" w:rsidRPr="006A0CEE">
        <w:rPr>
          <w:rFonts w:eastAsia="Calibri (Body)" w:cstheme="minorHAnsi"/>
          <w:color w:val="000000"/>
        </w:rPr>
        <w:t>Improved digital connectivity has made internet publishing and broadcasting services more accessible to consumers, elevating demand.</w:t>
      </w:r>
      <w:r w:rsidR="00397949" w:rsidRPr="006A0CEE">
        <w:rPr>
          <w:rFonts w:eastAsia="Calibri (Body)" w:cstheme="minorHAnsi"/>
          <w:color w:val="000000"/>
          <w:vertAlign w:val="superscript"/>
        </w:rPr>
        <w:t>6</w:t>
      </w:r>
      <w:r w:rsidR="00397949" w:rsidRPr="00F56092">
        <w:rPr>
          <w:rFonts w:cstheme="minorHAnsi"/>
        </w:rPr>
        <w:t xml:space="preserve"> As a share of </w:t>
      </w:r>
      <w:r w:rsidR="003A0D67">
        <w:rPr>
          <w:rFonts w:cstheme="minorHAnsi"/>
        </w:rPr>
        <w:t xml:space="preserve">the </w:t>
      </w:r>
      <w:r w:rsidR="00397949" w:rsidRPr="00F56092">
        <w:rPr>
          <w:rFonts w:cstheme="minorHAnsi"/>
        </w:rPr>
        <w:t>overall economy, this domain increased from 0.04% to 0.06% over the period.</w:t>
      </w:r>
    </w:p>
    <w:p w14:paraId="5B46EEA2"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EEA3"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6</w:t>
      </w:r>
      <w:r w:rsidRPr="00776C38">
        <w:rPr>
          <w:rFonts w:ascii="Calibri (Body)" w:eastAsia="Calibri (Body)" w:hAnsi="Calibri (Body)" w:cs="Calibri (Body)"/>
          <w:color w:val="000000"/>
          <w:sz w:val="18"/>
          <w:szCs w:val="18"/>
        </w:rPr>
        <w:t xml:space="preserve"> IBISWorld industry report (2025), J5700 Internet Publishing and Broadcasting in Australia, October 2025, p. 8.</w:t>
      </w:r>
    </w:p>
    <w:p w14:paraId="5B46EEA4" w14:textId="77777777" w:rsidR="00CB4C2D" w:rsidRDefault="00397949">
      <w:r>
        <w:br w:type="page"/>
      </w:r>
    </w:p>
    <w:p w14:paraId="5B46EEA5" w14:textId="77777777" w:rsidR="00CB4C2D" w:rsidRDefault="00397949">
      <w:pPr>
        <w:pStyle w:val="Heading2"/>
      </w:pPr>
      <w:bookmarkStart w:id="80" w:name="_Toc234836034"/>
      <w:bookmarkStart w:id="81" w:name="Xb02f5bdde4c3787b44d0540a39a16e3396ad48a"/>
      <w:bookmarkEnd w:id="78"/>
      <w:bookmarkEnd w:id="79"/>
      <w:r>
        <w:rPr>
          <w:b/>
          <w:bCs/>
        </w:rPr>
        <w:lastRenderedPageBreak/>
        <w:t>Figure 14: Internet publishing and broadcasting, GDP and as a share of overall economy</w:t>
      </w:r>
      <w:bookmarkEnd w:id="80"/>
    </w:p>
    <w:p w14:paraId="5B46EEA6" w14:textId="77777777" w:rsidR="00CB4C2D" w:rsidRDefault="00397949">
      <w:r>
        <w:rPr>
          <w:noProof/>
        </w:rPr>
        <w:drawing>
          <wp:inline distT="0" distB="0" distL="0" distR="0" wp14:anchorId="5B46F4B1" wp14:editId="5B46F4B2">
            <wp:extent cx="9385300" cy="3519487"/>
            <wp:effectExtent l="0" t="0" r="0" b="0"/>
            <wp:docPr id="116" name="Picture" descr="The two line charts show the GDP of internet publishing and broadcasting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17" name="Picture" descr="1__CCA_Phase1_MODEL_VisualSum_Trade_3July2026_updated_files/figure-docx/unnamed-chunk-128-1.png"/>
                    <pic:cNvPicPr>
                      <a:picLocks noChangeAspect="1" noChangeArrowheads="1"/>
                    </pic:cNvPicPr>
                  </pic:nvPicPr>
                  <pic:blipFill>
                    <a:blip r:embed="rId27"/>
                    <a:stretch>
                      <a:fillRect/>
                    </a:stretch>
                  </pic:blipFill>
                  <pic:spPr bwMode="auto">
                    <a:xfrm>
                      <a:off x="0" y="0"/>
                      <a:ext cx="9385300" cy="3519487"/>
                    </a:xfrm>
                    <a:prstGeom prst="rect">
                      <a:avLst/>
                    </a:prstGeom>
                    <a:noFill/>
                    <a:ln w="9525">
                      <a:noFill/>
                      <a:headEnd/>
                      <a:tailEnd/>
                    </a:ln>
                  </pic:spPr>
                </pic:pic>
              </a:graphicData>
            </a:graphic>
          </wp:inline>
        </w:drawing>
      </w:r>
    </w:p>
    <w:p w14:paraId="5B46EEA7"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20.</w:t>
      </w:r>
    </w:p>
    <w:p w14:paraId="5B46EEA8" w14:textId="77777777" w:rsidR="00CB4C2D" w:rsidRDefault="00397949">
      <w:pPr>
        <w:pStyle w:val="Heading3"/>
      </w:pPr>
      <w:bookmarkStart w:id="82" w:name="explanatory-notes-22"/>
      <w:r>
        <w:rPr>
          <w:bCs/>
        </w:rPr>
        <w:t>Explanatory notes</w:t>
      </w:r>
    </w:p>
    <w:p w14:paraId="5B46EEA9" w14:textId="77777777" w:rsidR="00CB4C2D" w:rsidRDefault="00397949">
      <w:r>
        <w:t>See notes of Table 9.</w:t>
      </w:r>
    </w:p>
    <w:p w14:paraId="5B46EEAA" w14:textId="77777777" w:rsidR="00CB4C2D" w:rsidRDefault="00397949">
      <w:r>
        <w:br w:type="page"/>
      </w:r>
    </w:p>
    <w:p w14:paraId="5B46EEAB" w14:textId="77777777" w:rsidR="00CB4C2D" w:rsidRDefault="00397949">
      <w:pPr>
        <w:pStyle w:val="Heading2"/>
      </w:pPr>
      <w:bookmarkStart w:id="83" w:name="_Toc234836035"/>
      <w:bookmarkStart w:id="84" w:name="X74473b51755720c6c30cf354990ff1cdbadb6f0"/>
      <w:bookmarkEnd w:id="81"/>
      <w:bookmarkEnd w:id="82"/>
      <w:r>
        <w:rPr>
          <w:b/>
          <w:bCs/>
        </w:rPr>
        <w:lastRenderedPageBreak/>
        <w:t>Table 10: Libraries and archives, 2015–16 to 2024–25</w:t>
      </w:r>
      <w:bookmarkEnd w:id="83"/>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EB2"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AC" w14:textId="61336B19"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A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A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B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EB9"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1,539</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1,181</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1,211</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0.07</w:t>
            </w:r>
          </w:p>
        </w:tc>
      </w:tr>
      <w:tr w:rsidR="00CB4C2D" w14:paraId="5B46EEC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1,197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1,229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0.07</w:t>
            </w:r>
          </w:p>
        </w:tc>
      </w:tr>
      <w:tr w:rsidR="00CB4C2D" w14:paraId="5B46EEC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1,806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1,320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1,353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0.07</w:t>
            </w:r>
          </w:p>
        </w:tc>
      </w:tr>
      <w:tr w:rsidR="00CB4C2D" w14:paraId="5B46EEC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1,809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1,339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1,376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0.07</w:t>
            </w:r>
          </w:p>
        </w:tc>
      </w:tr>
      <w:tr w:rsidR="00CB4C2D" w14:paraId="5B46EED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1,783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1,345</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1,379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0.07</w:t>
            </w:r>
          </w:p>
        </w:tc>
      </w:tr>
      <w:tr w:rsidR="00CB4C2D" w14:paraId="5B46EED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1,737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1,351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1,393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0.07</w:t>
            </w:r>
          </w:p>
        </w:tc>
      </w:tr>
      <w:tr w:rsidR="00CB4C2D" w14:paraId="5B46EEE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1,833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1,414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1,462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E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2,007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1,531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1,582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F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2,126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1,635</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E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1,695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EF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r w:rsidR="00CB4C2D" w14:paraId="5B46EEF8"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F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F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2,209</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F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1,698</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F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63</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F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1,761</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E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0.06</w:t>
            </w:r>
          </w:p>
        </w:tc>
      </w:tr>
    </w:tbl>
    <w:p w14:paraId="5B46EEF9"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12.</w:t>
      </w:r>
    </w:p>
    <w:p w14:paraId="5B46EEFA" w14:textId="77777777" w:rsidR="00CB4C2D" w:rsidRDefault="00397949">
      <w:pPr>
        <w:pStyle w:val="Heading3"/>
      </w:pPr>
      <w:bookmarkStart w:id="85" w:name="explanatory-notes-23"/>
      <w:r>
        <w:rPr>
          <w:bCs/>
        </w:rPr>
        <w:t>Explanatory notes</w:t>
      </w:r>
    </w:p>
    <w:p w14:paraId="5B46EEFB" w14:textId="1D93A975" w:rsidR="00CB4C2D" w:rsidRDefault="00397949">
      <w:r>
        <w:t xml:space="preserve">Cultural and creative activity GDP in libraries and archives increased by $550 million from 2015–16 to 2024–25. As a share of overall economy, </w:t>
      </w:r>
      <w:r w:rsidR="00E269CF">
        <w:t xml:space="preserve">the </w:t>
      </w:r>
      <w:r>
        <w:t>domain has declined slightly over the period.</w:t>
      </w:r>
    </w:p>
    <w:p w14:paraId="5B46EEFC" w14:textId="77777777" w:rsidR="00CB4C2D" w:rsidRDefault="00397949">
      <w:r>
        <w:br w:type="page"/>
      </w:r>
    </w:p>
    <w:p w14:paraId="5B46EEFD" w14:textId="77777777" w:rsidR="00CB4C2D" w:rsidRDefault="00397949">
      <w:pPr>
        <w:pStyle w:val="Heading2"/>
      </w:pPr>
      <w:bookmarkStart w:id="86" w:name="_Toc234836036"/>
      <w:bookmarkStart w:id="87" w:name="X42ba5c5268bcab2a4d87956eff0e3afd2d3b449"/>
      <w:bookmarkEnd w:id="84"/>
      <w:bookmarkEnd w:id="85"/>
      <w:r>
        <w:rPr>
          <w:b/>
          <w:bCs/>
        </w:rPr>
        <w:lastRenderedPageBreak/>
        <w:t>Figure 15: Libraries and archives, GDP and as a share of overall economy</w:t>
      </w:r>
      <w:bookmarkEnd w:id="86"/>
    </w:p>
    <w:p w14:paraId="5B46EEFE" w14:textId="77777777" w:rsidR="00CB4C2D" w:rsidRDefault="00397949">
      <w:r>
        <w:rPr>
          <w:noProof/>
        </w:rPr>
        <w:drawing>
          <wp:inline distT="0" distB="0" distL="0" distR="0" wp14:anchorId="5B46F4B3" wp14:editId="5B46F4B4">
            <wp:extent cx="9385300" cy="3519487"/>
            <wp:effectExtent l="0" t="0" r="0" b="0"/>
            <wp:docPr id="123" name="Picture" descr="The two line charts show the GDP of libraries and archives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24" name="Picture" descr="1__CCA_Phase1_MODEL_VisualSum_Trade_3July2026_updated_files/figure-docx/unnamed-chunk-133-1.png"/>
                    <pic:cNvPicPr>
                      <a:picLocks noChangeAspect="1" noChangeArrowheads="1"/>
                    </pic:cNvPicPr>
                  </pic:nvPicPr>
                  <pic:blipFill>
                    <a:blip r:embed="rId28"/>
                    <a:stretch>
                      <a:fillRect/>
                    </a:stretch>
                  </pic:blipFill>
                  <pic:spPr bwMode="auto">
                    <a:xfrm>
                      <a:off x="0" y="0"/>
                      <a:ext cx="9385300" cy="3519487"/>
                    </a:xfrm>
                    <a:prstGeom prst="rect">
                      <a:avLst/>
                    </a:prstGeom>
                    <a:noFill/>
                    <a:ln w="9525">
                      <a:noFill/>
                      <a:headEnd/>
                      <a:tailEnd/>
                    </a:ln>
                  </pic:spPr>
                </pic:pic>
              </a:graphicData>
            </a:graphic>
          </wp:inline>
        </w:drawing>
      </w:r>
    </w:p>
    <w:p w14:paraId="5B46EEFF" w14:textId="44D8A21B"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21.</w:t>
      </w:r>
    </w:p>
    <w:p w14:paraId="5B46EF00" w14:textId="77777777" w:rsidR="00CB4C2D" w:rsidRDefault="00397949">
      <w:pPr>
        <w:pStyle w:val="Heading3"/>
      </w:pPr>
      <w:bookmarkStart w:id="88" w:name="explanatory-notes-24"/>
      <w:r>
        <w:rPr>
          <w:bCs/>
        </w:rPr>
        <w:t>Explanatory notes</w:t>
      </w:r>
    </w:p>
    <w:p w14:paraId="5B46EF01" w14:textId="77777777" w:rsidR="00CB4C2D" w:rsidRDefault="00397949">
      <w:r>
        <w:t>See notes of Table 10.</w:t>
      </w:r>
    </w:p>
    <w:p w14:paraId="5B46EF02" w14:textId="77777777" w:rsidR="00CB4C2D" w:rsidRDefault="00397949">
      <w:r>
        <w:br w:type="page"/>
      </w:r>
    </w:p>
    <w:p w14:paraId="5B46EF03" w14:textId="77777777" w:rsidR="00CB4C2D" w:rsidRDefault="00397949">
      <w:pPr>
        <w:pStyle w:val="Heading2"/>
      </w:pPr>
      <w:bookmarkStart w:id="89" w:name="_Toc234836037"/>
      <w:bookmarkStart w:id="90" w:name="Xbf846fcf42b4e8a1a11c0f255d5b2a3d83c2885"/>
      <w:bookmarkEnd w:id="87"/>
      <w:bookmarkEnd w:id="88"/>
      <w:r>
        <w:rPr>
          <w:b/>
          <w:bCs/>
        </w:rPr>
        <w:lastRenderedPageBreak/>
        <w:t>Table 11: Print media and publishing (excl. internet), 2015–16 to 2024–25</w:t>
      </w:r>
      <w:bookmarkEnd w:id="89"/>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F0A"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04" w14:textId="7E59473C"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0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F11"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0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0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18,833</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0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10,017</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0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919</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0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10,936</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0.66</w:t>
            </w:r>
          </w:p>
        </w:tc>
      </w:tr>
      <w:tr w:rsidR="00CB4C2D" w14:paraId="5B46EF1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18,439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9,356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885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10,241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0.58</w:t>
            </w:r>
          </w:p>
        </w:tc>
      </w:tr>
      <w:tr w:rsidR="00CB4C2D" w14:paraId="5B46EF1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17,142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9,033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879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9,913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1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0.54</w:t>
            </w:r>
          </w:p>
        </w:tc>
      </w:tr>
      <w:tr w:rsidR="00CB4C2D" w14:paraId="5B46EF2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18,948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9,004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899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9,903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0.51</w:t>
            </w:r>
          </w:p>
        </w:tc>
      </w:tr>
      <w:tr w:rsidR="00CB4C2D" w14:paraId="5B46EF2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20,713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9,141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935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10,076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0.51</w:t>
            </w:r>
          </w:p>
        </w:tc>
      </w:tr>
      <w:tr w:rsidR="00CB4C2D" w14:paraId="5B46EF3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2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22,609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10,257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11,275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0.54</w:t>
            </w:r>
          </w:p>
        </w:tc>
      </w:tr>
      <w:tr w:rsidR="00CB4C2D" w14:paraId="5B46EF3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27,657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12,432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1,141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13,573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0.58</w:t>
            </w:r>
          </w:p>
        </w:tc>
      </w:tr>
      <w:tr w:rsidR="00CB4C2D" w14:paraId="5B46EF4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34,770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13,492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3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1,263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14,755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0.57</w:t>
            </w:r>
          </w:p>
        </w:tc>
      </w:tr>
      <w:tr w:rsidR="00CB4C2D" w14:paraId="5B46EF4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38,544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15,446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1,547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16,993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4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0.63</w:t>
            </w:r>
          </w:p>
        </w:tc>
      </w:tr>
      <w:tr w:rsidR="00CB4C2D" w14:paraId="5B46EF50"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4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39,924</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15,998</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4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1,631</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4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17,630</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4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0.63</w:t>
            </w:r>
          </w:p>
        </w:tc>
      </w:tr>
    </w:tbl>
    <w:p w14:paraId="5B46EF51"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13.</w:t>
      </w:r>
    </w:p>
    <w:p w14:paraId="5B46EF52" w14:textId="77777777" w:rsidR="00CB4C2D" w:rsidRDefault="00397949">
      <w:pPr>
        <w:pStyle w:val="Heading3"/>
      </w:pPr>
      <w:bookmarkStart w:id="91" w:name="explanatory-notes-25"/>
      <w:r>
        <w:rPr>
          <w:bCs/>
        </w:rPr>
        <w:t>Explanatory notes</w:t>
      </w:r>
    </w:p>
    <w:p w14:paraId="5B46EF55" w14:textId="5175DAAA" w:rsidR="00CB4C2D" w:rsidRPr="005C700F" w:rsidRDefault="00397949">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Cultural and creative activity GDP in print media and publishing (excl. internet) increased by $6.7 billion</w:t>
      </w:r>
      <w:r w:rsidR="00E269CF"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61.2%</w:t>
      </w:r>
      <w:r w:rsidR="00E269CF"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from 2015–16 to 2024–25. The increase was mainly driven by software publishing</w:t>
      </w:r>
      <w:r w:rsidR="005C700F" w:rsidRPr="006A0CEE">
        <w:rPr>
          <w:rFonts w:ascii="Calibri (Body)" w:eastAsia="Calibri (Body)" w:hAnsi="Calibri (Body)" w:cs="Calibri (Body)"/>
          <w:color w:val="000000"/>
        </w:rPr>
        <w:t>, which has</w:t>
      </w:r>
      <w:r w:rsidRPr="006A0CEE">
        <w:rPr>
          <w:rFonts w:ascii="Calibri (Body)" w:eastAsia="Calibri (Body)" w:hAnsi="Calibri (Body)" w:cs="Calibri (Body)"/>
          <w:color w:val="000000"/>
        </w:rPr>
        <w:t xml:space="preserve"> experienced strong growth in recent years. Remote working trends have supported software adoption, lifting the sector to new heights.</w:t>
      </w:r>
      <w:r w:rsidRPr="006A0CEE">
        <w:rPr>
          <w:rFonts w:ascii="Calibri (Body)" w:eastAsia="Calibri (Body)" w:hAnsi="Calibri (Body)" w:cs="Calibri (Body)"/>
          <w:color w:val="000000"/>
          <w:vertAlign w:val="superscript"/>
        </w:rPr>
        <w:t>7</w:t>
      </w:r>
      <w:r w:rsidR="005C700F" w:rsidRPr="006A0CEE">
        <w:rPr>
          <w:rFonts w:ascii="Calibri (Body)" w:eastAsia="Calibri (Body)" w:hAnsi="Calibri (Body)" w:cs="Calibri (Body)"/>
          <w:color w:val="000000"/>
        </w:rPr>
        <w:t xml:space="preserve"> </w:t>
      </w:r>
      <w:r w:rsidRPr="006A0CEE">
        <w:rPr>
          <w:rFonts w:ascii="Calibri (Body)" w:eastAsia="Calibri (Body)" w:hAnsi="Calibri (Body)" w:cs="Calibri (Body)"/>
          <w:color w:val="000000"/>
        </w:rPr>
        <w:t xml:space="preserve">However, </w:t>
      </w:r>
      <w:r w:rsidR="005C700F" w:rsidRPr="006A0CEE">
        <w:rPr>
          <w:rFonts w:ascii="Calibri (Body)" w:eastAsia="Calibri (Body)" w:hAnsi="Calibri (Body)" w:cs="Calibri (Body)"/>
          <w:color w:val="000000"/>
        </w:rPr>
        <w:t>the domain’s</w:t>
      </w:r>
      <w:r w:rsidRPr="006A0CEE">
        <w:rPr>
          <w:rFonts w:ascii="Calibri (Body)" w:eastAsia="Calibri (Body)" w:hAnsi="Calibri (Body)" w:cs="Calibri (Body)"/>
          <w:color w:val="000000"/>
        </w:rPr>
        <w:t xml:space="preserve"> share of GDP declined from 0.66% to 0.63% </w:t>
      </w:r>
      <w:r w:rsidR="005C700F" w:rsidRPr="006A0CEE">
        <w:rPr>
          <w:rFonts w:ascii="Calibri (Body)" w:eastAsia="Calibri (Body)" w:hAnsi="Calibri (Body)" w:cs="Calibri (Body)"/>
          <w:color w:val="000000"/>
        </w:rPr>
        <w:t>over the</w:t>
      </w:r>
      <w:r w:rsidRPr="006A0CEE">
        <w:rPr>
          <w:rFonts w:ascii="Calibri (Body)" w:eastAsia="Calibri (Body)" w:hAnsi="Calibri (Body)" w:cs="Calibri (Body)"/>
          <w:color w:val="000000"/>
        </w:rPr>
        <w:t xml:space="preserve"> period. This was mainly driven by the decrease in newspaper, magazine and other periodic publishing activity, </w:t>
      </w:r>
      <w:r w:rsidR="005C700F" w:rsidRPr="006A0CEE">
        <w:rPr>
          <w:rFonts w:ascii="Calibri (Body)" w:eastAsia="Calibri (Body)" w:hAnsi="Calibri (Body)" w:cs="Calibri (Body)"/>
          <w:color w:val="000000"/>
        </w:rPr>
        <w:t>reflecting declining</w:t>
      </w:r>
      <w:r w:rsidR="005C700F">
        <w:rPr>
          <w:rFonts w:ascii="Calibri (Body)" w:eastAsia="Calibri (Body)" w:hAnsi="Calibri (Body)" w:cs="Calibri (Body)"/>
          <w:color w:val="000000"/>
        </w:rPr>
        <w:t xml:space="preserve"> demand </w:t>
      </w:r>
      <w:r w:rsidR="00D7063E" w:rsidRPr="006A0CEE">
        <w:rPr>
          <w:rFonts w:ascii="Calibri (Body)" w:eastAsia="Calibri (Body)" w:hAnsi="Calibri (Body)" w:cs="Calibri (Body)"/>
          <w:color w:val="000000"/>
        </w:rPr>
        <w:t xml:space="preserve">for </w:t>
      </w:r>
      <w:r w:rsidRPr="006A0CEE">
        <w:rPr>
          <w:rFonts w:ascii="Calibri (Body)" w:eastAsia="Calibri (Body)" w:hAnsi="Calibri (Body)" w:cs="Calibri (Body)"/>
          <w:color w:val="000000"/>
        </w:rPr>
        <w:t>printed publications.</w:t>
      </w:r>
      <w:r w:rsidRPr="006A0CEE">
        <w:rPr>
          <w:rFonts w:ascii="Calibri (Body)" w:eastAsia="Calibri (Body)" w:hAnsi="Calibri (Body)" w:cs="Calibri (Body)"/>
          <w:color w:val="000000"/>
          <w:vertAlign w:val="superscript"/>
        </w:rPr>
        <w:t>8</w:t>
      </w:r>
    </w:p>
    <w:p w14:paraId="5B46EF56"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EF57"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7</w:t>
      </w:r>
      <w:r w:rsidRPr="00776C38">
        <w:rPr>
          <w:rFonts w:ascii="Calibri (Body)" w:eastAsia="Calibri (Body)" w:hAnsi="Calibri (Body)" w:cs="Calibri (Body)"/>
          <w:color w:val="000000"/>
          <w:sz w:val="18"/>
          <w:szCs w:val="18"/>
        </w:rPr>
        <w:t xml:space="preserve"> IBISWorld industry report (2025), J5420 Software Publishing in Australia, January 2025, p. 5.</w:t>
      </w:r>
    </w:p>
    <w:p w14:paraId="5B46EF58"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8</w:t>
      </w:r>
      <w:r w:rsidRPr="00776C38">
        <w:rPr>
          <w:rFonts w:ascii="Calibri (Body)" w:eastAsia="Calibri (Body)" w:hAnsi="Calibri (Body)" w:cs="Calibri (Body)"/>
          <w:color w:val="000000"/>
          <w:sz w:val="18"/>
          <w:szCs w:val="18"/>
        </w:rPr>
        <w:t xml:space="preserve"> IBISWorld industry report (2025), J5411 Newspaper Publishing in Australia, September 2025, p. 4.</w:t>
      </w:r>
    </w:p>
    <w:p w14:paraId="5B46EF59" w14:textId="77777777" w:rsidR="00CB4C2D" w:rsidRDefault="00397949">
      <w:r>
        <w:br w:type="page"/>
      </w:r>
    </w:p>
    <w:p w14:paraId="5B46EF5A" w14:textId="77777777" w:rsidR="00CB4C2D" w:rsidRDefault="00397949">
      <w:pPr>
        <w:pStyle w:val="Heading2"/>
      </w:pPr>
      <w:bookmarkStart w:id="92" w:name="_Toc234836038"/>
      <w:bookmarkStart w:id="93" w:name="X123c2c6c0ccf6d93ded22504264f8446983dc20"/>
      <w:bookmarkEnd w:id="90"/>
      <w:bookmarkEnd w:id="91"/>
      <w:r>
        <w:rPr>
          <w:b/>
          <w:bCs/>
        </w:rPr>
        <w:lastRenderedPageBreak/>
        <w:t>Figure 16: Print media and publishing (excl. internet), GDP and as a share of overall economy</w:t>
      </w:r>
      <w:bookmarkEnd w:id="92"/>
    </w:p>
    <w:p w14:paraId="5B46EF5B" w14:textId="77777777" w:rsidR="00CB4C2D" w:rsidRDefault="00397949">
      <w:r>
        <w:rPr>
          <w:noProof/>
        </w:rPr>
        <w:drawing>
          <wp:inline distT="0" distB="0" distL="0" distR="0" wp14:anchorId="5B46F4B5" wp14:editId="5B46F4B6">
            <wp:extent cx="9385300" cy="3519487"/>
            <wp:effectExtent l="0" t="0" r="0" b="0"/>
            <wp:docPr id="130" name="Picture" descr="The two line charts show the GDP of print media and publishing (excl. internet)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31" name="Picture" descr="1__CCA_Phase1_MODEL_VisualSum_Trade_3July2026_updated_files/figure-docx/unnamed-chunk-139-1.png"/>
                    <pic:cNvPicPr>
                      <a:picLocks noChangeAspect="1" noChangeArrowheads="1"/>
                    </pic:cNvPicPr>
                  </pic:nvPicPr>
                  <pic:blipFill>
                    <a:blip r:embed="rId29"/>
                    <a:stretch>
                      <a:fillRect/>
                    </a:stretch>
                  </pic:blipFill>
                  <pic:spPr bwMode="auto">
                    <a:xfrm>
                      <a:off x="0" y="0"/>
                      <a:ext cx="9385300" cy="3519487"/>
                    </a:xfrm>
                    <a:prstGeom prst="rect">
                      <a:avLst/>
                    </a:prstGeom>
                    <a:noFill/>
                    <a:ln w="9525">
                      <a:noFill/>
                      <a:headEnd/>
                      <a:tailEnd/>
                    </a:ln>
                  </pic:spPr>
                </pic:pic>
              </a:graphicData>
            </a:graphic>
          </wp:inline>
        </w:drawing>
      </w:r>
    </w:p>
    <w:p w14:paraId="5B46EF5C"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22.</w:t>
      </w:r>
    </w:p>
    <w:p w14:paraId="5B46EF5D" w14:textId="77777777" w:rsidR="00CB4C2D" w:rsidRDefault="00397949">
      <w:pPr>
        <w:pStyle w:val="Heading3"/>
      </w:pPr>
      <w:bookmarkStart w:id="94" w:name="explanatory-notes-26"/>
      <w:r>
        <w:rPr>
          <w:bCs/>
        </w:rPr>
        <w:t>Explanatory notes</w:t>
      </w:r>
    </w:p>
    <w:p w14:paraId="5B46EF5E" w14:textId="77777777" w:rsidR="00CB4C2D" w:rsidRDefault="00397949">
      <w:r>
        <w:t>See notes of Table 11.</w:t>
      </w:r>
    </w:p>
    <w:p w14:paraId="5B46EF5F" w14:textId="77777777" w:rsidR="00CB4C2D" w:rsidRDefault="00397949">
      <w:r>
        <w:br w:type="page"/>
      </w:r>
    </w:p>
    <w:p w14:paraId="5B46EF60" w14:textId="77777777" w:rsidR="00CB4C2D" w:rsidRDefault="00397949">
      <w:pPr>
        <w:pStyle w:val="Heading2"/>
      </w:pPr>
      <w:bookmarkStart w:id="95" w:name="_Toc234836039"/>
      <w:bookmarkStart w:id="96" w:name="X47ca7ed5f895a48b841816de689edfacc24523a"/>
      <w:bookmarkEnd w:id="93"/>
      <w:bookmarkEnd w:id="94"/>
      <w:r>
        <w:rPr>
          <w:b/>
          <w:bCs/>
        </w:rPr>
        <w:lastRenderedPageBreak/>
        <w:t>Table 12: Architecture services, 2015–16 to 2024–25</w:t>
      </w:r>
      <w:bookmarkEnd w:id="95"/>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F67"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61" w14:textId="4D7438A9"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6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6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F6E"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6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6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10,297</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6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4,610</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6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4,615</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6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0.28</w:t>
            </w:r>
          </w:p>
        </w:tc>
      </w:tr>
      <w:tr w:rsidR="00CB4C2D" w14:paraId="5B46EF7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10,051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4,600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4,604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0.26</w:t>
            </w:r>
          </w:p>
        </w:tc>
      </w:tr>
      <w:tr w:rsidR="00CB4C2D" w14:paraId="5B46EF7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11,022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4,800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4,805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0.26</w:t>
            </w:r>
          </w:p>
        </w:tc>
      </w:tr>
      <w:tr w:rsidR="00CB4C2D" w14:paraId="5B46EF8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11,292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4,870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4,875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0.25</w:t>
            </w:r>
          </w:p>
        </w:tc>
      </w:tr>
      <w:tr w:rsidR="00CB4C2D" w14:paraId="5B46EF8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11,707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5,172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5,177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0.26</w:t>
            </w:r>
          </w:p>
        </w:tc>
      </w:tr>
      <w:tr w:rsidR="00CB4C2D" w14:paraId="5B46EF9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11,918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5,323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8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5,328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0.25</w:t>
            </w:r>
          </w:p>
        </w:tc>
      </w:tr>
      <w:tr w:rsidR="00CB4C2D" w14:paraId="5B46EF9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12,702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5,555</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5,561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0.24</w:t>
            </w:r>
          </w:p>
        </w:tc>
      </w:tr>
      <w:tr w:rsidR="00CB4C2D" w14:paraId="5B46EF9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13,778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5,987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5,994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9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0.23</w:t>
            </w:r>
          </w:p>
        </w:tc>
      </w:tr>
      <w:tr w:rsidR="00CB4C2D" w14:paraId="5B46EFA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A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A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14,879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A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6,512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A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6,519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A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0.24</w:t>
            </w:r>
          </w:p>
        </w:tc>
      </w:tr>
      <w:tr w:rsidR="00CB4C2D" w14:paraId="5B46EFAD"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A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A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15,473</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A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6,772</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6,779</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A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0.24</w:t>
            </w:r>
          </w:p>
        </w:tc>
      </w:tr>
    </w:tbl>
    <w:p w14:paraId="5B46EFAE"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14.</w:t>
      </w:r>
    </w:p>
    <w:p w14:paraId="5B46EFAF" w14:textId="77777777" w:rsidR="00CB4C2D" w:rsidRDefault="00397949">
      <w:pPr>
        <w:pStyle w:val="Heading3"/>
      </w:pPr>
      <w:bookmarkStart w:id="97" w:name="explanatory-notes-27"/>
      <w:r>
        <w:rPr>
          <w:bCs/>
        </w:rPr>
        <w:t>Explanatory notes</w:t>
      </w:r>
    </w:p>
    <w:p w14:paraId="5B46EFB2" w14:textId="63974024" w:rsidR="00CB4C2D" w:rsidRPr="00E76301" w:rsidRDefault="00397949">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Cultural and creative activity GDP in architecture services increased by $2.2 billion</w:t>
      </w:r>
      <w:r w:rsidR="00E76301"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46.9%, from 2015–16 to 2024–25. Despite recent challenges in the construction sector, profitability in architecture services is increasing as firms expand into higher‑value offerings such as sustainable design consulting, project management and specialised services.</w:t>
      </w:r>
      <w:r w:rsidRPr="006A0CEE">
        <w:rPr>
          <w:rFonts w:ascii="Calibri (Body)" w:eastAsia="Calibri (Body)" w:hAnsi="Calibri (Body)" w:cs="Calibri (Body)"/>
          <w:color w:val="000000"/>
          <w:vertAlign w:val="superscript"/>
        </w:rPr>
        <w:t>9</w:t>
      </w:r>
      <w:r w:rsidR="00E76301" w:rsidRPr="006A0CEE">
        <w:rPr>
          <w:rFonts w:ascii="Calibri (Body)" w:eastAsia="Calibri (Body)" w:hAnsi="Calibri (Body)" w:cs="Calibri (Body)"/>
          <w:color w:val="000000"/>
        </w:rPr>
        <w:t xml:space="preserve"> </w:t>
      </w:r>
      <w:r w:rsidRPr="006A0CEE">
        <w:rPr>
          <w:rFonts w:ascii="Calibri (Body)" w:eastAsia="Calibri (Body)" w:hAnsi="Calibri (Body)" w:cs="Calibri (Body)"/>
          <w:color w:val="000000"/>
        </w:rPr>
        <w:t xml:space="preserve">However, as a share of </w:t>
      </w:r>
      <w:r w:rsidR="003A0D67">
        <w:rPr>
          <w:rFonts w:ascii="Calibri (Body)" w:eastAsia="Calibri (Body)" w:hAnsi="Calibri (Body)" w:cs="Calibri (Body)"/>
          <w:color w:val="000000"/>
        </w:rPr>
        <w:t xml:space="preserve">the </w:t>
      </w:r>
      <w:r w:rsidRPr="006A0CEE">
        <w:rPr>
          <w:rFonts w:ascii="Calibri (Body)" w:eastAsia="Calibri (Body)" w:hAnsi="Calibri (Body)" w:cs="Calibri (Body)"/>
          <w:color w:val="000000"/>
        </w:rPr>
        <w:t>overall economy, this domain has declined from 0.28% to 0.24% over the period.</w:t>
      </w:r>
    </w:p>
    <w:p w14:paraId="5B46EFB3"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20"/>
          <w:szCs w:val="20"/>
        </w:rPr>
      </w:pPr>
      <w:r w:rsidRPr="00776C38">
        <w:rPr>
          <w:rFonts w:ascii="Calibri (Body)" w:eastAsia="Calibri (Body)" w:hAnsi="Calibri (Body)" w:cs="Calibri (Body)"/>
          <w:color w:val="000000"/>
          <w:sz w:val="20"/>
          <w:szCs w:val="20"/>
        </w:rPr>
        <w:t xml:space="preserve"> </w:t>
      </w:r>
    </w:p>
    <w:p w14:paraId="5B46EFB4"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9</w:t>
      </w:r>
      <w:r w:rsidRPr="00776C38">
        <w:rPr>
          <w:rFonts w:ascii="Calibri (Body)" w:eastAsia="Calibri (Body)" w:hAnsi="Calibri (Body)" w:cs="Calibri (Body)"/>
          <w:color w:val="000000"/>
          <w:sz w:val="18"/>
          <w:szCs w:val="18"/>
        </w:rPr>
        <w:t xml:space="preserve"> IBISWorld industry report (2025), M6921 Architectural Services in Australia, June 2025, p. 4.</w:t>
      </w:r>
    </w:p>
    <w:p w14:paraId="5B46EFB5" w14:textId="77777777" w:rsidR="00CB4C2D" w:rsidRDefault="00397949">
      <w:r>
        <w:br w:type="page"/>
      </w:r>
    </w:p>
    <w:p w14:paraId="5B46EFB6" w14:textId="77777777" w:rsidR="00CB4C2D" w:rsidRDefault="00397949">
      <w:pPr>
        <w:pStyle w:val="Heading2"/>
      </w:pPr>
      <w:bookmarkStart w:id="98" w:name="_Toc234836040"/>
      <w:bookmarkStart w:id="99" w:name="X6437bb1ee3125cadf5171fa95c3bd54eed51444"/>
      <w:bookmarkEnd w:id="96"/>
      <w:bookmarkEnd w:id="97"/>
      <w:r>
        <w:rPr>
          <w:b/>
          <w:bCs/>
        </w:rPr>
        <w:lastRenderedPageBreak/>
        <w:t>Figure 17: Architecture services, GDP and as a share of overall economy</w:t>
      </w:r>
      <w:bookmarkEnd w:id="98"/>
    </w:p>
    <w:p w14:paraId="5B46EFB7" w14:textId="77777777" w:rsidR="00CB4C2D" w:rsidRDefault="00397949">
      <w:r>
        <w:rPr>
          <w:noProof/>
        </w:rPr>
        <w:drawing>
          <wp:inline distT="0" distB="0" distL="0" distR="0" wp14:anchorId="5B46F4B7" wp14:editId="5B46F4B8">
            <wp:extent cx="9385300" cy="3519487"/>
            <wp:effectExtent l="0" t="0" r="0" b="0"/>
            <wp:docPr id="137" name="Picture" descr="The two line charts show the GDP of architecture services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38" name="Picture" descr="1__CCA_Phase1_MODEL_VisualSum_Trade_3July2026_updated_files/figure-docx/unnamed-chunk-146-1.png"/>
                    <pic:cNvPicPr>
                      <a:picLocks noChangeAspect="1" noChangeArrowheads="1"/>
                    </pic:cNvPicPr>
                  </pic:nvPicPr>
                  <pic:blipFill>
                    <a:blip r:embed="rId30"/>
                    <a:stretch>
                      <a:fillRect/>
                    </a:stretch>
                  </pic:blipFill>
                  <pic:spPr bwMode="auto">
                    <a:xfrm>
                      <a:off x="0" y="0"/>
                      <a:ext cx="9385300" cy="3519487"/>
                    </a:xfrm>
                    <a:prstGeom prst="rect">
                      <a:avLst/>
                    </a:prstGeom>
                    <a:noFill/>
                    <a:ln w="9525">
                      <a:noFill/>
                      <a:headEnd/>
                      <a:tailEnd/>
                    </a:ln>
                  </pic:spPr>
                </pic:pic>
              </a:graphicData>
            </a:graphic>
          </wp:inline>
        </w:drawing>
      </w:r>
    </w:p>
    <w:p w14:paraId="5B46EFB8"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23.</w:t>
      </w:r>
    </w:p>
    <w:p w14:paraId="5B46EFB9" w14:textId="77777777" w:rsidR="00CB4C2D" w:rsidRDefault="00397949">
      <w:pPr>
        <w:pStyle w:val="Heading3"/>
      </w:pPr>
      <w:bookmarkStart w:id="100" w:name="explanatory-notes-28"/>
      <w:r>
        <w:rPr>
          <w:bCs/>
        </w:rPr>
        <w:t>Explanatory notes</w:t>
      </w:r>
    </w:p>
    <w:p w14:paraId="5B46EFBA" w14:textId="77777777" w:rsidR="00CB4C2D" w:rsidRDefault="00397949">
      <w:r>
        <w:t>See notes of Table 12.</w:t>
      </w:r>
    </w:p>
    <w:p w14:paraId="5B46EFBB" w14:textId="77777777" w:rsidR="00CB4C2D" w:rsidRDefault="00397949">
      <w:r>
        <w:br w:type="page"/>
      </w:r>
    </w:p>
    <w:p w14:paraId="5B46EFBC" w14:textId="77777777" w:rsidR="00CB4C2D" w:rsidRDefault="00397949">
      <w:pPr>
        <w:pStyle w:val="Heading2"/>
      </w:pPr>
      <w:bookmarkStart w:id="101" w:name="_Toc234836041"/>
      <w:bookmarkStart w:id="102" w:name="Xfae46092a310534b0c950a4fb7d2bce4e2c69c5"/>
      <w:bookmarkEnd w:id="99"/>
      <w:bookmarkEnd w:id="100"/>
      <w:r>
        <w:rPr>
          <w:b/>
          <w:bCs/>
        </w:rPr>
        <w:lastRenderedPageBreak/>
        <w:t>Table 13: Design and fashion, 2015–16 to 2024–25</w:t>
      </w:r>
      <w:bookmarkEnd w:id="101"/>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EFC3"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BD" w14:textId="39C7F006"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C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C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EFC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EFCA"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6,928</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3,281</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3,285</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0.20</w:t>
            </w:r>
          </w:p>
        </w:tc>
      </w:tr>
      <w:tr w:rsidR="00CB4C2D" w14:paraId="5B46EFD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8,621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4,159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4,166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0.24</w:t>
            </w:r>
          </w:p>
        </w:tc>
      </w:tr>
      <w:tr w:rsidR="00CB4C2D" w14:paraId="5B46EFD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9,162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4,440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4,446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0.24</w:t>
            </w:r>
          </w:p>
        </w:tc>
      </w:tr>
      <w:tr w:rsidR="00CB4C2D" w14:paraId="5B46EFD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9,221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4,373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4,379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0.22</w:t>
            </w:r>
          </w:p>
        </w:tc>
      </w:tr>
      <w:tr w:rsidR="00CB4C2D" w14:paraId="5B46EFE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9,349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4,532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4,539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0.23</w:t>
            </w:r>
          </w:p>
        </w:tc>
      </w:tr>
      <w:tr w:rsidR="00CB4C2D" w14:paraId="5B46EFE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4,815</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4,822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0.23</w:t>
            </w:r>
          </w:p>
        </w:tc>
      </w:tr>
      <w:tr w:rsidR="00CB4C2D" w14:paraId="5B46EFF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E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10,023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4,956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4,962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0.21</w:t>
            </w:r>
          </w:p>
        </w:tc>
      </w:tr>
      <w:tr w:rsidR="00CB4C2D" w14:paraId="5B46EFF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10,756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5,406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5,411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0.21</w:t>
            </w:r>
          </w:p>
        </w:tc>
      </w:tr>
      <w:tr w:rsidR="00CB4C2D" w14:paraId="5B46F00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11,530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5,811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F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0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5,816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0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0.22</w:t>
            </w:r>
          </w:p>
        </w:tc>
      </w:tr>
      <w:tr w:rsidR="00CB4C2D" w14:paraId="5B46F009"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0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11,938</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6,016</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0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6,021</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0.22</w:t>
            </w:r>
          </w:p>
        </w:tc>
      </w:tr>
    </w:tbl>
    <w:p w14:paraId="5B46F00A"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15.</w:t>
      </w:r>
    </w:p>
    <w:p w14:paraId="5B46F00B" w14:textId="77777777" w:rsidR="00CB4C2D" w:rsidRDefault="00397949">
      <w:pPr>
        <w:pStyle w:val="Heading3"/>
      </w:pPr>
      <w:bookmarkStart w:id="103" w:name="explanatory-notes-29"/>
      <w:r>
        <w:rPr>
          <w:bCs/>
        </w:rPr>
        <w:t>Explanatory notes</w:t>
      </w:r>
    </w:p>
    <w:p w14:paraId="5B46F00E" w14:textId="2904E0B5" w:rsidR="00CB4C2D" w:rsidRPr="00776C38" w:rsidRDefault="00397949">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 xml:space="preserve">Cultural and creative activity GDP in design and fashion </w:t>
      </w:r>
      <w:r w:rsidR="00B934BE" w:rsidRPr="006A0CEE">
        <w:rPr>
          <w:rFonts w:ascii="Calibri (Body)" w:eastAsia="Calibri (Body)" w:hAnsi="Calibri (Body)" w:cs="Calibri (Body)"/>
          <w:color w:val="000000"/>
        </w:rPr>
        <w:t>increased by</w:t>
      </w:r>
      <w:r w:rsidRPr="006A0CEE">
        <w:rPr>
          <w:rFonts w:ascii="Calibri (Body)" w:eastAsia="Calibri (Body)" w:hAnsi="Calibri (Body)" w:cs="Calibri (Body)"/>
          <w:color w:val="000000"/>
        </w:rPr>
        <w:t xml:space="preserve"> $2.7 billion from 2015–16 to 2024–25. </w:t>
      </w:r>
      <w:r w:rsidR="00B934BE" w:rsidRPr="006A0CEE">
        <w:rPr>
          <w:rFonts w:ascii="Calibri (Body)" w:eastAsia="Calibri (Body)" w:hAnsi="Calibri (Body)" w:cs="Calibri (Body)"/>
          <w:color w:val="000000"/>
        </w:rPr>
        <w:t>Growth was mainly driven by s</w:t>
      </w:r>
      <w:r w:rsidRPr="006A0CEE">
        <w:rPr>
          <w:rFonts w:ascii="Calibri (Body)" w:eastAsia="Calibri (Body)" w:hAnsi="Calibri (Body)" w:cs="Calibri (Body)"/>
          <w:color w:val="000000"/>
        </w:rPr>
        <w:t>pecialised design service providers that have integrated new design innovations</w:t>
      </w:r>
      <w:r w:rsidR="00B934BE" w:rsidRPr="006A0CEE">
        <w:rPr>
          <w:rFonts w:ascii="Calibri (Body)" w:eastAsia="Calibri (Body)" w:hAnsi="Calibri (Body)" w:cs="Calibri (Body)"/>
          <w:color w:val="000000"/>
        </w:rPr>
        <w:t xml:space="preserve"> and</w:t>
      </w:r>
      <w:r w:rsidRPr="006A0CEE">
        <w:rPr>
          <w:rFonts w:ascii="Calibri (Body)" w:eastAsia="Calibri (Body)" w:hAnsi="Calibri (Body)" w:cs="Calibri (Body)"/>
          <w:color w:val="000000"/>
        </w:rPr>
        <w:t xml:space="preserve"> have capitalised on the widespread adoption of digital technology. More businesses have taken their operations online and onto social media platforms, lifting demand for website design services.</w:t>
      </w:r>
      <w:r w:rsidRPr="006A0CEE">
        <w:rPr>
          <w:rFonts w:ascii="Calibri (Body)" w:eastAsia="Calibri (Body)" w:hAnsi="Calibri (Body)" w:cs="Calibri (Body)"/>
          <w:color w:val="000000"/>
          <w:vertAlign w:val="superscript"/>
        </w:rPr>
        <w:t>10</w:t>
      </w:r>
      <w:r w:rsidR="00776C38" w:rsidRPr="006A0CEE">
        <w:rPr>
          <w:rFonts w:ascii="Calibri (Body)" w:eastAsia="Calibri (Body)" w:hAnsi="Calibri (Body)" w:cs="Calibri (Body)"/>
          <w:color w:val="000000"/>
          <w:vertAlign w:val="superscript"/>
        </w:rPr>
        <w:t xml:space="preserve"> </w:t>
      </w:r>
      <w:r w:rsidRPr="006A0CEE">
        <w:rPr>
          <w:rFonts w:ascii="Calibri (Body)" w:eastAsia="Calibri (Body)" w:hAnsi="Calibri (Body)" w:cs="Calibri (Body)"/>
          <w:color w:val="000000"/>
        </w:rPr>
        <w:t xml:space="preserve">As a share of </w:t>
      </w:r>
      <w:r w:rsidR="00B934BE" w:rsidRPr="006A0CEE">
        <w:rPr>
          <w:rFonts w:ascii="Calibri (Body)" w:eastAsia="Calibri (Body)" w:hAnsi="Calibri (Body)" w:cs="Calibri (Body)"/>
          <w:color w:val="000000"/>
        </w:rPr>
        <w:t xml:space="preserve">the </w:t>
      </w:r>
      <w:r w:rsidRPr="006A0CEE">
        <w:rPr>
          <w:rFonts w:ascii="Calibri (Body)" w:eastAsia="Calibri (Body)" w:hAnsi="Calibri (Body)" w:cs="Calibri (Body)"/>
          <w:color w:val="000000"/>
        </w:rPr>
        <w:t>overall economy, th</w:t>
      </w:r>
      <w:r w:rsidR="00776C38" w:rsidRPr="006A0CEE">
        <w:rPr>
          <w:rFonts w:ascii="Calibri (Body)" w:eastAsia="Calibri (Body)" w:hAnsi="Calibri (Body)" w:cs="Calibri (Body)"/>
          <w:color w:val="000000"/>
        </w:rPr>
        <w:t>e</w:t>
      </w:r>
      <w:r w:rsidRPr="006A0CEE">
        <w:rPr>
          <w:rFonts w:ascii="Calibri (Body)" w:eastAsia="Calibri (Body)" w:hAnsi="Calibri (Body)" w:cs="Calibri (Body)"/>
          <w:color w:val="000000"/>
        </w:rPr>
        <w:t xml:space="preserve"> domain increased from 0.20% in 2015–16 to 0.22% in 2024–25.</w:t>
      </w:r>
    </w:p>
    <w:p w14:paraId="5B46F00F"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F010"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10</w:t>
      </w:r>
      <w:r w:rsidRPr="00776C38">
        <w:rPr>
          <w:rFonts w:ascii="Calibri (Body)" w:eastAsia="Calibri (Body)" w:hAnsi="Calibri (Body)" w:cs="Calibri (Body)"/>
          <w:color w:val="000000"/>
          <w:sz w:val="18"/>
          <w:szCs w:val="18"/>
        </w:rPr>
        <w:t xml:space="preserve"> IBISWorld industry report (2024), M6924 Specialised Design Services in Australia, October 2024, p. 12.</w:t>
      </w:r>
    </w:p>
    <w:p w14:paraId="5B46F011" w14:textId="77777777" w:rsidR="00CB4C2D" w:rsidRDefault="00397949">
      <w:r>
        <w:br w:type="page"/>
      </w:r>
    </w:p>
    <w:p w14:paraId="5B46F012" w14:textId="77777777" w:rsidR="00CB4C2D" w:rsidRDefault="00397949">
      <w:pPr>
        <w:pStyle w:val="Heading2"/>
      </w:pPr>
      <w:bookmarkStart w:id="104" w:name="_Toc234836042"/>
      <w:bookmarkStart w:id="105" w:name="X7ec34dab1fa6103edc23b4fb48e9d83136321a0"/>
      <w:bookmarkEnd w:id="102"/>
      <w:bookmarkEnd w:id="103"/>
      <w:r>
        <w:rPr>
          <w:b/>
          <w:bCs/>
        </w:rPr>
        <w:lastRenderedPageBreak/>
        <w:t>Figure 18: Design and fashion, GDP and as a share of overall economy</w:t>
      </w:r>
      <w:bookmarkEnd w:id="104"/>
    </w:p>
    <w:p w14:paraId="5B46F013" w14:textId="6C78DAA4" w:rsidR="00CB4C2D" w:rsidRDefault="007C1E9F">
      <w:r w:rsidRPr="007C1E9F">
        <w:rPr>
          <w:noProof/>
        </w:rPr>
        <w:drawing>
          <wp:inline distT="0" distB="0" distL="0" distR="0" wp14:anchorId="7368C135" wp14:editId="3F066151">
            <wp:extent cx="9395460" cy="3489960"/>
            <wp:effectExtent l="0" t="0" r="0" b="0"/>
            <wp:docPr id="975492177" name="Picture 1" descr="The two line charts show the GDP of design and fashion and its share of overall economy over the period from 2015–16 to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92177" name="Picture 1" descr="The two line charts show the GDP of design and fashion and its share of overall economy over the period from 2015–16 to 2024–25"/>
                    <pic:cNvPicPr/>
                  </pic:nvPicPr>
                  <pic:blipFill>
                    <a:blip r:embed="rId31"/>
                    <a:stretch>
                      <a:fillRect/>
                    </a:stretch>
                  </pic:blipFill>
                  <pic:spPr>
                    <a:xfrm>
                      <a:off x="0" y="0"/>
                      <a:ext cx="9395460" cy="3489960"/>
                    </a:xfrm>
                    <a:prstGeom prst="rect">
                      <a:avLst/>
                    </a:prstGeom>
                  </pic:spPr>
                </pic:pic>
              </a:graphicData>
            </a:graphic>
          </wp:inline>
        </w:drawing>
      </w:r>
    </w:p>
    <w:p w14:paraId="5B46F014"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24.</w:t>
      </w:r>
    </w:p>
    <w:p w14:paraId="5B46F015" w14:textId="77777777" w:rsidR="00CB4C2D" w:rsidRDefault="00397949">
      <w:pPr>
        <w:pStyle w:val="Heading3"/>
      </w:pPr>
      <w:bookmarkStart w:id="106" w:name="explanatory-notes-30"/>
      <w:r>
        <w:rPr>
          <w:bCs/>
        </w:rPr>
        <w:t>Explanatory notes</w:t>
      </w:r>
    </w:p>
    <w:p w14:paraId="5B46F016" w14:textId="77777777" w:rsidR="00CB4C2D" w:rsidRDefault="00397949">
      <w:r>
        <w:t>See notes of Table 13.</w:t>
      </w:r>
    </w:p>
    <w:p w14:paraId="5B46F017" w14:textId="77777777" w:rsidR="00CB4C2D" w:rsidRDefault="00397949">
      <w:r>
        <w:br w:type="page"/>
      </w:r>
    </w:p>
    <w:p w14:paraId="5B46F018" w14:textId="77777777" w:rsidR="00CB4C2D" w:rsidRDefault="00397949">
      <w:pPr>
        <w:pStyle w:val="Heading2"/>
      </w:pPr>
      <w:bookmarkStart w:id="107" w:name="_Toc234836043"/>
      <w:bookmarkStart w:id="108" w:name="Xb7dae654192c0878835506b47e0b7500012c70c"/>
      <w:bookmarkEnd w:id="105"/>
      <w:bookmarkEnd w:id="106"/>
      <w:r>
        <w:rPr>
          <w:b/>
          <w:bCs/>
        </w:rPr>
        <w:lastRenderedPageBreak/>
        <w:t>Table 14: Advertising and promotion, 2015–16 to 2024–25</w:t>
      </w:r>
      <w:bookmarkEnd w:id="107"/>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F01F"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19" w14:textId="5E476B4D"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1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1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1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1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1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F026"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22,735</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11,059</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101</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11,160</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0.67</w:t>
            </w:r>
          </w:p>
        </w:tc>
      </w:tr>
      <w:tr w:rsidR="00CB4C2D" w14:paraId="5B46F02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24,826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12,294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12,385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0.70</w:t>
            </w:r>
          </w:p>
        </w:tc>
      </w:tr>
      <w:tr w:rsidR="00CB4C2D" w14:paraId="5B46F03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2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25,950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12,752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12,846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0.69</w:t>
            </w:r>
          </w:p>
        </w:tc>
      </w:tr>
      <w:tr w:rsidR="00CB4C2D" w14:paraId="5B46F03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27,717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13,410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13,512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0.69</w:t>
            </w:r>
          </w:p>
        </w:tc>
      </w:tr>
      <w:tr w:rsidR="00CB4C2D" w14:paraId="5B46F04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26,989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13,384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3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13,484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0.68</w:t>
            </w:r>
          </w:p>
        </w:tc>
      </w:tr>
      <w:tr w:rsidR="00CB4C2D" w14:paraId="5B46F04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27,590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13,851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13,954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0.67</w:t>
            </w:r>
          </w:p>
        </w:tc>
      </w:tr>
      <w:tr w:rsidR="00CB4C2D" w14:paraId="5B46F05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30,575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15,410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15,512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4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0.66</w:t>
            </w:r>
          </w:p>
        </w:tc>
      </w:tr>
      <w:tr w:rsidR="00CB4C2D" w14:paraId="5B46F05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33,414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17,056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17,157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0.67</w:t>
            </w:r>
          </w:p>
        </w:tc>
      </w:tr>
      <w:tr w:rsidR="00CB4C2D" w14:paraId="5B46F05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33,996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17,356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17,439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0.65</w:t>
            </w:r>
          </w:p>
        </w:tc>
      </w:tr>
      <w:tr w:rsidR="00CB4C2D" w14:paraId="5B46F065"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5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6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35,251</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6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17,996</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88</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18,084</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6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0.65</w:t>
            </w:r>
          </w:p>
        </w:tc>
      </w:tr>
    </w:tbl>
    <w:p w14:paraId="5B46F066"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16.</w:t>
      </w:r>
    </w:p>
    <w:p w14:paraId="5B46F067" w14:textId="77777777" w:rsidR="00CB4C2D" w:rsidRDefault="00397949">
      <w:pPr>
        <w:pStyle w:val="Heading3"/>
      </w:pPr>
      <w:bookmarkStart w:id="109" w:name="explanatory-notes-31"/>
      <w:r>
        <w:rPr>
          <w:bCs/>
        </w:rPr>
        <w:t>Explanatory notes</w:t>
      </w:r>
    </w:p>
    <w:p w14:paraId="5B46F06A" w14:textId="0DC91629" w:rsidR="00CB4C2D" w:rsidRPr="00776C38" w:rsidRDefault="00397949">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 xml:space="preserve">Advertising and promotion </w:t>
      </w:r>
      <w:proofErr w:type="gramStart"/>
      <w:r w:rsidR="00776C38" w:rsidRPr="006A0CEE">
        <w:rPr>
          <w:rFonts w:ascii="Calibri (Body)" w:eastAsia="Calibri (Body)" w:hAnsi="Calibri (Body)" w:cs="Calibri (Body)"/>
          <w:color w:val="000000"/>
        </w:rPr>
        <w:t>wa</w:t>
      </w:r>
      <w:r w:rsidRPr="006A0CEE">
        <w:rPr>
          <w:rFonts w:ascii="Calibri (Body)" w:eastAsia="Calibri (Body)" w:hAnsi="Calibri (Body)" w:cs="Calibri (Body)"/>
          <w:color w:val="000000"/>
        </w:rPr>
        <w:t>s</w:t>
      </w:r>
      <w:proofErr w:type="gramEnd"/>
      <w:r w:rsidRPr="006A0CEE">
        <w:rPr>
          <w:rFonts w:ascii="Calibri (Body)" w:eastAsia="Calibri (Body)" w:hAnsi="Calibri (Body)" w:cs="Calibri (Body)"/>
          <w:color w:val="000000"/>
        </w:rPr>
        <w:t xml:space="preserve"> the largest </w:t>
      </w:r>
      <w:r w:rsidR="00776C38" w:rsidRPr="006A0CEE">
        <w:rPr>
          <w:rFonts w:ascii="Calibri (Body)" w:eastAsia="Calibri (Body)" w:hAnsi="Calibri (Body)" w:cs="Calibri (Body)"/>
          <w:color w:val="000000"/>
        </w:rPr>
        <w:t xml:space="preserve">cultural and creative </w:t>
      </w:r>
      <w:r w:rsidRPr="006A0CEE">
        <w:rPr>
          <w:rFonts w:ascii="Calibri (Body)" w:eastAsia="Calibri (Body)" w:hAnsi="Calibri (Body)" w:cs="Calibri (Body)"/>
          <w:color w:val="000000"/>
        </w:rPr>
        <w:t>domain</w:t>
      </w:r>
      <w:r w:rsidR="00776C38" w:rsidRPr="006A0CEE">
        <w:rPr>
          <w:rFonts w:ascii="Calibri (Body)" w:eastAsia="Calibri (Body)" w:hAnsi="Calibri (Body)" w:cs="Calibri (Body)"/>
          <w:color w:val="000000"/>
        </w:rPr>
        <w:t xml:space="preserve"> in 2024–25</w:t>
      </w:r>
      <w:r w:rsidRPr="006A0CEE">
        <w:rPr>
          <w:rFonts w:ascii="Calibri (Body)" w:eastAsia="Calibri (Body)" w:hAnsi="Calibri (Body)" w:cs="Calibri (Body)"/>
          <w:color w:val="000000"/>
        </w:rPr>
        <w:t>, accounting for 25.7% of</w:t>
      </w:r>
      <w:r w:rsidR="00776C38" w:rsidRPr="006A0CEE">
        <w:rPr>
          <w:rFonts w:ascii="Calibri (Body)" w:eastAsia="Calibri (Body)" w:hAnsi="Calibri (Body)" w:cs="Calibri (Body)"/>
          <w:color w:val="000000"/>
        </w:rPr>
        <w:t xml:space="preserve"> total</w:t>
      </w:r>
      <w:r w:rsidRPr="006A0CEE">
        <w:rPr>
          <w:rFonts w:ascii="Calibri (Body)" w:eastAsia="Calibri (Body)" w:hAnsi="Calibri (Body)" w:cs="Calibri (Body)"/>
          <w:color w:val="000000"/>
        </w:rPr>
        <w:t xml:space="preserve"> cultural and creative activity. GDP in this domain increased by $6.9 billion, from $11.2 billion in 2015–16 to $18.1 billion in 2024–25. </w:t>
      </w:r>
      <w:r w:rsidR="00776C38" w:rsidRPr="006A0CEE">
        <w:rPr>
          <w:rFonts w:ascii="Calibri (Body)" w:eastAsia="Calibri (Body)" w:hAnsi="Calibri (Body)" w:cs="Calibri (Body)"/>
          <w:color w:val="000000"/>
        </w:rPr>
        <w:t>Growth was supported by t</w:t>
      </w:r>
      <w:r w:rsidRPr="006A0CEE">
        <w:rPr>
          <w:rFonts w:ascii="Calibri (Body)" w:eastAsia="Calibri (Body)" w:hAnsi="Calibri (Body)" w:cs="Calibri (Body)"/>
          <w:color w:val="000000"/>
        </w:rPr>
        <w:t>echnology investment and digital transformation</w:t>
      </w:r>
      <w:r w:rsidR="00776C38" w:rsidRPr="006A0CEE">
        <w:rPr>
          <w:rFonts w:ascii="Calibri (Body)" w:eastAsia="Calibri (Body)" w:hAnsi="Calibri (Body)" w:cs="Calibri (Body)"/>
          <w:color w:val="000000"/>
        </w:rPr>
        <w:t xml:space="preserve">, which </w:t>
      </w:r>
      <w:r w:rsidRPr="006A0CEE">
        <w:rPr>
          <w:rFonts w:ascii="Calibri (Body)" w:eastAsia="Calibri (Body)" w:hAnsi="Calibri (Body)" w:cs="Calibri (Body)"/>
          <w:color w:val="000000"/>
        </w:rPr>
        <w:t xml:space="preserve">have </w:t>
      </w:r>
      <w:r w:rsidR="00776C38" w:rsidRPr="006A0CEE">
        <w:rPr>
          <w:rFonts w:ascii="Calibri (Body)" w:eastAsia="Calibri (Body)" w:hAnsi="Calibri (Body)" w:cs="Calibri (Body)"/>
          <w:color w:val="000000"/>
        </w:rPr>
        <w:t xml:space="preserve">improved </w:t>
      </w:r>
      <w:r w:rsidRPr="006A0CEE">
        <w:rPr>
          <w:rFonts w:ascii="Calibri (Body)" w:eastAsia="Calibri (Body)" w:hAnsi="Calibri (Body)" w:cs="Calibri (Body)"/>
          <w:color w:val="000000"/>
        </w:rPr>
        <w:t xml:space="preserve">profitability by increasing digital advertising uptake and </w:t>
      </w:r>
      <w:r w:rsidR="00776C38" w:rsidRPr="006A0CEE">
        <w:rPr>
          <w:rFonts w:ascii="Calibri (Body)" w:eastAsia="Calibri (Body)" w:hAnsi="Calibri (Body)" w:cs="Calibri (Body)"/>
          <w:color w:val="000000"/>
        </w:rPr>
        <w:t xml:space="preserve">lowering </w:t>
      </w:r>
      <w:r w:rsidRPr="006A0CEE">
        <w:rPr>
          <w:rFonts w:ascii="Calibri (Body)" w:eastAsia="Calibri (Body)" w:hAnsi="Calibri (Body)" w:cs="Calibri (Body)"/>
          <w:color w:val="000000"/>
        </w:rPr>
        <w:t>operating costs through tools such as AI-driven campaigns and digital billboards.</w:t>
      </w:r>
      <w:r w:rsidRPr="006A0CEE">
        <w:rPr>
          <w:rFonts w:ascii="Calibri (Body)" w:eastAsia="Calibri (Body)" w:hAnsi="Calibri (Body)" w:cs="Calibri (Body)"/>
          <w:color w:val="000000"/>
          <w:vertAlign w:val="superscript"/>
        </w:rPr>
        <w:t>11</w:t>
      </w:r>
      <w:r w:rsidR="00776C38" w:rsidRPr="006A0CEE">
        <w:rPr>
          <w:rFonts w:ascii="Calibri (Body)" w:eastAsia="Calibri (Body)" w:hAnsi="Calibri (Body)" w:cs="Calibri (Body)"/>
          <w:color w:val="000000"/>
        </w:rPr>
        <w:t xml:space="preserve"> </w:t>
      </w:r>
      <w:r w:rsidRPr="006A0CEE">
        <w:rPr>
          <w:rFonts w:ascii="Calibri (Body)" w:eastAsia="Calibri (Body)" w:hAnsi="Calibri (Body)" w:cs="Calibri (Body)"/>
          <w:color w:val="000000"/>
        </w:rPr>
        <w:t>As a share of the overall economy, th</w:t>
      </w:r>
      <w:r w:rsidR="00776C38" w:rsidRPr="006A0CEE">
        <w:rPr>
          <w:rFonts w:ascii="Calibri (Body)" w:eastAsia="Calibri (Body)" w:hAnsi="Calibri (Body)" w:cs="Calibri (Body)"/>
          <w:color w:val="000000"/>
        </w:rPr>
        <w:t>e</w:t>
      </w:r>
      <w:r w:rsidRPr="006A0CEE">
        <w:rPr>
          <w:rFonts w:ascii="Calibri (Body)" w:eastAsia="Calibri (Body)" w:hAnsi="Calibri (Body)" w:cs="Calibri (Body)"/>
          <w:color w:val="000000"/>
        </w:rPr>
        <w:t xml:space="preserve"> domain declined slightly from 0.67% to 0.65% over the period. </w:t>
      </w:r>
    </w:p>
    <w:p w14:paraId="5B46F06B"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F06C"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11</w:t>
      </w:r>
      <w:r w:rsidRPr="00776C38">
        <w:rPr>
          <w:rFonts w:ascii="Calibri (Body)" w:eastAsia="Calibri (Body)" w:hAnsi="Calibri (Body)" w:cs="Calibri (Body)"/>
          <w:color w:val="000000"/>
          <w:sz w:val="18"/>
          <w:szCs w:val="18"/>
        </w:rPr>
        <w:t xml:space="preserve"> IBISWorld industry report (2025), M6941 Advertising Agencies in Australia, May 2025, p. 3.</w:t>
      </w:r>
    </w:p>
    <w:p w14:paraId="5B46F06D" w14:textId="77777777" w:rsidR="00CB4C2D" w:rsidRDefault="00397949">
      <w:r>
        <w:br w:type="page"/>
      </w:r>
    </w:p>
    <w:p w14:paraId="5B46F06E" w14:textId="77777777" w:rsidR="00CB4C2D" w:rsidRDefault="00397949">
      <w:pPr>
        <w:pStyle w:val="Heading2"/>
      </w:pPr>
      <w:bookmarkStart w:id="110" w:name="_Toc234836044"/>
      <w:bookmarkStart w:id="111" w:name="X2bdb115387dc2d1a0c33612883c16da665ae5ff"/>
      <w:bookmarkEnd w:id="108"/>
      <w:bookmarkEnd w:id="109"/>
      <w:r>
        <w:rPr>
          <w:b/>
          <w:bCs/>
        </w:rPr>
        <w:lastRenderedPageBreak/>
        <w:t>Figure 19: Advertising and promotion, GDP and as a share of overall economy</w:t>
      </w:r>
      <w:bookmarkEnd w:id="110"/>
    </w:p>
    <w:p w14:paraId="5B46F06F" w14:textId="77777777" w:rsidR="00CB4C2D" w:rsidRDefault="00397949">
      <w:r>
        <w:rPr>
          <w:noProof/>
        </w:rPr>
        <w:drawing>
          <wp:inline distT="0" distB="0" distL="0" distR="0" wp14:anchorId="5B46F4BB" wp14:editId="5B46F4BC">
            <wp:extent cx="9385300" cy="3519487"/>
            <wp:effectExtent l="0" t="0" r="0" b="0"/>
            <wp:docPr id="151" name="Picture" descr="The two line charts show the GDP of advertising and promotion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52" name="Picture" descr="1__CCA_Phase1_MODEL_VisualSum_Trade_3July2026_updated_files/figure-docx/unnamed-chunk-159-1.png"/>
                    <pic:cNvPicPr>
                      <a:picLocks noChangeAspect="1" noChangeArrowheads="1"/>
                    </pic:cNvPicPr>
                  </pic:nvPicPr>
                  <pic:blipFill>
                    <a:blip r:embed="rId32"/>
                    <a:stretch>
                      <a:fillRect/>
                    </a:stretch>
                  </pic:blipFill>
                  <pic:spPr bwMode="auto">
                    <a:xfrm>
                      <a:off x="0" y="0"/>
                      <a:ext cx="9385300" cy="3519487"/>
                    </a:xfrm>
                    <a:prstGeom prst="rect">
                      <a:avLst/>
                    </a:prstGeom>
                    <a:noFill/>
                    <a:ln w="9525">
                      <a:noFill/>
                      <a:headEnd/>
                      <a:tailEnd/>
                    </a:ln>
                  </pic:spPr>
                </pic:pic>
              </a:graphicData>
            </a:graphic>
          </wp:inline>
        </w:drawing>
      </w:r>
    </w:p>
    <w:p w14:paraId="5B46F070"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25.</w:t>
      </w:r>
    </w:p>
    <w:p w14:paraId="5B46F071" w14:textId="77777777" w:rsidR="00CB4C2D" w:rsidRDefault="00397949">
      <w:pPr>
        <w:pStyle w:val="Heading3"/>
      </w:pPr>
      <w:bookmarkStart w:id="112" w:name="explanatory-notes-32"/>
      <w:r>
        <w:rPr>
          <w:bCs/>
        </w:rPr>
        <w:t>Explanatory notes</w:t>
      </w:r>
    </w:p>
    <w:p w14:paraId="5B46F072" w14:textId="77777777" w:rsidR="00CB4C2D" w:rsidRDefault="00397949">
      <w:r>
        <w:t>See notes of Table 14.</w:t>
      </w:r>
    </w:p>
    <w:p w14:paraId="5B46F073" w14:textId="77777777" w:rsidR="00CB4C2D" w:rsidRDefault="00397949">
      <w:r>
        <w:br w:type="page"/>
      </w:r>
    </w:p>
    <w:p w14:paraId="5B46F074" w14:textId="77777777" w:rsidR="00CB4C2D" w:rsidRDefault="00397949">
      <w:pPr>
        <w:pStyle w:val="Heading2"/>
      </w:pPr>
      <w:bookmarkStart w:id="113" w:name="_Toc234836045"/>
      <w:bookmarkStart w:id="114" w:name="table-15-events-arts-201516-to-202425"/>
      <w:bookmarkEnd w:id="111"/>
      <w:bookmarkEnd w:id="112"/>
      <w:r>
        <w:rPr>
          <w:b/>
          <w:bCs/>
        </w:rPr>
        <w:lastRenderedPageBreak/>
        <w:t>Table 15: Events (arts), 2015–16 to 2024–25</w:t>
      </w:r>
      <w:bookmarkEnd w:id="113"/>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F07B"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75" w14:textId="52BA91E0"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7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7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F082"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7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1,017</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7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638</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663</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8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1,064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662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676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9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1,144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744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8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9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1,215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804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816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9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1,105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760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A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9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1,095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743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753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A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1,440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968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979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B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1,437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A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950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962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B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1,483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957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970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B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C1"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B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1,547</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B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998</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1,012</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C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bl>
    <w:p w14:paraId="5B46F0C2"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17.</w:t>
      </w:r>
    </w:p>
    <w:p w14:paraId="5B46F0C3" w14:textId="77777777" w:rsidR="00CB4C2D" w:rsidRDefault="00397949">
      <w:pPr>
        <w:pStyle w:val="Heading3"/>
      </w:pPr>
      <w:bookmarkStart w:id="115" w:name="explanatory-notes-33"/>
      <w:r>
        <w:rPr>
          <w:bCs/>
        </w:rPr>
        <w:t>Explanatory notes</w:t>
      </w:r>
    </w:p>
    <w:p w14:paraId="5B46F0C4" w14:textId="4A1D6AFF" w:rsidR="00CB4C2D" w:rsidRPr="00501CA2" w:rsidRDefault="00397949">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Cultural and creative activity GDP in arts-related events increased by $349 million</w:t>
      </w:r>
      <w:r w:rsidR="00501CA2"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52.7%</w:t>
      </w:r>
      <w:r w:rsidR="00501CA2"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from 2015–16 to 2024–25. Event promotion and management activities </w:t>
      </w:r>
      <w:r w:rsidR="00501CA2" w:rsidRPr="006A0CEE">
        <w:rPr>
          <w:rFonts w:ascii="Calibri (Body)" w:eastAsia="Calibri (Body)" w:hAnsi="Calibri (Body)" w:cs="Calibri (Body)"/>
          <w:color w:val="000000"/>
        </w:rPr>
        <w:t>was significantly affected by</w:t>
      </w:r>
      <w:r w:rsidRPr="006A0CEE">
        <w:rPr>
          <w:rFonts w:ascii="Calibri (Body)" w:eastAsia="Calibri (Body)" w:hAnsi="Calibri (Body)" w:cs="Calibri (Body)"/>
          <w:color w:val="000000"/>
        </w:rPr>
        <w:t xml:space="preserve"> COVID-19</w:t>
      </w:r>
      <w:r w:rsidR="00501CA2" w:rsidRPr="006A0CEE">
        <w:rPr>
          <w:rFonts w:ascii="Calibri (Body)" w:eastAsia="Calibri (Body)" w:hAnsi="Calibri (Body)" w:cs="Calibri (Body)"/>
          <w:color w:val="000000"/>
        </w:rPr>
        <w:t>, with</w:t>
      </w:r>
      <w:r w:rsidRPr="006A0CEE">
        <w:rPr>
          <w:rFonts w:ascii="Calibri (Body)" w:eastAsia="Calibri (Body)" w:hAnsi="Calibri (Body)" w:cs="Calibri (Body)"/>
          <w:color w:val="000000"/>
        </w:rPr>
        <w:t xml:space="preserve"> lockdowns restricti</w:t>
      </w:r>
      <w:r w:rsidR="00501CA2" w:rsidRPr="006A0CEE">
        <w:rPr>
          <w:rFonts w:ascii="Calibri (Body)" w:eastAsia="Calibri (Body)" w:hAnsi="Calibri (Body)" w:cs="Calibri (Body)"/>
          <w:color w:val="000000"/>
        </w:rPr>
        <w:t>ng conferences</w:t>
      </w:r>
      <w:r w:rsidRPr="006A0CEE">
        <w:rPr>
          <w:rFonts w:ascii="Calibri (Body)" w:eastAsia="Calibri (Body)" w:hAnsi="Calibri (Body)" w:cs="Calibri (Body)"/>
          <w:color w:val="000000"/>
        </w:rPr>
        <w:t>, events and other industry services over this period.</w:t>
      </w:r>
      <w:r w:rsidRPr="006A0CEE">
        <w:rPr>
          <w:rFonts w:ascii="Calibri (Body)" w:eastAsia="Calibri (Body)" w:hAnsi="Calibri (Body)" w:cs="Calibri (Body)"/>
          <w:color w:val="000000"/>
          <w:vertAlign w:val="superscript"/>
        </w:rPr>
        <w:t>12</w:t>
      </w:r>
      <w:r w:rsidRPr="006A0CEE">
        <w:rPr>
          <w:rFonts w:ascii="Calibri (Body)" w:eastAsia="Calibri (Body)" w:hAnsi="Calibri (Body)" w:cs="Calibri (Body)"/>
          <w:color w:val="000000"/>
        </w:rPr>
        <w:t xml:space="preserve"> As a </w:t>
      </w:r>
      <w:proofErr w:type="gramStart"/>
      <w:r w:rsidR="00501CA2" w:rsidRPr="006A0CEE">
        <w:rPr>
          <w:rFonts w:ascii="Calibri (Body)" w:eastAsia="Calibri (Body)" w:hAnsi="Calibri (Body)" w:cs="Calibri (Body)"/>
          <w:color w:val="000000"/>
        </w:rPr>
        <w:t>restrictions</w:t>
      </w:r>
      <w:proofErr w:type="gramEnd"/>
      <w:r w:rsidR="00501CA2" w:rsidRPr="006A0CEE">
        <w:rPr>
          <w:rFonts w:ascii="Calibri (Body)" w:eastAsia="Calibri (Body)" w:hAnsi="Calibri (Body)" w:cs="Calibri (Body)"/>
          <w:color w:val="000000"/>
        </w:rPr>
        <w:t xml:space="preserve"> eased,</w:t>
      </w:r>
      <w:r w:rsidRPr="006A0CEE">
        <w:rPr>
          <w:rFonts w:ascii="Calibri (Body)" w:eastAsia="Calibri (Body)" w:hAnsi="Calibri (Body)" w:cs="Calibri (Body)"/>
          <w:color w:val="000000"/>
        </w:rPr>
        <w:t xml:space="preserve"> GVA rebound</w:t>
      </w:r>
      <w:r w:rsidR="00501CA2" w:rsidRPr="006A0CEE">
        <w:rPr>
          <w:rFonts w:ascii="Calibri (Body)" w:eastAsia="Calibri (Body)" w:hAnsi="Calibri (Body)" w:cs="Calibri (Body)"/>
          <w:color w:val="000000"/>
        </w:rPr>
        <w:t>ed</w:t>
      </w:r>
      <w:r w:rsidRPr="006A0CEE">
        <w:rPr>
          <w:rFonts w:ascii="Calibri (Body)" w:eastAsia="Calibri (Body)" w:hAnsi="Calibri (Body)" w:cs="Calibri (Body)"/>
          <w:color w:val="000000"/>
        </w:rPr>
        <w:t xml:space="preserve"> in 2021–22</w:t>
      </w:r>
      <w:r w:rsidR="00501CA2" w:rsidRPr="006A0CEE">
        <w:rPr>
          <w:rFonts w:ascii="Calibri (Body)" w:eastAsia="Calibri (Body)" w:hAnsi="Calibri (Body)" w:cs="Calibri (Body)"/>
          <w:color w:val="000000"/>
        </w:rPr>
        <w:t>, supported by the return of major events including music concerts</w:t>
      </w:r>
      <w:r w:rsidRPr="006A0CEE">
        <w:rPr>
          <w:rFonts w:ascii="Calibri (Body)" w:eastAsia="Calibri (Body)" w:hAnsi="Calibri (Body)" w:cs="Calibri (Body)"/>
          <w:color w:val="000000"/>
        </w:rPr>
        <w:t>. As a share of</w:t>
      </w:r>
      <w:r w:rsidR="003A0D67">
        <w:rPr>
          <w:rFonts w:ascii="Calibri (Body)" w:eastAsia="Calibri (Body)" w:hAnsi="Calibri (Body)" w:cs="Calibri (Body)"/>
          <w:color w:val="000000"/>
        </w:rPr>
        <w:t xml:space="preserve"> the</w:t>
      </w:r>
      <w:r w:rsidRPr="006A0CEE">
        <w:rPr>
          <w:rFonts w:ascii="Calibri (Body)" w:eastAsia="Calibri (Body)" w:hAnsi="Calibri (Body)" w:cs="Calibri (Body)"/>
          <w:color w:val="000000"/>
        </w:rPr>
        <w:t xml:space="preserve"> overall economy, </w:t>
      </w:r>
      <w:r w:rsidR="00501CA2" w:rsidRPr="006A0CEE">
        <w:rPr>
          <w:rFonts w:ascii="Calibri (Body)" w:eastAsia="Calibri (Body)" w:hAnsi="Calibri (Body)" w:cs="Calibri (Body)"/>
          <w:color w:val="000000"/>
        </w:rPr>
        <w:t>the domain</w:t>
      </w:r>
      <w:r w:rsidRPr="006A0CEE">
        <w:rPr>
          <w:rFonts w:ascii="Calibri (Body)" w:eastAsia="Calibri (Body)" w:hAnsi="Calibri (Body)" w:cs="Calibri (Body)"/>
          <w:color w:val="000000"/>
        </w:rPr>
        <w:t xml:space="preserve"> remained relative flat at 0.04% </w:t>
      </w:r>
      <w:r w:rsidR="00501CA2" w:rsidRPr="006A0CEE">
        <w:rPr>
          <w:rFonts w:ascii="Calibri (Body)" w:eastAsia="Calibri (Body)" w:hAnsi="Calibri (Body)" w:cs="Calibri (Body)"/>
          <w:color w:val="000000"/>
        </w:rPr>
        <w:t xml:space="preserve">over </w:t>
      </w:r>
      <w:r w:rsidRPr="006A0CEE">
        <w:rPr>
          <w:rFonts w:ascii="Calibri (Body)" w:eastAsia="Calibri (Body)" w:hAnsi="Calibri (Body)" w:cs="Calibri (Body)"/>
          <w:color w:val="000000"/>
        </w:rPr>
        <w:t>the period.</w:t>
      </w:r>
      <w:r w:rsidRPr="006A0CEE">
        <w:rPr>
          <w:rFonts w:ascii="Calibri (Body)" w:eastAsia="Calibri (Body)" w:hAnsi="Calibri (Body)" w:cs="Calibri (Body)"/>
          <w:color w:val="000000"/>
          <w:vertAlign w:val="superscript"/>
        </w:rPr>
        <w:t>13</w:t>
      </w:r>
    </w:p>
    <w:p w14:paraId="5B46F0C5"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F0C6"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12</w:t>
      </w:r>
      <w:r w:rsidRPr="00776C38">
        <w:rPr>
          <w:rFonts w:ascii="Calibri (Body)" w:eastAsia="Calibri (Body)" w:hAnsi="Calibri (Body)" w:cs="Calibri (Body)"/>
          <w:color w:val="000000"/>
          <w:sz w:val="18"/>
          <w:szCs w:val="18"/>
        </w:rPr>
        <w:t xml:space="preserve"> IBISWorld industry report (2022), N7299 Event Promotion and Management Services in Australia, August 2022, p. 9.</w:t>
      </w:r>
    </w:p>
    <w:p w14:paraId="5B46F0C7"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13</w:t>
      </w:r>
      <w:r w:rsidRPr="00776C38">
        <w:rPr>
          <w:rFonts w:ascii="Calibri (Body)" w:eastAsia="Calibri (Body)" w:hAnsi="Calibri (Body)" w:cs="Calibri (Body)"/>
          <w:color w:val="000000"/>
          <w:sz w:val="18"/>
          <w:szCs w:val="18"/>
        </w:rPr>
        <w:t xml:space="preserve"> IBISWorld industry report (2023), N7299 Event Promotion and Management Services in Australia, August 2023, p. 15.</w:t>
      </w:r>
    </w:p>
    <w:p w14:paraId="5B46F0C8" w14:textId="77777777" w:rsidR="00CB4C2D" w:rsidRDefault="00397949">
      <w:r>
        <w:br w:type="page"/>
      </w:r>
    </w:p>
    <w:p w14:paraId="5B46F0C9" w14:textId="77777777" w:rsidR="00CB4C2D" w:rsidRDefault="00397949">
      <w:pPr>
        <w:pStyle w:val="Heading2"/>
      </w:pPr>
      <w:bookmarkStart w:id="116" w:name="_Toc234836046"/>
      <w:bookmarkStart w:id="117" w:name="X7a4137b33cfdb8b8304076f12838a64e0956c33"/>
      <w:bookmarkEnd w:id="114"/>
      <w:bookmarkEnd w:id="115"/>
      <w:r>
        <w:rPr>
          <w:b/>
          <w:bCs/>
        </w:rPr>
        <w:lastRenderedPageBreak/>
        <w:t>Figure 20: Events (arts), GDP and as a share of overall economy</w:t>
      </w:r>
      <w:bookmarkEnd w:id="116"/>
    </w:p>
    <w:p w14:paraId="5B46F0CA" w14:textId="77777777" w:rsidR="00CB4C2D" w:rsidRDefault="00397949">
      <w:r>
        <w:rPr>
          <w:noProof/>
        </w:rPr>
        <w:drawing>
          <wp:inline distT="0" distB="0" distL="0" distR="0" wp14:anchorId="5B46F4BD" wp14:editId="5B46F4BE">
            <wp:extent cx="9385300" cy="3519487"/>
            <wp:effectExtent l="0" t="0" r="0" b="0"/>
            <wp:docPr id="158" name="Picture" descr="The two line charts show the GDP of events (arts)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59" name="Picture" descr="1__CCA_Phase1_MODEL_VisualSum_Trade_3July2026_updated_files/figure-docx/unnamed-chunk-164-1.png"/>
                    <pic:cNvPicPr>
                      <a:picLocks noChangeAspect="1" noChangeArrowheads="1"/>
                    </pic:cNvPicPr>
                  </pic:nvPicPr>
                  <pic:blipFill>
                    <a:blip r:embed="rId33"/>
                    <a:stretch>
                      <a:fillRect/>
                    </a:stretch>
                  </pic:blipFill>
                  <pic:spPr bwMode="auto">
                    <a:xfrm>
                      <a:off x="0" y="0"/>
                      <a:ext cx="9385300" cy="3519487"/>
                    </a:xfrm>
                    <a:prstGeom prst="rect">
                      <a:avLst/>
                    </a:prstGeom>
                    <a:noFill/>
                    <a:ln w="9525">
                      <a:noFill/>
                      <a:headEnd/>
                      <a:tailEnd/>
                    </a:ln>
                  </pic:spPr>
                </pic:pic>
              </a:graphicData>
            </a:graphic>
          </wp:inline>
        </w:drawing>
      </w:r>
    </w:p>
    <w:p w14:paraId="5B46F0CB"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17.</w:t>
      </w:r>
    </w:p>
    <w:p w14:paraId="5B46F0CC" w14:textId="77777777" w:rsidR="00CB4C2D" w:rsidRDefault="00397949">
      <w:pPr>
        <w:pStyle w:val="Heading3"/>
      </w:pPr>
      <w:bookmarkStart w:id="118" w:name="explanatory-notes-34"/>
      <w:r>
        <w:rPr>
          <w:bCs/>
        </w:rPr>
        <w:t>Explanatory notes</w:t>
      </w:r>
    </w:p>
    <w:p w14:paraId="5B46F0CD" w14:textId="77777777" w:rsidR="00CB4C2D" w:rsidRDefault="00397949">
      <w:r>
        <w:t>See notes of Table 15.</w:t>
      </w:r>
    </w:p>
    <w:p w14:paraId="5B46F0CE" w14:textId="77777777" w:rsidR="00CB4C2D" w:rsidRDefault="00397949">
      <w:r>
        <w:br w:type="page"/>
      </w:r>
    </w:p>
    <w:p w14:paraId="5B46F0CF" w14:textId="77777777" w:rsidR="00CB4C2D" w:rsidRDefault="00397949">
      <w:pPr>
        <w:pStyle w:val="Heading2"/>
      </w:pPr>
      <w:bookmarkStart w:id="119" w:name="_Toc234836047"/>
      <w:bookmarkStart w:id="120" w:name="table-16-arts-education-201516-to-202425"/>
      <w:bookmarkEnd w:id="117"/>
      <w:bookmarkEnd w:id="118"/>
      <w:r>
        <w:rPr>
          <w:b/>
          <w:bCs/>
        </w:rPr>
        <w:lastRenderedPageBreak/>
        <w:t>Table 16: Arts education, 2015–16 to 2024–25</w:t>
      </w:r>
      <w:bookmarkEnd w:id="119"/>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F0D6"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D0" w14:textId="1961FA64"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D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0D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F0DD"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954</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552</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45</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597</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0E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963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538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F0E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960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533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F0F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1,089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617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E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680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0.03</w:t>
            </w:r>
          </w:p>
        </w:tc>
      </w:tr>
      <w:tr w:rsidR="00CB4C2D" w14:paraId="5B46F0F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1,087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659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738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10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1,201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766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853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0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10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1,311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844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948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10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1,561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998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1,124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0.04</w:t>
            </w:r>
          </w:p>
        </w:tc>
      </w:tr>
      <w:tr w:rsidR="00CB4C2D" w14:paraId="5B46F11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0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1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1,709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1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1,164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1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1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1,304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1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0.05</w:t>
            </w:r>
          </w:p>
        </w:tc>
      </w:tr>
      <w:tr w:rsidR="00CB4C2D" w14:paraId="5B46F11C"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1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1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1,820</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1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1,240</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1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148</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1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1,388</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1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0.05</w:t>
            </w:r>
          </w:p>
        </w:tc>
      </w:tr>
    </w:tbl>
    <w:p w14:paraId="5B46F11D" w14:textId="44B96EF2"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18.</w:t>
      </w:r>
    </w:p>
    <w:p w14:paraId="5B46F11E" w14:textId="77777777" w:rsidR="00CB4C2D" w:rsidRDefault="00397949">
      <w:pPr>
        <w:pStyle w:val="Heading3"/>
      </w:pPr>
      <w:bookmarkStart w:id="121" w:name="explanatory-notes-35"/>
      <w:r>
        <w:rPr>
          <w:bCs/>
        </w:rPr>
        <w:t>Explanatory notes</w:t>
      </w:r>
    </w:p>
    <w:p w14:paraId="5B46F11F" w14:textId="11490E45" w:rsidR="00CB4C2D" w:rsidRDefault="00397949">
      <w:r>
        <w:t xml:space="preserve">Cultural and creative activity GDP in arts education increased by $791 million from 2015–16 to 2024–25. As a share of overall economy, </w:t>
      </w:r>
      <w:r w:rsidR="003A0D67">
        <w:t>the domain</w:t>
      </w:r>
      <w:r>
        <w:t xml:space="preserve"> increased slightly, from 0.04% to 0.05% over the period.</w:t>
      </w:r>
    </w:p>
    <w:p w14:paraId="5B46F120" w14:textId="77777777" w:rsidR="00CB4C2D" w:rsidRDefault="00397949">
      <w:r>
        <w:br w:type="page"/>
      </w:r>
    </w:p>
    <w:p w14:paraId="5B46F121" w14:textId="77777777" w:rsidR="00CB4C2D" w:rsidRDefault="00397949">
      <w:pPr>
        <w:pStyle w:val="Heading2"/>
      </w:pPr>
      <w:bookmarkStart w:id="122" w:name="_Toc234836048"/>
      <w:bookmarkStart w:id="123" w:name="X3d42e51f14fcedbc04e887be6cfa614e3a3762f"/>
      <w:bookmarkEnd w:id="120"/>
      <w:bookmarkEnd w:id="121"/>
      <w:r>
        <w:rPr>
          <w:b/>
          <w:bCs/>
        </w:rPr>
        <w:lastRenderedPageBreak/>
        <w:t>Figure 21: Arts education, GDP and as a share of overall economy</w:t>
      </w:r>
      <w:bookmarkEnd w:id="122"/>
    </w:p>
    <w:p w14:paraId="5B46F122" w14:textId="587B3788" w:rsidR="00CB4C2D" w:rsidRDefault="00EF692D">
      <w:r w:rsidRPr="00EF692D">
        <w:rPr>
          <w:noProof/>
        </w:rPr>
        <w:drawing>
          <wp:inline distT="0" distB="0" distL="0" distR="0" wp14:anchorId="0A0E3CC5" wp14:editId="1E7061FB">
            <wp:extent cx="9395460" cy="3500120"/>
            <wp:effectExtent l="0" t="0" r="0" b="5080"/>
            <wp:docPr id="1677958499" name="Picture 1" descr="The two line charts show the GDP of arts education and its share of overall economy over the period from 2015–16 to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58499" name="Picture 1" descr="The two line charts show the GDP of arts education and its share of overall economy over the period from 2015–16 to 2024–25."/>
                    <pic:cNvPicPr/>
                  </pic:nvPicPr>
                  <pic:blipFill>
                    <a:blip r:embed="rId34"/>
                    <a:stretch>
                      <a:fillRect/>
                    </a:stretch>
                  </pic:blipFill>
                  <pic:spPr>
                    <a:xfrm>
                      <a:off x="0" y="0"/>
                      <a:ext cx="9395460" cy="3500120"/>
                    </a:xfrm>
                    <a:prstGeom prst="rect">
                      <a:avLst/>
                    </a:prstGeom>
                  </pic:spPr>
                </pic:pic>
              </a:graphicData>
            </a:graphic>
          </wp:inline>
        </w:drawing>
      </w:r>
    </w:p>
    <w:p w14:paraId="5B46F123"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27.</w:t>
      </w:r>
    </w:p>
    <w:p w14:paraId="5B46F124" w14:textId="77777777" w:rsidR="00CB4C2D" w:rsidRDefault="00397949">
      <w:pPr>
        <w:pStyle w:val="Heading3"/>
      </w:pPr>
      <w:bookmarkStart w:id="124" w:name="explanatory-notes-36"/>
      <w:r>
        <w:rPr>
          <w:bCs/>
        </w:rPr>
        <w:t>Explanatory notes</w:t>
      </w:r>
    </w:p>
    <w:p w14:paraId="5B46F125" w14:textId="77777777" w:rsidR="00CB4C2D" w:rsidRDefault="00397949">
      <w:r>
        <w:t>See notes of Table 16.</w:t>
      </w:r>
    </w:p>
    <w:p w14:paraId="5B46F126" w14:textId="77777777" w:rsidR="00CB4C2D" w:rsidRDefault="00397949">
      <w:r>
        <w:br w:type="page"/>
      </w:r>
    </w:p>
    <w:p w14:paraId="5B46F127" w14:textId="77777777" w:rsidR="00CB4C2D" w:rsidRDefault="00397949">
      <w:pPr>
        <w:pStyle w:val="Heading2"/>
      </w:pPr>
      <w:bookmarkStart w:id="125" w:name="_Toc234836049"/>
      <w:bookmarkStart w:id="126" w:name="X0fa1d164ebf4fe86f7ec182d0e894a271470461"/>
      <w:bookmarkEnd w:id="123"/>
      <w:bookmarkEnd w:id="124"/>
      <w:r>
        <w:rPr>
          <w:b/>
          <w:bCs/>
        </w:rPr>
        <w:lastRenderedPageBreak/>
        <w:t>Table 17: Digital games development, 2015–16 to 2024–25</w:t>
      </w:r>
      <w:bookmarkEnd w:id="125"/>
    </w:p>
    <w:tbl>
      <w:tblPr>
        <w:tblW w:w="0" w:type="auto"/>
        <w:jc w:val="center"/>
        <w:tblLayout w:type="fixed"/>
        <w:tblLook w:val="0420" w:firstRow="1" w:lastRow="0" w:firstColumn="0" w:lastColumn="0" w:noHBand="0" w:noVBand="1"/>
      </w:tblPr>
      <w:tblGrid>
        <w:gridCol w:w="1080"/>
        <w:gridCol w:w="2160"/>
        <w:gridCol w:w="2160"/>
        <w:gridCol w:w="2880"/>
        <w:gridCol w:w="2160"/>
        <w:gridCol w:w="2592"/>
      </w:tblGrid>
      <w:tr w:rsidR="00CB4C2D" w14:paraId="5B46F12E"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28" w14:textId="3DFCE8CF"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2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Output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2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2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($m)</w:t>
            </w:r>
          </w:p>
        </w:tc>
        <w:tc>
          <w:tcPr>
            <w:tcW w:w="21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2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GDP ($m)</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2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As a share of GDP (%)</w:t>
            </w:r>
          </w:p>
        </w:tc>
      </w:tr>
      <w:tr w:rsidR="00CB4C2D" w14:paraId="5B46F135"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2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277</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109</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w:t>
            </w:r>
          </w:p>
        </w:tc>
        <w:tc>
          <w:tcPr>
            <w:tcW w:w="216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111</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0.007</w:t>
            </w:r>
          </w:p>
        </w:tc>
      </w:tr>
      <w:tr w:rsidR="00CB4C2D" w14:paraId="5B46F13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0.008</w:t>
            </w:r>
          </w:p>
        </w:tc>
      </w:tr>
      <w:tr w:rsidR="00CB4C2D" w14:paraId="5B46F14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269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3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0.009</w:t>
            </w:r>
          </w:p>
        </w:tc>
      </w:tr>
      <w:tr w:rsidR="00CB4C2D" w14:paraId="5B46F14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0.009</w:t>
            </w:r>
          </w:p>
        </w:tc>
      </w:tr>
      <w:tr w:rsidR="00CB4C2D" w14:paraId="5B46F15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4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0.009</w:t>
            </w:r>
          </w:p>
        </w:tc>
      </w:tr>
      <w:tr w:rsidR="00CB4C2D" w14:paraId="5B46F15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261</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0.011</w:t>
            </w:r>
          </w:p>
        </w:tc>
      </w:tr>
      <w:tr w:rsidR="00CB4C2D" w14:paraId="5B46F15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286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5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0.013</w:t>
            </w:r>
          </w:p>
        </w:tc>
      </w:tr>
      <w:tr w:rsidR="00CB4C2D" w14:paraId="5B46F16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0.012</w:t>
            </w:r>
          </w:p>
        </w:tc>
      </w:tr>
      <w:tr w:rsidR="00CB4C2D" w14:paraId="5B46F16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295</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6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0.012</w:t>
            </w:r>
          </w:p>
        </w:tc>
      </w:tr>
      <w:tr w:rsidR="00CB4C2D" w14:paraId="5B46F174"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6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418</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7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306</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w:t>
            </w:r>
          </w:p>
        </w:tc>
        <w:tc>
          <w:tcPr>
            <w:tcW w:w="216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7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322</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7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0.012</w:t>
            </w:r>
          </w:p>
        </w:tc>
      </w:tr>
    </w:tbl>
    <w:p w14:paraId="5B46F175"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19.</w:t>
      </w:r>
    </w:p>
    <w:p w14:paraId="5B46F176" w14:textId="77777777" w:rsidR="00CB4C2D" w:rsidRDefault="00397949">
      <w:pPr>
        <w:pStyle w:val="Heading3"/>
      </w:pPr>
      <w:bookmarkStart w:id="127" w:name="explanatory-notes-37"/>
      <w:r>
        <w:rPr>
          <w:bCs/>
        </w:rPr>
        <w:t>Explanatory notes</w:t>
      </w:r>
    </w:p>
    <w:p w14:paraId="5B46F178" w14:textId="51BF810E" w:rsidR="00CB4C2D" w:rsidRDefault="00397949">
      <w:r>
        <w:t>Cultural and creative GDP in digital games development increased significantly</w:t>
      </w:r>
      <w:r w:rsidR="003A0D67">
        <w:t>, rising</w:t>
      </w:r>
      <w:r>
        <w:t xml:space="preserve"> from $111 million in 2015–16 to $322 million in 2024–25.</w:t>
      </w:r>
      <w:r w:rsidR="003A0D67">
        <w:t xml:space="preserve"> Growth has been supported by strong c</w:t>
      </w:r>
      <w:r>
        <w:t xml:space="preserve">onsumer uptake of video games over the past decade. As a share of </w:t>
      </w:r>
      <w:r w:rsidR="003A0D67">
        <w:t xml:space="preserve">the </w:t>
      </w:r>
      <w:r>
        <w:t>overall economy, this domain has increased from 0.007% to 0.012% over the period.</w:t>
      </w:r>
    </w:p>
    <w:p w14:paraId="5B46F179" w14:textId="77777777" w:rsidR="00CB4C2D" w:rsidRDefault="00397949">
      <w:r>
        <w:br w:type="page"/>
      </w:r>
    </w:p>
    <w:p w14:paraId="5B46F17A" w14:textId="77777777" w:rsidR="00CB4C2D" w:rsidRDefault="00397949">
      <w:pPr>
        <w:pStyle w:val="Heading2"/>
      </w:pPr>
      <w:bookmarkStart w:id="128" w:name="_Toc234836050"/>
      <w:bookmarkStart w:id="129" w:name="X10da7c052e6497b26a7f247c0db3599fd95252f"/>
      <w:bookmarkEnd w:id="126"/>
      <w:bookmarkEnd w:id="127"/>
      <w:r>
        <w:rPr>
          <w:b/>
          <w:bCs/>
        </w:rPr>
        <w:lastRenderedPageBreak/>
        <w:t>Figure 22: Digital games development, GDP and as a share of overall economy</w:t>
      </w:r>
      <w:bookmarkEnd w:id="128"/>
    </w:p>
    <w:p w14:paraId="5B46F17B" w14:textId="77777777" w:rsidR="00CB4C2D" w:rsidRDefault="00397949">
      <w:r>
        <w:rPr>
          <w:noProof/>
        </w:rPr>
        <w:drawing>
          <wp:inline distT="0" distB="0" distL="0" distR="0" wp14:anchorId="5B46F4C1" wp14:editId="5B46F4C2">
            <wp:extent cx="9385300" cy="3519487"/>
            <wp:effectExtent l="0" t="0" r="0" b="0"/>
            <wp:docPr id="172" name="Picture" descr="The two line charts show the GDP of digital games development and its share of overall economy over the period from 2015–16 to 2024–25."/>
            <wp:cNvGraphicFramePr/>
            <a:graphic xmlns:a="http://schemas.openxmlformats.org/drawingml/2006/main">
              <a:graphicData uri="http://schemas.openxmlformats.org/drawingml/2006/picture">
                <pic:pic xmlns:pic="http://schemas.openxmlformats.org/drawingml/2006/picture">
                  <pic:nvPicPr>
                    <pic:cNvPr id="173" name="Picture" descr="1__CCA_Phase1_MODEL_VisualSum_Trade_3July2026_updated_files/figure-docx/unnamed-chunk-174-1.png"/>
                    <pic:cNvPicPr>
                      <a:picLocks noChangeAspect="1" noChangeArrowheads="1"/>
                    </pic:cNvPicPr>
                  </pic:nvPicPr>
                  <pic:blipFill>
                    <a:blip r:embed="rId35"/>
                    <a:stretch>
                      <a:fillRect/>
                    </a:stretch>
                  </pic:blipFill>
                  <pic:spPr bwMode="auto">
                    <a:xfrm>
                      <a:off x="0" y="0"/>
                      <a:ext cx="9385300" cy="3519487"/>
                    </a:xfrm>
                    <a:prstGeom prst="rect">
                      <a:avLst/>
                    </a:prstGeom>
                    <a:noFill/>
                    <a:ln w="9525">
                      <a:noFill/>
                      <a:headEnd/>
                      <a:tailEnd/>
                    </a:ln>
                  </pic:spPr>
                </pic:pic>
              </a:graphicData>
            </a:graphic>
          </wp:inline>
        </w:drawing>
      </w:r>
    </w:p>
    <w:p w14:paraId="5B46F17C"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28.</w:t>
      </w:r>
    </w:p>
    <w:p w14:paraId="5B46F17D" w14:textId="77777777" w:rsidR="00CB4C2D" w:rsidRDefault="00397949">
      <w:pPr>
        <w:pStyle w:val="Heading3"/>
      </w:pPr>
      <w:bookmarkStart w:id="130" w:name="explanatory-notes-38"/>
      <w:r>
        <w:rPr>
          <w:bCs/>
        </w:rPr>
        <w:t>Explanatory notes</w:t>
      </w:r>
    </w:p>
    <w:p w14:paraId="5B46F17E" w14:textId="77777777" w:rsidR="00CB4C2D" w:rsidRDefault="00397949">
      <w:r>
        <w:t>See notes of Table 17.</w:t>
      </w:r>
    </w:p>
    <w:p w14:paraId="5B46F17F" w14:textId="77777777" w:rsidR="00CB4C2D" w:rsidRDefault="00397949">
      <w:r>
        <w:br w:type="page"/>
      </w:r>
    </w:p>
    <w:p w14:paraId="5B46F180" w14:textId="77777777" w:rsidR="00CB4C2D" w:rsidRDefault="00397949">
      <w:pPr>
        <w:pStyle w:val="Heading2"/>
      </w:pPr>
      <w:bookmarkStart w:id="131" w:name="_Toc234836051"/>
      <w:bookmarkStart w:id="132" w:name="Xde9eaf79f18d46efa1366245b5e875d8f3afd6e"/>
      <w:bookmarkEnd w:id="129"/>
      <w:bookmarkEnd w:id="130"/>
      <w:r>
        <w:rPr>
          <w:b/>
          <w:bCs/>
        </w:rPr>
        <w:lastRenderedPageBreak/>
        <w:t>Table 18: Cultural and creative activity, GVA by industry division ($m), 2015–16 to 2024–25</w:t>
      </w:r>
      <w:bookmarkEnd w:id="131"/>
    </w:p>
    <w:tbl>
      <w:tblPr>
        <w:tblW w:w="0" w:type="auto"/>
        <w:jc w:val="center"/>
        <w:tblLayout w:type="fixed"/>
        <w:tblLook w:val="0420" w:firstRow="1" w:lastRow="0" w:firstColumn="0" w:lastColumn="0" w:noHBand="0" w:noVBand="1"/>
      </w:tblPr>
      <w:tblGrid>
        <w:gridCol w:w="1008"/>
        <w:gridCol w:w="1512"/>
        <w:gridCol w:w="1368"/>
        <w:gridCol w:w="1152"/>
        <w:gridCol w:w="864"/>
        <w:gridCol w:w="1440"/>
        <w:gridCol w:w="1440"/>
        <w:gridCol w:w="1512"/>
        <w:gridCol w:w="1224"/>
        <w:gridCol w:w="1224"/>
        <w:gridCol w:w="1008"/>
        <w:gridCol w:w="936"/>
      </w:tblGrid>
      <w:tr w:rsidR="00CB4C2D" w14:paraId="5B46F18D" w14:textId="77777777">
        <w:trPr>
          <w:tblHeader/>
          <w:jc w:val="center"/>
        </w:trPr>
        <w:tc>
          <w:tcPr>
            <w:tcW w:w="100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1" w14:textId="4429EDFD"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sidRPr="00D90D7C">
              <w:rPr>
                <w:rFonts w:ascii="Arial" w:eastAsia="Arial" w:hAnsi="Arial" w:cs="Arial"/>
                <w:color w:val="000000"/>
                <w:sz w:val="20"/>
                <w:szCs w:val="20"/>
              </w:rPr>
              <w:t>Period</w:t>
            </w:r>
          </w:p>
        </w:tc>
        <w:tc>
          <w:tcPr>
            <w:tcW w:w="15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Manufacturing</w:t>
            </w:r>
          </w:p>
        </w:tc>
        <w:tc>
          <w:tcPr>
            <w:tcW w:w="136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Construction</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Wholesale Trade</w:t>
            </w:r>
          </w:p>
        </w:tc>
        <w:tc>
          <w:tcPr>
            <w:tcW w:w="86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Retail Trade</w:t>
            </w:r>
          </w:p>
        </w:tc>
        <w:tc>
          <w:tcPr>
            <w:tcW w:w="14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Information Media and Telecommunications</w:t>
            </w:r>
          </w:p>
        </w:tc>
        <w:tc>
          <w:tcPr>
            <w:tcW w:w="14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Professional, Scientific and Technical Services</w:t>
            </w:r>
          </w:p>
        </w:tc>
        <w:tc>
          <w:tcPr>
            <w:tcW w:w="15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Administrative and Support Services</w:t>
            </w:r>
          </w:p>
        </w:tc>
        <w:tc>
          <w:tcPr>
            <w:tcW w:w="122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Education and Training</w:t>
            </w:r>
          </w:p>
        </w:tc>
        <w:tc>
          <w:tcPr>
            <w:tcW w:w="122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Arts and Recreation Services</w:t>
            </w:r>
          </w:p>
        </w:tc>
        <w:tc>
          <w:tcPr>
            <w:tcW w:w="100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Other Services</w:t>
            </w:r>
          </w:p>
        </w:tc>
        <w:tc>
          <w:tcPr>
            <w:tcW w:w="93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18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Total</w:t>
            </w:r>
          </w:p>
        </w:tc>
      </w:tr>
      <w:tr w:rsidR="00CB4C2D" w14:paraId="5B46F19A" w14:textId="77777777">
        <w:trPr>
          <w:jc w:val="center"/>
        </w:trPr>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8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2015–16</w:t>
            </w:r>
          </w:p>
        </w:tc>
        <w:tc>
          <w:tcPr>
            <w:tcW w:w="15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8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2,925</w:t>
            </w:r>
          </w:p>
        </w:tc>
        <w:tc>
          <w:tcPr>
            <w:tcW w:w="136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1,032</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1,631</w:t>
            </w:r>
          </w:p>
        </w:tc>
        <w:tc>
          <w:tcPr>
            <w:tcW w:w="86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338</w:t>
            </w:r>
          </w:p>
        </w:tc>
        <w:tc>
          <w:tcPr>
            <w:tcW w:w="14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18,315</w:t>
            </w:r>
          </w:p>
        </w:tc>
        <w:tc>
          <w:tcPr>
            <w:tcW w:w="14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16,952</w:t>
            </w:r>
          </w:p>
        </w:tc>
        <w:tc>
          <w:tcPr>
            <w:tcW w:w="15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638</w:t>
            </w:r>
          </w:p>
        </w:tc>
        <w:tc>
          <w:tcPr>
            <w:tcW w:w="122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552</w:t>
            </w:r>
          </w:p>
        </w:tc>
        <w:tc>
          <w:tcPr>
            <w:tcW w:w="122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2,727</w:t>
            </w:r>
          </w:p>
        </w:tc>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248</w:t>
            </w:r>
          </w:p>
        </w:tc>
        <w:tc>
          <w:tcPr>
            <w:tcW w:w="9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45,357</w:t>
            </w:r>
          </w:p>
        </w:tc>
      </w:tr>
      <w:tr w:rsidR="00CB4C2D" w14:paraId="5B46F1A7"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2016–17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2,825</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1,045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1,713</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9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17,342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19,018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662</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538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2,894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46,597</w:t>
            </w:r>
          </w:p>
        </w:tc>
      </w:tr>
      <w:tr w:rsidR="00CB4C2D" w14:paraId="5B46F1B4"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2017–18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2,728</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1,347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1,365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17,674</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19,811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A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744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533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2,874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246</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47,620</w:t>
            </w:r>
          </w:p>
        </w:tc>
      </w:tr>
      <w:tr w:rsidR="00CB4C2D" w14:paraId="5B46F1C1"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2018–19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2,936</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1,325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1,268</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250</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16,875</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20,505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804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617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3,275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267</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48,123</w:t>
            </w:r>
          </w:p>
        </w:tc>
      </w:tr>
      <w:tr w:rsidR="00CB4C2D" w14:paraId="5B46F1CE"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2019–20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2,628</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1,354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1,192</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221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16,518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21,035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751</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659</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3,022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212</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47,592</w:t>
            </w:r>
          </w:p>
        </w:tc>
      </w:tr>
      <w:tr w:rsidR="00CB4C2D" w14:paraId="5B46F1DB"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2020–21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2,759</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1,384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1,253</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232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17,331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21,951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743</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766</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2,669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203</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49,290</w:t>
            </w:r>
          </w:p>
        </w:tc>
      </w:tr>
      <w:tr w:rsidR="00CB4C2D" w14:paraId="5B46F1E8"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2021–22</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2,778</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1,440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1,294</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19,822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24,069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968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844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3,008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225</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54,689</w:t>
            </w:r>
          </w:p>
        </w:tc>
      </w:tr>
      <w:tr w:rsidR="00CB4C2D" w14:paraId="5B46F1F5"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2022–23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2,940</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1,625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1,464</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296</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21,507</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E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26,468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950</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998</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3,570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249</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60,066</w:t>
            </w:r>
          </w:p>
        </w:tc>
      </w:tr>
      <w:tr w:rsidR="00CB4C2D" w14:paraId="5B46F202"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2023–24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2,951</w:t>
            </w:r>
          </w:p>
        </w:tc>
        <w:tc>
          <w:tcPr>
            <w:tcW w:w="13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1,750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1,520</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332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24,022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27,611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957</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1,164</w:t>
            </w:r>
          </w:p>
        </w:tc>
        <w:tc>
          <w:tcPr>
            <w:tcW w:w="12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1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3,599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0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365</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0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64,272</w:t>
            </w:r>
          </w:p>
        </w:tc>
      </w:tr>
      <w:tr w:rsidR="00CB4C2D" w14:paraId="5B46F20F" w14:textId="77777777">
        <w:trPr>
          <w:jc w:val="center"/>
        </w:trPr>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2024–25</w:t>
            </w:r>
          </w:p>
        </w:tc>
        <w:tc>
          <w:tcPr>
            <w:tcW w:w="15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3,027</w:t>
            </w:r>
          </w:p>
        </w:tc>
        <w:tc>
          <w:tcPr>
            <w:tcW w:w="136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1,839</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1,540</w:t>
            </w:r>
          </w:p>
        </w:tc>
        <w:tc>
          <w:tcPr>
            <w:tcW w:w="86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341</w:t>
            </w:r>
          </w:p>
        </w:tc>
        <w:tc>
          <w:tcPr>
            <w:tcW w:w="14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24,958</w:t>
            </w:r>
          </w:p>
        </w:tc>
        <w:tc>
          <w:tcPr>
            <w:tcW w:w="14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28,628</w:t>
            </w:r>
          </w:p>
        </w:tc>
        <w:tc>
          <w:tcPr>
            <w:tcW w:w="15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998</w:t>
            </w:r>
          </w:p>
        </w:tc>
        <w:tc>
          <w:tcPr>
            <w:tcW w:w="122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1,240</w:t>
            </w:r>
          </w:p>
        </w:tc>
        <w:tc>
          <w:tcPr>
            <w:tcW w:w="122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3,814</w:t>
            </w:r>
          </w:p>
        </w:tc>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382</w:t>
            </w:r>
          </w:p>
        </w:tc>
        <w:tc>
          <w:tcPr>
            <w:tcW w:w="9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0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66,767</w:t>
            </w:r>
          </w:p>
        </w:tc>
      </w:tr>
    </w:tbl>
    <w:p w14:paraId="5B46F210"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20.</w:t>
      </w:r>
    </w:p>
    <w:p w14:paraId="5B46F211" w14:textId="77777777" w:rsidR="00CB4C2D" w:rsidRDefault="00397949">
      <w:pPr>
        <w:pStyle w:val="Heading3"/>
      </w:pPr>
      <w:bookmarkStart w:id="133" w:name="explanatory-notes-39"/>
      <w:r>
        <w:rPr>
          <w:bCs/>
        </w:rPr>
        <w:t>Explanatory notes</w:t>
      </w:r>
    </w:p>
    <w:p w14:paraId="5B46F212" w14:textId="01C070DF" w:rsidR="00CB4C2D" w:rsidRPr="006030B4" w:rsidRDefault="00397949">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 xml:space="preserve">Cultural and creative activity occurs across several industry divisions. Professional, Scientific and Technical Services was the largest contributor to </w:t>
      </w:r>
      <w:r w:rsidR="006030B4" w:rsidRPr="006A0CEE">
        <w:rPr>
          <w:rFonts w:ascii="Calibri (Body)" w:eastAsia="Calibri (Body)" w:hAnsi="Calibri (Body)" w:cs="Calibri (Body)"/>
          <w:color w:val="000000"/>
        </w:rPr>
        <w:t xml:space="preserve">growth over the period, with </w:t>
      </w:r>
      <w:r w:rsidRPr="006A0CEE">
        <w:rPr>
          <w:rFonts w:ascii="Calibri (Body)" w:eastAsia="Calibri (Body)" w:hAnsi="Calibri (Body)" w:cs="Calibri (Body)"/>
          <w:color w:val="000000"/>
        </w:rPr>
        <w:t xml:space="preserve">cultural and creative GVA </w:t>
      </w:r>
      <w:r w:rsidR="006030B4" w:rsidRPr="006A0CEE">
        <w:rPr>
          <w:rFonts w:ascii="Calibri (Body)" w:eastAsia="Calibri (Body)" w:hAnsi="Calibri (Body)" w:cs="Calibri (Body)"/>
          <w:color w:val="000000"/>
        </w:rPr>
        <w:t>increasing by</w:t>
      </w:r>
      <w:r w:rsidRPr="006A0CEE">
        <w:rPr>
          <w:rFonts w:ascii="Calibri (Body)" w:eastAsia="Calibri (Body)" w:hAnsi="Calibri (Body)" w:cs="Calibri (Body)"/>
          <w:color w:val="000000"/>
        </w:rPr>
        <w:t xml:space="preserve"> $11.7 billion</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68.9%</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from 2015–16 to 2024–25. Th</w:t>
      </w:r>
      <w:r w:rsidR="006030B4" w:rsidRPr="006A0CEE">
        <w:rPr>
          <w:rFonts w:ascii="Calibri (Body)" w:eastAsia="Calibri (Body)" w:hAnsi="Calibri (Body)" w:cs="Calibri (Body)"/>
          <w:color w:val="000000"/>
        </w:rPr>
        <w:t>is</w:t>
      </w:r>
      <w:r w:rsidRPr="006A0CEE">
        <w:rPr>
          <w:rFonts w:ascii="Calibri (Body)" w:eastAsia="Calibri (Body)" w:hAnsi="Calibri (Body)" w:cs="Calibri (Body)"/>
          <w:color w:val="000000"/>
        </w:rPr>
        <w:t xml:space="preserve"> growth was driven primarily by advertising services due to increases in total business profit, reduced operational expenses and further digital advertising growth buttressing demand for advertising services.</w:t>
      </w:r>
      <w:r w:rsidRPr="006A0CEE">
        <w:rPr>
          <w:rFonts w:ascii="Calibri (Body)" w:eastAsia="Calibri (Body)" w:hAnsi="Calibri (Body)" w:cs="Calibri (Body)"/>
          <w:color w:val="000000"/>
          <w:vertAlign w:val="superscript"/>
        </w:rPr>
        <w:t>14</w:t>
      </w:r>
      <w:r w:rsidRPr="006A0CEE">
        <w:rPr>
          <w:rFonts w:ascii="Calibri (Body)" w:eastAsia="Calibri (Body)" w:hAnsi="Calibri (Body)" w:cs="Calibri (Body)"/>
          <w:color w:val="000000"/>
        </w:rPr>
        <w:t xml:space="preserve"> Information Media and Telecommunications was the second</w:t>
      </w:r>
      <w:r w:rsidR="006030B4" w:rsidRPr="006A0CEE">
        <w:rPr>
          <w:rFonts w:ascii="Calibri (Body)" w:eastAsia="Calibri (Body)" w:hAnsi="Calibri (Body)" w:cs="Calibri (Body)"/>
          <w:color w:val="000000"/>
        </w:rPr>
        <w:t>-</w:t>
      </w:r>
      <w:r w:rsidRPr="006A0CEE">
        <w:rPr>
          <w:rFonts w:ascii="Calibri (Body)" w:eastAsia="Calibri (Body)" w:hAnsi="Calibri (Body)" w:cs="Calibri (Body)"/>
          <w:color w:val="000000"/>
        </w:rPr>
        <w:t>largest contributor</w:t>
      </w:r>
      <w:r w:rsidR="006030B4" w:rsidRPr="006A0CEE">
        <w:rPr>
          <w:rFonts w:ascii="Calibri (Body)" w:eastAsia="Calibri (Body)" w:hAnsi="Calibri (Body)" w:cs="Calibri (Body)"/>
          <w:color w:val="000000"/>
        </w:rPr>
        <w:t xml:space="preserve">, with </w:t>
      </w:r>
      <w:r w:rsidRPr="006A0CEE">
        <w:rPr>
          <w:rFonts w:ascii="Calibri (Body)" w:eastAsia="Calibri (Body)" w:hAnsi="Calibri (Body)" w:cs="Calibri (Body)"/>
          <w:color w:val="000000"/>
        </w:rPr>
        <w:t xml:space="preserve">cultural and creative GVA </w:t>
      </w:r>
      <w:r w:rsidR="006030B4" w:rsidRPr="006A0CEE">
        <w:rPr>
          <w:rFonts w:ascii="Calibri (Body)" w:eastAsia="Calibri (Body)" w:hAnsi="Calibri (Body)" w:cs="Calibri (Body)"/>
          <w:color w:val="000000"/>
        </w:rPr>
        <w:t>increasing by</w:t>
      </w:r>
      <w:r w:rsidRPr="006A0CEE">
        <w:rPr>
          <w:rFonts w:ascii="Calibri (Body)" w:eastAsia="Calibri (Body)" w:hAnsi="Calibri (Body)" w:cs="Calibri (Body)"/>
          <w:color w:val="000000"/>
        </w:rPr>
        <w:t xml:space="preserve"> $6.6 billion</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36.3%</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w:t>
      </w:r>
      <w:r w:rsidR="006030B4" w:rsidRPr="006A0CEE">
        <w:rPr>
          <w:rFonts w:ascii="Calibri (Body)" w:eastAsia="Calibri (Body)" w:hAnsi="Calibri (Body)" w:cs="Calibri (Body)"/>
          <w:color w:val="000000"/>
        </w:rPr>
        <w:t>over the period. Growth was</w:t>
      </w:r>
      <w:r w:rsidRPr="006A0CEE">
        <w:rPr>
          <w:rFonts w:ascii="Calibri (Body)" w:eastAsia="Calibri (Body)" w:hAnsi="Calibri (Body)" w:cs="Calibri (Body)"/>
          <w:color w:val="000000"/>
        </w:rPr>
        <w:t xml:space="preserve"> mainly driven by software publishing, which has experienced significant growth in recent years due to increased internet access and adoption of new technolog</w:t>
      </w:r>
      <w:r w:rsidR="006030B4" w:rsidRPr="006A0CEE">
        <w:rPr>
          <w:rFonts w:ascii="Calibri (Body)" w:eastAsia="Calibri (Body)" w:hAnsi="Calibri (Body)" w:cs="Calibri (Body)"/>
          <w:color w:val="000000"/>
        </w:rPr>
        <w:t>ies</w:t>
      </w:r>
      <w:r w:rsidRPr="006A0CEE">
        <w:rPr>
          <w:rFonts w:ascii="Calibri (Body)" w:eastAsia="Calibri (Body)" w:hAnsi="Calibri (Body)" w:cs="Calibri (Body)"/>
          <w:color w:val="000000"/>
        </w:rPr>
        <w:t>. Arts and Recreation Services was the third</w:t>
      </w:r>
      <w:r w:rsidR="006030B4" w:rsidRPr="006A0CEE">
        <w:rPr>
          <w:rFonts w:ascii="Calibri (Body)" w:eastAsia="Calibri (Body)" w:hAnsi="Calibri (Body)" w:cs="Calibri (Body)"/>
          <w:color w:val="000000"/>
        </w:rPr>
        <w:t>-</w:t>
      </w:r>
      <w:r w:rsidRPr="006A0CEE">
        <w:rPr>
          <w:rFonts w:ascii="Calibri (Body)" w:eastAsia="Calibri (Body)" w:hAnsi="Calibri (Body)" w:cs="Calibri (Body)"/>
          <w:color w:val="000000"/>
        </w:rPr>
        <w:t>largest contributor, increas</w:t>
      </w:r>
      <w:r w:rsidR="00296CD6" w:rsidRPr="006A0CEE">
        <w:rPr>
          <w:rFonts w:ascii="Calibri (Body)" w:eastAsia="Calibri (Body)" w:hAnsi="Calibri (Body)" w:cs="Calibri (Body)"/>
          <w:color w:val="000000"/>
        </w:rPr>
        <w:t>ing</w:t>
      </w:r>
      <w:r w:rsidRPr="006A0CEE">
        <w:rPr>
          <w:rFonts w:ascii="Calibri (Body)" w:eastAsia="Calibri (Body)" w:hAnsi="Calibri (Body)" w:cs="Calibri (Body)"/>
          <w:color w:val="000000"/>
        </w:rPr>
        <w:t xml:space="preserve"> by $1.1 billion</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39.9%</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over the period, mainly driven by creative artists, musicians, writers and performers.</w:t>
      </w:r>
    </w:p>
    <w:p w14:paraId="5B46F213"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10"/>
          <w:szCs w:val="10"/>
        </w:rPr>
        <w:t xml:space="preserve"> </w:t>
      </w:r>
    </w:p>
    <w:p w14:paraId="5B46F215" w14:textId="2FB8885E" w:rsidR="00CB4C2D" w:rsidRDefault="00397949" w:rsidP="006A0CEE">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14"/>
          <w:szCs w:val="14"/>
          <w:vertAlign w:val="superscript"/>
        </w:rPr>
        <w:t>14</w:t>
      </w:r>
      <w:r>
        <w:rPr>
          <w:rFonts w:ascii="Calibri (Body)" w:eastAsia="Calibri (Body)" w:hAnsi="Calibri (Body)" w:cs="Calibri (Body)"/>
          <w:color w:val="000000"/>
          <w:sz w:val="18"/>
          <w:szCs w:val="18"/>
        </w:rPr>
        <w:t xml:space="preserve"> IBISWorld industry report (2025), M6941 Advertising Agencies in Australia, May 2025, p. 5</w:t>
      </w:r>
      <w:r w:rsidR="00E06DCC">
        <w:t>.</w:t>
      </w:r>
      <w:r>
        <w:br w:type="page"/>
      </w:r>
    </w:p>
    <w:p w14:paraId="5B46F216" w14:textId="77777777" w:rsidR="00CB4C2D" w:rsidRDefault="00397949">
      <w:pPr>
        <w:pStyle w:val="Heading2"/>
      </w:pPr>
      <w:bookmarkStart w:id="134" w:name="_Toc234836052"/>
      <w:bookmarkStart w:id="135" w:name="X8fa1ce9d663031eef6f9f558aa0851a215ac09c"/>
      <w:bookmarkEnd w:id="132"/>
      <w:bookmarkEnd w:id="133"/>
      <w:r>
        <w:rPr>
          <w:b/>
          <w:bCs/>
        </w:rPr>
        <w:lastRenderedPageBreak/>
        <w:t>Figure 23: Cultural and creative GVA change by division, 2015–16 to 2024–25</w:t>
      </w:r>
      <w:bookmarkEnd w:id="134"/>
    </w:p>
    <w:p w14:paraId="5B46F217" w14:textId="77777777" w:rsidR="00CB4C2D" w:rsidRDefault="00397949">
      <w:r>
        <w:rPr>
          <w:noProof/>
        </w:rPr>
        <w:drawing>
          <wp:inline distT="0" distB="0" distL="0" distR="0" wp14:anchorId="5B46F4C3" wp14:editId="5EA8B425">
            <wp:extent cx="7854214" cy="4158113"/>
            <wp:effectExtent l="0" t="0" r="0" b="0"/>
            <wp:docPr id="179" name="Picture" descr="This is a bar chart showing that cultural and creative activity occurs across several industries. Professional, Scientific and Technical Services contributed most to its GVA growth between 2015–16 and 2024–25, followed by Information Media and Telecommunications, then Arts and Recreation Services."/>
            <wp:cNvGraphicFramePr/>
            <a:graphic xmlns:a="http://schemas.openxmlformats.org/drawingml/2006/main">
              <a:graphicData uri="http://schemas.openxmlformats.org/drawingml/2006/picture">
                <pic:pic xmlns:pic="http://schemas.openxmlformats.org/drawingml/2006/picture">
                  <pic:nvPicPr>
                    <pic:cNvPr id="179" name="Picture" descr="This is a bar chart showing that cultural and creative activity occurs across several industries. Professional, Scientific and Technical Services contributed most to its GVA growth between 2015–16 and 2024–25, followed by Information Media and Telecommunications, then Arts and Recreation Services."/>
                    <pic:cNvPicPr>
                      <a:picLocks noChangeAspect="1" noChangeArrowheads="1"/>
                    </pic:cNvPicPr>
                  </pic:nvPicPr>
                  <pic:blipFill>
                    <a:blip r:embed="rId36"/>
                    <a:stretch>
                      <a:fillRect/>
                    </a:stretch>
                  </pic:blipFill>
                  <pic:spPr bwMode="auto">
                    <a:xfrm>
                      <a:off x="0" y="0"/>
                      <a:ext cx="7854214" cy="4158113"/>
                    </a:xfrm>
                    <a:prstGeom prst="rect">
                      <a:avLst/>
                    </a:prstGeom>
                    <a:noFill/>
                    <a:ln w="9525">
                      <a:noFill/>
                      <a:headEnd/>
                      <a:tailEnd/>
                    </a:ln>
                  </pic:spPr>
                </pic:pic>
              </a:graphicData>
            </a:graphic>
          </wp:inline>
        </w:drawing>
      </w:r>
    </w:p>
    <w:p w14:paraId="5B46F218"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 29.</w:t>
      </w:r>
    </w:p>
    <w:p w14:paraId="5B46F219" w14:textId="77777777" w:rsidR="00CB4C2D" w:rsidRDefault="00397949">
      <w:pPr>
        <w:pStyle w:val="Heading3"/>
      </w:pPr>
      <w:bookmarkStart w:id="136" w:name="explanatory-notes-40"/>
      <w:r>
        <w:rPr>
          <w:bCs/>
        </w:rPr>
        <w:t>Explanatory notes</w:t>
      </w:r>
    </w:p>
    <w:p w14:paraId="5B46F21A" w14:textId="77777777" w:rsidR="00CB4C2D" w:rsidRDefault="00397949">
      <w:r>
        <w:t>See notes of Table 18.</w:t>
      </w:r>
    </w:p>
    <w:p w14:paraId="5B46F21B" w14:textId="77777777" w:rsidR="00CB4C2D" w:rsidRDefault="00397949">
      <w:r>
        <w:br w:type="page"/>
      </w:r>
    </w:p>
    <w:p w14:paraId="5B46F21C" w14:textId="77777777" w:rsidR="00CB4C2D" w:rsidRDefault="00397949">
      <w:pPr>
        <w:pStyle w:val="Heading2"/>
      </w:pPr>
      <w:bookmarkStart w:id="137" w:name="_Toc234836053"/>
      <w:bookmarkStart w:id="138" w:name="X17c1204df2e7b3f5a418943caab08948b7410ae"/>
      <w:bookmarkEnd w:id="135"/>
      <w:bookmarkEnd w:id="136"/>
      <w:r>
        <w:rPr>
          <w:b/>
          <w:bCs/>
        </w:rPr>
        <w:lastRenderedPageBreak/>
        <w:t>Figure 24: Industry contributors to specialised, support and embedded activities, 2015–16 to 2024–25</w:t>
      </w:r>
      <w:bookmarkEnd w:id="137"/>
    </w:p>
    <w:p w14:paraId="5B46F21D" w14:textId="77777777" w:rsidR="00CB4C2D" w:rsidRDefault="00397949">
      <w:r>
        <w:rPr>
          <w:noProof/>
        </w:rPr>
        <w:drawing>
          <wp:inline distT="0" distB="0" distL="0" distR="0" wp14:anchorId="5B46F4C5" wp14:editId="5B46F4C6">
            <wp:extent cx="9385300" cy="4331676"/>
            <wp:effectExtent l="0" t="0" r="0" b="0"/>
            <wp:docPr id="184" name="Picture" descr="This is a stacked column chart showing industry contributions to specialised, support, and embedded activities from 2015–16 to 2024–25."/>
            <wp:cNvGraphicFramePr/>
            <a:graphic xmlns:a="http://schemas.openxmlformats.org/drawingml/2006/main">
              <a:graphicData uri="http://schemas.openxmlformats.org/drawingml/2006/picture">
                <pic:pic xmlns:pic="http://schemas.openxmlformats.org/drawingml/2006/picture">
                  <pic:nvPicPr>
                    <pic:cNvPr id="185" name="Picture" descr="1__CCA_Phase1_MODEL_VisualSum_Trade_3July2026_updated_files/figure-docx/unnamed-chunk-182-1.png"/>
                    <pic:cNvPicPr>
                      <a:picLocks noChangeAspect="1" noChangeArrowheads="1"/>
                    </pic:cNvPicPr>
                  </pic:nvPicPr>
                  <pic:blipFill>
                    <a:blip r:embed="rId37"/>
                    <a:stretch>
                      <a:fillRect/>
                    </a:stretch>
                  </pic:blipFill>
                  <pic:spPr bwMode="auto">
                    <a:xfrm>
                      <a:off x="0" y="0"/>
                      <a:ext cx="9385300" cy="4331676"/>
                    </a:xfrm>
                    <a:prstGeom prst="rect">
                      <a:avLst/>
                    </a:prstGeom>
                    <a:noFill/>
                    <a:ln w="9525">
                      <a:noFill/>
                      <a:headEnd/>
                      <a:tailEnd/>
                    </a:ln>
                  </pic:spPr>
                </pic:pic>
              </a:graphicData>
            </a:graphic>
          </wp:inline>
        </w:drawing>
      </w:r>
    </w:p>
    <w:p w14:paraId="5B46F21E" w14:textId="5554458E"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Figure</w:t>
      </w:r>
      <w:r w:rsidR="00E06DCC">
        <w:rPr>
          <w:rFonts w:ascii="Calibri (Body)" w:eastAsia="Calibri (Body)" w:hAnsi="Calibri (Body)" w:cs="Calibri (Body)"/>
          <w:color w:val="000000"/>
          <w:sz w:val="20"/>
          <w:szCs w:val="20"/>
        </w:rPr>
        <w:t>s</w:t>
      </w:r>
      <w:r>
        <w:rPr>
          <w:rFonts w:ascii="Calibri (Body)" w:eastAsia="Calibri (Body)" w:hAnsi="Calibri (Body)" w:cs="Calibri (Body)"/>
          <w:color w:val="000000"/>
          <w:sz w:val="20"/>
          <w:szCs w:val="20"/>
        </w:rPr>
        <w:t xml:space="preserve"> 30</w:t>
      </w:r>
      <w:r w:rsidR="00E06DCC">
        <w:rPr>
          <w:rFonts w:ascii="Calibri (Body)" w:eastAsia="Calibri (Body)" w:hAnsi="Calibri (Body)" w:cs="Calibri (Body)"/>
          <w:color w:val="000000"/>
          <w:sz w:val="20"/>
          <w:szCs w:val="20"/>
        </w:rPr>
        <w:t>–</w:t>
      </w:r>
      <w:r>
        <w:rPr>
          <w:rFonts w:ascii="Calibri (Body)" w:eastAsia="Calibri (Body)" w:hAnsi="Calibri (Body)" w:cs="Calibri (Body)"/>
          <w:color w:val="000000"/>
          <w:sz w:val="20"/>
          <w:szCs w:val="20"/>
        </w:rPr>
        <w:t>32.</w:t>
      </w:r>
    </w:p>
    <w:p w14:paraId="5B46F21F" w14:textId="77777777" w:rsidR="00CB4C2D" w:rsidRDefault="00397949">
      <w:pPr>
        <w:pStyle w:val="Heading3"/>
      </w:pPr>
      <w:bookmarkStart w:id="139" w:name="explanatory-notes-41"/>
      <w:r>
        <w:rPr>
          <w:bCs/>
        </w:rPr>
        <w:t>Explanatory notes</w:t>
      </w:r>
    </w:p>
    <w:p w14:paraId="5B46F220" w14:textId="77777777" w:rsidR="00CB4C2D" w:rsidRDefault="00397949">
      <w:r>
        <w:t>See notes of Table 19, 20 and 23.</w:t>
      </w:r>
    </w:p>
    <w:p w14:paraId="5B46F221" w14:textId="77777777" w:rsidR="00CB4C2D" w:rsidRDefault="00397949">
      <w:r>
        <w:br w:type="page"/>
      </w:r>
    </w:p>
    <w:p w14:paraId="5B46F222" w14:textId="77777777" w:rsidR="00CB4C2D" w:rsidRDefault="00397949">
      <w:pPr>
        <w:pStyle w:val="Heading2"/>
      </w:pPr>
      <w:bookmarkStart w:id="140" w:name="_Toc234836054"/>
      <w:bookmarkStart w:id="141" w:name="Xf292aa4927b8a71a82ee9cf47029d7817fc4f86"/>
      <w:bookmarkEnd w:id="138"/>
      <w:bookmarkEnd w:id="139"/>
      <w:r>
        <w:rPr>
          <w:b/>
          <w:bCs/>
        </w:rPr>
        <w:lastRenderedPageBreak/>
        <w:t>Table 19: Specialised activity, 2015–16 to 2024–25 ($m)</w:t>
      </w:r>
      <w:bookmarkEnd w:id="140"/>
    </w:p>
    <w:tbl>
      <w:tblPr>
        <w:tblW w:w="0" w:type="auto"/>
        <w:jc w:val="center"/>
        <w:tblLayout w:type="fixed"/>
        <w:tblLook w:val="0420" w:firstRow="1" w:lastRow="0" w:firstColumn="0" w:lastColumn="0" w:noHBand="0" w:noVBand="1"/>
      </w:tblPr>
      <w:tblGrid>
        <w:gridCol w:w="1080"/>
        <w:gridCol w:w="1872"/>
        <w:gridCol w:w="2592"/>
        <w:gridCol w:w="2592"/>
        <w:gridCol w:w="1872"/>
        <w:gridCol w:w="1872"/>
        <w:gridCol w:w="1080"/>
        <w:gridCol w:w="1080"/>
      </w:tblGrid>
      <w:tr w:rsidR="00CB4C2D" w14:paraId="5B46F22B"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3" w14:textId="7F93F0B9"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sidRPr="00D90D7C">
              <w:rPr>
                <w:rFonts w:ascii="Arial" w:eastAsia="Arial" w:hAnsi="Arial" w:cs="Arial"/>
                <w:color w:val="000000"/>
              </w:rPr>
              <w:t>Period</w:t>
            </w:r>
          </w:p>
        </w:tc>
        <w:tc>
          <w:tcPr>
            <w:tcW w:w="18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Manufacturing</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Information Media and Telecommunications</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Professional, Scientific and Technical Services</w:t>
            </w:r>
          </w:p>
        </w:tc>
        <w:tc>
          <w:tcPr>
            <w:tcW w:w="18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Education and Training</w:t>
            </w:r>
          </w:p>
        </w:tc>
        <w:tc>
          <w:tcPr>
            <w:tcW w:w="18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Arts and Recreation Services</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Other Services</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2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Total</w:t>
            </w:r>
          </w:p>
        </w:tc>
      </w:tr>
      <w:tr w:rsidR="00CB4C2D" w14:paraId="5B46F234"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2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18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2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113</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2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14,164</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2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13,240</w:t>
            </w:r>
          </w:p>
        </w:tc>
        <w:tc>
          <w:tcPr>
            <w:tcW w:w="18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517</w:t>
            </w:r>
          </w:p>
        </w:tc>
        <w:tc>
          <w:tcPr>
            <w:tcW w:w="18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2,277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214</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30,525</w:t>
            </w:r>
          </w:p>
        </w:tc>
      </w:tr>
      <w:tr w:rsidR="00CB4C2D" w14:paraId="5B46F23D"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13,087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14,680</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506</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2,413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31,042</w:t>
            </w:r>
          </w:p>
        </w:tc>
      </w:tr>
      <w:tr w:rsidR="00CB4C2D" w14:paraId="5B46F246"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3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13,406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15,368</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503</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2,439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32,059</w:t>
            </w:r>
          </w:p>
        </w:tc>
      </w:tr>
      <w:tr w:rsidR="00CB4C2D" w14:paraId="5B46F24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12,663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15,889</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584</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4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32,231</w:t>
            </w:r>
          </w:p>
        </w:tc>
      </w:tr>
      <w:tr w:rsidR="00CB4C2D" w14:paraId="5B46F258"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91</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12,548</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16,431</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619</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2,503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32,373</w:t>
            </w:r>
          </w:p>
        </w:tc>
      </w:tr>
      <w:tr w:rsidR="00CB4C2D" w14:paraId="5B46F26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13,630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17,182</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723</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5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33,996</w:t>
            </w:r>
          </w:p>
        </w:tc>
      </w:tr>
      <w:tr w:rsidR="00CB4C2D" w14:paraId="5B46F26A"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16,684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18,754</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796</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38,987</w:t>
            </w:r>
          </w:p>
        </w:tc>
      </w:tr>
      <w:tr w:rsidR="00CB4C2D" w14:paraId="5B46F27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18,087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20,581</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946</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42,922</w:t>
            </w:r>
          </w:p>
        </w:tc>
      </w:tr>
      <w:tr w:rsidR="00CB4C2D" w14:paraId="5B46F27C"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20,372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21,422</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1,104</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2,926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7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46,308</w:t>
            </w:r>
          </w:p>
        </w:tc>
      </w:tr>
      <w:tr w:rsidR="00CB4C2D" w14:paraId="5B46F285"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18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7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169</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21,166</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22,211</w:t>
            </w:r>
          </w:p>
        </w:tc>
        <w:tc>
          <w:tcPr>
            <w:tcW w:w="18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1,176</w:t>
            </w:r>
          </w:p>
        </w:tc>
        <w:tc>
          <w:tcPr>
            <w:tcW w:w="18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3,100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334</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48,156</w:t>
            </w:r>
          </w:p>
        </w:tc>
      </w:tr>
    </w:tbl>
    <w:p w14:paraId="5B46F286"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21.</w:t>
      </w:r>
    </w:p>
    <w:p w14:paraId="5B46F287" w14:textId="77777777" w:rsidR="00CB4C2D" w:rsidRDefault="00397949">
      <w:pPr>
        <w:pStyle w:val="Heading3"/>
      </w:pPr>
      <w:bookmarkStart w:id="142" w:name="explanatory-notes-42"/>
      <w:r>
        <w:rPr>
          <w:bCs/>
        </w:rPr>
        <w:t>Explanatory notes</w:t>
      </w:r>
    </w:p>
    <w:p w14:paraId="5B46F288" w14:textId="150D89F6" w:rsidR="00CB4C2D" w:rsidRDefault="00397949">
      <w:r>
        <w:t>Specialised activity refers to cultural and creative products being produced within cultural and creative industries. This activity increased by $17.6 billion</w:t>
      </w:r>
      <w:r w:rsidR="007D2586">
        <w:t>,</w:t>
      </w:r>
      <w:r>
        <w:t xml:space="preserve"> or 57.8%, from $30.5 billion in 2015–16 to $48.2 billion in 2024–25. </w:t>
      </w:r>
      <w:r w:rsidR="00B0662D">
        <w:t>S</w:t>
      </w:r>
      <w:r>
        <w:t xml:space="preserve">pecialised activity accounted for 72.1% of total cultural and creative activity GVA in 2024–25, </w:t>
      </w:r>
      <w:r w:rsidR="00277C01">
        <w:t>indicating that</w:t>
      </w:r>
      <w:r>
        <w:t xml:space="preserve"> most cultural and creative products were produced within cultural and creative industries. Professional, Scientific and Technical Services and Information Media and Telecommunications </w:t>
      </w:r>
      <w:r w:rsidR="00277C01">
        <w:t>together accounted for</w:t>
      </w:r>
      <w:r>
        <w:t xml:space="preserve"> around 90% of specialised activity in 2024–25.</w:t>
      </w:r>
    </w:p>
    <w:p w14:paraId="5B46F289" w14:textId="77777777" w:rsidR="00CB4C2D" w:rsidRDefault="00397949">
      <w:r>
        <w:br w:type="page"/>
      </w:r>
    </w:p>
    <w:p w14:paraId="5B46F28A" w14:textId="77777777" w:rsidR="00CB4C2D" w:rsidRDefault="00397949">
      <w:pPr>
        <w:pStyle w:val="Heading2"/>
      </w:pPr>
      <w:bookmarkStart w:id="143" w:name="_Toc234836055"/>
      <w:bookmarkStart w:id="144" w:name="X885fea567febf93d1e4d5b777d88eb02d516a5d"/>
      <w:bookmarkEnd w:id="141"/>
      <w:bookmarkEnd w:id="142"/>
      <w:r>
        <w:rPr>
          <w:b/>
          <w:bCs/>
        </w:rPr>
        <w:lastRenderedPageBreak/>
        <w:t>Table 20: Support activity, 2015–16 to 2024–25 ($m)</w:t>
      </w:r>
      <w:bookmarkEnd w:id="143"/>
    </w:p>
    <w:tbl>
      <w:tblPr>
        <w:tblW w:w="0" w:type="auto"/>
        <w:jc w:val="center"/>
        <w:tblLayout w:type="fixed"/>
        <w:tblLook w:val="0420" w:firstRow="1" w:lastRow="0" w:firstColumn="0" w:lastColumn="0" w:noHBand="0" w:noVBand="1"/>
      </w:tblPr>
      <w:tblGrid>
        <w:gridCol w:w="1080"/>
        <w:gridCol w:w="1872"/>
        <w:gridCol w:w="2592"/>
        <w:gridCol w:w="2592"/>
        <w:gridCol w:w="1872"/>
        <w:gridCol w:w="1872"/>
        <w:gridCol w:w="1080"/>
        <w:gridCol w:w="1080"/>
      </w:tblGrid>
      <w:tr w:rsidR="00CB4C2D" w14:paraId="5B46F293"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B" w14:textId="21CD239B"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sidRPr="00D90D7C">
              <w:rPr>
                <w:rFonts w:ascii="Arial" w:eastAsia="Arial" w:hAnsi="Arial" w:cs="Arial"/>
                <w:color w:val="000000"/>
              </w:rPr>
              <w:t>Period</w:t>
            </w:r>
          </w:p>
        </w:tc>
        <w:tc>
          <w:tcPr>
            <w:tcW w:w="18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Manufacturing</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Information Media and Telecommunications</w:t>
            </w:r>
          </w:p>
        </w:tc>
        <w:tc>
          <w:tcPr>
            <w:tcW w:w="25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Professional, Scientific and Technical Services</w:t>
            </w:r>
          </w:p>
        </w:tc>
        <w:tc>
          <w:tcPr>
            <w:tcW w:w="18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8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Education and Training</w:t>
            </w:r>
          </w:p>
        </w:tc>
        <w:tc>
          <w:tcPr>
            <w:tcW w:w="18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9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Arts and Recreation Services</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9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Other Services</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9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Total</w:t>
            </w:r>
          </w:p>
        </w:tc>
      </w:tr>
      <w:tr w:rsidR="00CB4C2D" w14:paraId="5B46F29C"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18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4,077</w:t>
            </w:r>
          </w:p>
        </w:tc>
        <w:tc>
          <w:tcPr>
            <w:tcW w:w="25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966</w:t>
            </w:r>
          </w:p>
        </w:tc>
        <w:tc>
          <w:tcPr>
            <w:tcW w:w="18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w:t>
            </w:r>
          </w:p>
        </w:tc>
        <w:tc>
          <w:tcPr>
            <w:tcW w:w="18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399</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5,545</w:t>
            </w:r>
          </w:p>
        </w:tc>
      </w:tr>
      <w:tr w:rsidR="00CB4C2D" w14:paraId="5B46F2A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9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4,176</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1,106</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5,793</w:t>
            </w:r>
          </w:p>
        </w:tc>
      </w:tr>
      <w:tr w:rsidR="00CB4C2D" w14:paraId="5B46F2AE"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4,183</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1,176</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5,843</w:t>
            </w:r>
          </w:p>
        </w:tc>
      </w:tr>
      <w:tr w:rsidR="00CB4C2D" w14:paraId="5B46F2B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A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4,127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1,180</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34</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5,908</w:t>
            </w:r>
          </w:p>
        </w:tc>
      </w:tr>
      <w:tr w:rsidR="00CB4C2D" w14:paraId="5B46F2C0"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3,905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1,273</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40</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B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5,736</w:t>
            </w:r>
          </w:p>
        </w:tc>
      </w:tr>
      <w:tr w:rsidR="00CB4C2D" w14:paraId="5B46F2C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32</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3,645</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1,297</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43</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442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5,485</w:t>
            </w:r>
          </w:p>
        </w:tc>
      </w:tr>
      <w:tr w:rsidR="00CB4C2D" w14:paraId="5B46F2D2"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40</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3,049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1,381</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5,071</w:t>
            </w:r>
          </w:p>
        </w:tc>
      </w:tr>
      <w:tr w:rsidR="00CB4C2D" w14:paraId="5B46F2D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3,314</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1,535</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51</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5,581</w:t>
            </w:r>
          </w:p>
        </w:tc>
      </w:tr>
      <w:tr w:rsidR="00CB4C2D" w14:paraId="5B46F2E4"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47</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3,549</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1,673</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E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60</w:t>
            </w:r>
          </w:p>
        </w:tc>
        <w:tc>
          <w:tcPr>
            <w:tcW w:w="1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E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2E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5,993</w:t>
            </w:r>
          </w:p>
        </w:tc>
      </w:tr>
      <w:tr w:rsidR="00CB4C2D" w14:paraId="5B46F2ED"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2024–25</w:t>
            </w:r>
          </w:p>
        </w:tc>
        <w:tc>
          <w:tcPr>
            <w:tcW w:w="18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49</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3,687</w:t>
            </w:r>
          </w:p>
        </w:tc>
        <w:tc>
          <w:tcPr>
            <w:tcW w:w="25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1,734</w:t>
            </w:r>
          </w:p>
        </w:tc>
        <w:tc>
          <w:tcPr>
            <w:tcW w:w="18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64</w:t>
            </w:r>
          </w:p>
        </w:tc>
        <w:tc>
          <w:tcPr>
            <w:tcW w:w="18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655</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48</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E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6,237</w:t>
            </w:r>
          </w:p>
        </w:tc>
      </w:tr>
    </w:tbl>
    <w:p w14:paraId="5B46F2EE"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22.</w:t>
      </w:r>
    </w:p>
    <w:p w14:paraId="5B46F2EF" w14:textId="77777777" w:rsidR="00CB4C2D" w:rsidRDefault="00397949">
      <w:pPr>
        <w:pStyle w:val="Heading3"/>
      </w:pPr>
      <w:bookmarkStart w:id="145" w:name="explanatory-notes-43"/>
      <w:r>
        <w:rPr>
          <w:bCs/>
        </w:rPr>
        <w:t>Explanatory notes</w:t>
      </w:r>
    </w:p>
    <w:p w14:paraId="5B46F2F0" w14:textId="19A3EB9F" w:rsidR="00CB4C2D" w:rsidRPr="003D788B" w:rsidRDefault="00397949" w:rsidP="003D788B">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 xml:space="preserve">Support activity refers to </w:t>
      </w:r>
      <w:r w:rsidR="003D788B" w:rsidRPr="006A0CEE">
        <w:rPr>
          <w:rFonts w:ascii="Calibri (Body)" w:eastAsia="Calibri (Body)" w:hAnsi="Calibri (Body)" w:cs="Calibri (Body)"/>
          <w:color w:val="000000"/>
        </w:rPr>
        <w:t xml:space="preserve">products that fall outside the scope of cultural and creative products but are produced by industries classified as cultural and creative. </w:t>
      </w:r>
      <w:r w:rsidRPr="006A0CEE">
        <w:rPr>
          <w:rFonts w:ascii="Calibri (Body)" w:eastAsia="Calibri (Body)" w:hAnsi="Calibri (Body)" w:cs="Calibri (Body)"/>
          <w:color w:val="000000"/>
        </w:rPr>
        <w:t>This activity accounted for $6.2 billion</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9.3%</w:t>
      </w:r>
      <w:r w:rsidR="007D2586"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of cultural and creative activity GVA in 2024–25. Support activity increased by $692 million</w:t>
      </w:r>
      <w:r w:rsidR="003D788B" w:rsidRPr="006A0CEE">
        <w:rPr>
          <w:rFonts w:ascii="Calibri (Body)" w:eastAsia="Calibri (Body)" w:hAnsi="Calibri (Body)" w:cs="Calibri (Body)"/>
          <w:color w:val="000000"/>
        </w:rPr>
        <w:t>,</w:t>
      </w:r>
      <w:r w:rsidRPr="006A0CEE">
        <w:rPr>
          <w:rFonts w:ascii="Calibri (Body)" w:eastAsia="Calibri (Body)" w:hAnsi="Calibri (Body)" w:cs="Calibri (Body)"/>
          <w:color w:val="000000"/>
        </w:rPr>
        <w:t xml:space="preserve"> or 12.5%, from $5.5 billion</w:t>
      </w:r>
      <w:r w:rsidR="003D788B" w:rsidRPr="006A0CEE">
        <w:rPr>
          <w:rFonts w:ascii="Calibri (Body)" w:eastAsia="Calibri (Body)" w:hAnsi="Calibri (Body)" w:cs="Calibri (Body)"/>
          <w:color w:val="000000"/>
        </w:rPr>
        <w:t xml:space="preserve"> in</w:t>
      </w:r>
      <w:r w:rsidRPr="006A0CEE">
        <w:rPr>
          <w:rFonts w:ascii="Calibri (Body)" w:eastAsia="Calibri (Body)" w:hAnsi="Calibri (Body)" w:cs="Calibri (Body)"/>
          <w:color w:val="000000"/>
        </w:rPr>
        <w:t xml:space="preserve"> </w:t>
      </w:r>
      <w:r w:rsidR="003D788B" w:rsidRPr="006A0CEE">
        <w:rPr>
          <w:rFonts w:ascii="Calibri (Body)" w:eastAsia="Calibri (Body)" w:hAnsi="Calibri (Body)" w:cs="Calibri (Body)"/>
          <w:color w:val="000000"/>
        </w:rPr>
        <w:t xml:space="preserve">2015–16 </w:t>
      </w:r>
      <w:r w:rsidRPr="006A0CEE">
        <w:rPr>
          <w:rFonts w:ascii="Calibri (Body)" w:eastAsia="Calibri (Body)" w:hAnsi="Calibri (Body)" w:cs="Calibri (Body)"/>
          <w:color w:val="000000"/>
        </w:rPr>
        <w:t xml:space="preserve">to $6.2 billion </w:t>
      </w:r>
      <w:r w:rsidR="003D788B" w:rsidRPr="006A0CEE">
        <w:rPr>
          <w:rFonts w:ascii="Calibri (Body)" w:eastAsia="Calibri (Body)" w:hAnsi="Calibri (Body)" w:cs="Calibri (Body)"/>
          <w:color w:val="000000"/>
        </w:rPr>
        <w:t>in</w:t>
      </w:r>
      <w:r w:rsidRPr="006A0CEE">
        <w:rPr>
          <w:rFonts w:ascii="Calibri (Body)" w:eastAsia="Calibri (Body)" w:hAnsi="Calibri (Body)" w:cs="Calibri (Body)"/>
          <w:color w:val="000000"/>
        </w:rPr>
        <w:t xml:space="preserve"> 2024–25. The main contributors </w:t>
      </w:r>
      <w:r w:rsidR="003D788B" w:rsidRPr="006A0CEE">
        <w:rPr>
          <w:rFonts w:ascii="Calibri (Body)" w:eastAsia="Calibri (Body)" w:hAnsi="Calibri (Body)" w:cs="Calibri (Body)"/>
          <w:color w:val="000000"/>
        </w:rPr>
        <w:t>were</w:t>
      </w:r>
      <w:r w:rsidRPr="006A0CEE">
        <w:rPr>
          <w:rFonts w:ascii="Calibri (Body)" w:eastAsia="Calibri (Body)" w:hAnsi="Calibri (Body)" w:cs="Calibri (Body)"/>
          <w:color w:val="000000"/>
        </w:rPr>
        <w:t xml:space="preserve"> non-cultural</w:t>
      </w:r>
      <w:r w:rsidR="003D788B" w:rsidRPr="006A0CEE">
        <w:rPr>
          <w:rFonts w:ascii="Calibri (Body)" w:eastAsia="Calibri (Body)" w:hAnsi="Calibri (Body)" w:cs="Calibri (Body)"/>
          <w:color w:val="000000"/>
        </w:rPr>
        <w:t xml:space="preserve"> and non</w:t>
      </w:r>
      <w:r w:rsidRPr="006A0CEE">
        <w:rPr>
          <w:rFonts w:ascii="Calibri (Body)" w:eastAsia="Calibri (Body)" w:hAnsi="Calibri (Body)" w:cs="Calibri (Body)"/>
          <w:color w:val="000000"/>
        </w:rPr>
        <w:t>-creative products relating to advertising services</w:t>
      </w:r>
      <w:r w:rsidR="003D788B" w:rsidRPr="006A0CEE">
        <w:rPr>
          <w:rFonts w:ascii="Calibri (Body)" w:eastAsia="Calibri (Body)" w:hAnsi="Calibri (Body)" w:cs="Calibri (Body)"/>
          <w:color w:val="000000"/>
        </w:rPr>
        <w:t xml:space="preserve">, including </w:t>
      </w:r>
      <w:r w:rsidRPr="006A0CEE">
        <w:rPr>
          <w:rFonts w:ascii="Calibri (Body)" w:eastAsia="Calibri (Body)" w:hAnsi="Calibri (Body)" w:cs="Calibri (Body)"/>
          <w:color w:val="000000"/>
        </w:rPr>
        <w:t>advertising space</w:t>
      </w:r>
      <w:r w:rsidR="003D788B" w:rsidRPr="006A0CEE">
        <w:rPr>
          <w:rFonts w:ascii="Calibri (Body)" w:eastAsia="Calibri (Body)" w:hAnsi="Calibri (Body)" w:cs="Calibri (Body)"/>
          <w:color w:val="000000"/>
        </w:rPr>
        <w:t xml:space="preserve"> in</w:t>
      </w:r>
      <w:r w:rsidRPr="006A0CEE">
        <w:rPr>
          <w:rFonts w:ascii="Calibri (Body)" w:eastAsia="Calibri (Body)" w:hAnsi="Calibri (Body)" w:cs="Calibri (Body)"/>
          <w:color w:val="000000"/>
        </w:rPr>
        <w:t xml:space="preserve"> newspapers, magazines and other periodicals, books, and internet publishing. </w:t>
      </w:r>
      <w:r w:rsidR="003D788B" w:rsidRPr="006A0CEE">
        <w:rPr>
          <w:rFonts w:ascii="Calibri (Body)" w:eastAsia="Calibri (Body)" w:hAnsi="Calibri (Body)" w:cs="Calibri (Body)"/>
          <w:color w:val="000000"/>
        </w:rPr>
        <w:t>As a result, m</w:t>
      </w:r>
      <w:r w:rsidRPr="006A0CEE">
        <w:rPr>
          <w:rFonts w:ascii="Calibri (Body)" w:eastAsia="Calibri (Body)" w:hAnsi="Calibri (Body)" w:cs="Calibri (Body)"/>
          <w:color w:val="000000"/>
        </w:rPr>
        <w:t xml:space="preserve">ost support activity was </w:t>
      </w:r>
      <w:r w:rsidR="003D788B" w:rsidRPr="006A0CEE">
        <w:rPr>
          <w:rFonts w:ascii="Calibri (Body)" w:eastAsia="Calibri (Body)" w:hAnsi="Calibri (Body)" w:cs="Calibri (Body)"/>
          <w:color w:val="000000"/>
        </w:rPr>
        <w:t>concentrated in the I</w:t>
      </w:r>
      <w:r w:rsidRPr="006A0CEE">
        <w:rPr>
          <w:rFonts w:ascii="Calibri (Body)" w:eastAsia="Calibri (Body)" w:hAnsi="Calibri (Body)" w:cs="Calibri (Body)"/>
          <w:color w:val="000000"/>
        </w:rPr>
        <w:t>nformation</w:t>
      </w:r>
      <w:r w:rsidR="003D788B" w:rsidRPr="006A0CEE">
        <w:rPr>
          <w:rFonts w:ascii="Calibri (Body)" w:eastAsia="Calibri (Body)" w:hAnsi="Calibri (Body)" w:cs="Calibri (Body)"/>
          <w:color w:val="000000"/>
        </w:rPr>
        <w:t>, M</w:t>
      </w:r>
      <w:r w:rsidRPr="006A0CEE">
        <w:rPr>
          <w:rFonts w:ascii="Calibri (Body)" w:eastAsia="Calibri (Body)" w:hAnsi="Calibri (Body)" w:cs="Calibri (Body)"/>
          <w:color w:val="000000"/>
        </w:rPr>
        <w:t xml:space="preserve">edia and </w:t>
      </w:r>
      <w:r w:rsidR="003D788B" w:rsidRPr="006A0CEE">
        <w:rPr>
          <w:rFonts w:ascii="Calibri (Body)" w:eastAsia="Calibri (Body)" w:hAnsi="Calibri (Body)" w:cs="Calibri (Body)"/>
          <w:color w:val="000000"/>
        </w:rPr>
        <w:t>T</w:t>
      </w:r>
      <w:r w:rsidRPr="006A0CEE">
        <w:rPr>
          <w:rFonts w:ascii="Calibri (Body)" w:eastAsia="Calibri (Body)" w:hAnsi="Calibri (Body)" w:cs="Calibri (Body)"/>
          <w:color w:val="000000"/>
        </w:rPr>
        <w:t xml:space="preserve">elecommunications industry. </w:t>
      </w:r>
      <w:r w:rsidR="003D788B" w:rsidRPr="006A0CEE">
        <w:rPr>
          <w:rFonts w:ascii="Calibri (Body)" w:eastAsia="Calibri (Body)" w:hAnsi="Calibri (Body)" w:cs="Calibri (Body)"/>
          <w:color w:val="000000"/>
        </w:rPr>
        <w:t>G</w:t>
      </w:r>
      <w:r w:rsidRPr="006A0CEE">
        <w:rPr>
          <w:rFonts w:ascii="Calibri (Body)" w:eastAsia="Calibri (Body)" w:hAnsi="Calibri (Body)" w:cs="Calibri (Body)"/>
          <w:color w:val="000000"/>
        </w:rPr>
        <w:t xml:space="preserve">rowth in support activity was mainly driven by increased advertising services </w:t>
      </w:r>
      <w:r w:rsidR="003D788B" w:rsidRPr="006A0CEE">
        <w:rPr>
          <w:rFonts w:ascii="Calibri (Body)" w:eastAsia="Calibri (Body)" w:hAnsi="Calibri (Body)" w:cs="Calibri (Body)"/>
          <w:color w:val="000000"/>
        </w:rPr>
        <w:t>i</w:t>
      </w:r>
      <w:r w:rsidRPr="006A0CEE">
        <w:rPr>
          <w:rFonts w:ascii="Calibri (Body)" w:eastAsia="Calibri (Body)" w:hAnsi="Calibri (Body)" w:cs="Calibri (Body)"/>
          <w:color w:val="000000"/>
        </w:rPr>
        <w:t xml:space="preserve">n internet publishing and broadcasting, </w:t>
      </w:r>
      <w:r w:rsidR="003D788B" w:rsidRPr="006A0CEE">
        <w:rPr>
          <w:rFonts w:ascii="Calibri (Body)" w:eastAsia="Calibri (Body)" w:hAnsi="Calibri (Body)" w:cs="Calibri (Body)"/>
          <w:color w:val="000000"/>
        </w:rPr>
        <w:t>as</w:t>
      </w:r>
      <w:r w:rsidRPr="006A0CEE">
        <w:rPr>
          <w:rFonts w:ascii="Calibri (Body)" w:eastAsia="Calibri (Body)" w:hAnsi="Calibri (Body)" w:cs="Calibri (Body)"/>
          <w:color w:val="000000"/>
        </w:rPr>
        <w:t xml:space="preserve"> providers such as </w:t>
      </w:r>
      <w:r w:rsidR="003D788B" w:rsidRPr="006A0CEE">
        <w:rPr>
          <w:rFonts w:ascii="Calibri (Body)" w:eastAsia="Calibri (Body)" w:hAnsi="Calibri (Body)" w:cs="Calibri (Body)"/>
          <w:color w:val="000000"/>
        </w:rPr>
        <w:t>subscription video-on-demand services introduced more advertising to generate additional revenue</w:t>
      </w:r>
      <w:r w:rsidRPr="006A0CEE">
        <w:rPr>
          <w:rFonts w:ascii="Calibri (Body)" w:eastAsia="Calibri (Body)" w:hAnsi="Calibri (Body)" w:cs="Calibri (Body)"/>
          <w:color w:val="000000"/>
        </w:rPr>
        <w:t>.</w:t>
      </w:r>
      <w:r w:rsidRPr="006A0CEE">
        <w:rPr>
          <w:rFonts w:ascii="Calibri (Body)" w:eastAsia="Calibri (Body)" w:hAnsi="Calibri (Body)" w:cs="Calibri (Body)"/>
          <w:color w:val="000000"/>
          <w:vertAlign w:val="superscript"/>
        </w:rPr>
        <w:t>15</w:t>
      </w:r>
    </w:p>
    <w:p w14:paraId="5B46F2F1"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 xml:space="preserve"> </w:t>
      </w:r>
    </w:p>
    <w:p w14:paraId="5B46F2F2" w14:textId="77777777" w:rsidR="00CB4C2D" w:rsidRPr="006A0CEE" w:rsidRDefault="00397949">
      <w:pPr>
        <w:pBdr>
          <w:top w:val="none" w:sz="0" w:space="0" w:color="000000"/>
          <w:left w:val="none" w:sz="0" w:space="0" w:color="000000"/>
          <w:bottom w:val="none" w:sz="0" w:space="0" w:color="000000"/>
          <w:right w:val="none" w:sz="0" w:space="0" w:color="000000"/>
        </w:pBdr>
        <w:spacing w:after="0"/>
        <w:rPr>
          <w:sz w:val="18"/>
          <w:szCs w:val="18"/>
        </w:rPr>
      </w:pPr>
      <w:r w:rsidRPr="006A0CEE">
        <w:rPr>
          <w:rFonts w:ascii="Calibri (Body)" w:eastAsia="Calibri (Body)" w:hAnsi="Calibri (Body)" w:cs="Calibri (Body)"/>
          <w:color w:val="000000"/>
          <w:sz w:val="18"/>
          <w:szCs w:val="18"/>
          <w:vertAlign w:val="superscript"/>
        </w:rPr>
        <w:t>15</w:t>
      </w:r>
      <w:r w:rsidRPr="003D788B">
        <w:rPr>
          <w:rFonts w:ascii="Calibri (Body)" w:eastAsia="Calibri (Body)" w:hAnsi="Calibri (Body)" w:cs="Calibri (Body)"/>
          <w:color w:val="000000"/>
          <w:sz w:val="18"/>
          <w:szCs w:val="18"/>
        </w:rPr>
        <w:t xml:space="preserve"> IBISWorld industry report (2025), J5700 Internet Publishing and Broadcasting in Australia, October 2025, p. 3.</w:t>
      </w:r>
    </w:p>
    <w:p w14:paraId="5B46F2F3" w14:textId="77777777" w:rsidR="00CB4C2D" w:rsidRDefault="00397949">
      <w:r>
        <w:br w:type="page"/>
      </w:r>
    </w:p>
    <w:p w14:paraId="5B46F2F4" w14:textId="77777777" w:rsidR="00CB4C2D" w:rsidRDefault="00397949">
      <w:pPr>
        <w:pStyle w:val="Heading2"/>
      </w:pPr>
      <w:bookmarkStart w:id="146" w:name="_Toc234836056"/>
      <w:bookmarkStart w:id="147" w:name="X415029a3e4a5294b31762247f13550df9311657"/>
      <w:bookmarkEnd w:id="144"/>
      <w:bookmarkEnd w:id="145"/>
      <w:r>
        <w:rPr>
          <w:b/>
          <w:bCs/>
        </w:rPr>
        <w:lastRenderedPageBreak/>
        <w:t>Table 21: In-scope cultural and creative industry subdivisions ($m)</w:t>
      </w:r>
      <w:bookmarkEnd w:id="146"/>
    </w:p>
    <w:tbl>
      <w:tblPr>
        <w:tblW w:w="0" w:type="auto"/>
        <w:jc w:val="center"/>
        <w:tblLayout w:type="fixed"/>
        <w:tblLook w:val="0420" w:firstRow="1" w:lastRow="0" w:firstColumn="0" w:lastColumn="0" w:noHBand="0" w:noVBand="1"/>
      </w:tblPr>
      <w:tblGrid>
        <w:gridCol w:w="936"/>
        <w:gridCol w:w="1080"/>
        <w:gridCol w:w="1152"/>
        <w:gridCol w:w="1080"/>
        <w:gridCol w:w="1080"/>
        <w:gridCol w:w="1296"/>
        <w:gridCol w:w="1152"/>
        <w:gridCol w:w="1296"/>
        <w:gridCol w:w="1152"/>
        <w:gridCol w:w="1080"/>
        <w:gridCol w:w="1152"/>
        <w:gridCol w:w="1080"/>
        <w:gridCol w:w="864"/>
      </w:tblGrid>
      <w:tr w:rsidR="00CB4C2D" w14:paraId="5B46F302" w14:textId="77777777">
        <w:trPr>
          <w:tblHeader/>
          <w:jc w:val="center"/>
        </w:trPr>
        <w:tc>
          <w:tcPr>
            <w:tcW w:w="93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5" w14:textId="74F314A6"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sidRPr="00D90D7C">
              <w:rPr>
                <w:rFonts w:ascii="Arial" w:eastAsia="Arial" w:hAnsi="Arial" w:cs="Arial"/>
                <w:color w:val="000000"/>
                <w:sz w:val="18"/>
                <w:szCs w:val="18"/>
              </w:rPr>
              <w:t>Period</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Printing (including Reproduction of Recorded Media)</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Publishing (except Internet and Music Publishing)</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Motion Picture and Sound Recording Activities</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Broadcasting (except Internet)</w:t>
            </w:r>
          </w:p>
        </w:tc>
        <w:tc>
          <w:tcPr>
            <w:tcW w:w="129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Internet Publishing and Broadcasting</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Library and Other Information Services</w:t>
            </w:r>
          </w:p>
        </w:tc>
        <w:tc>
          <w:tcPr>
            <w:tcW w:w="129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Professional, Scientific and Technical Services (except Computer System Design and Related Services)</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Adult, Community and Other Education</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Heritage Activities</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2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Creative and Performing Arts Activities</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0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Personal and Other Services</w:t>
            </w:r>
          </w:p>
        </w:tc>
        <w:tc>
          <w:tcPr>
            <w:tcW w:w="86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0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Total</w:t>
            </w:r>
          </w:p>
        </w:tc>
      </w:tr>
      <w:tr w:rsidR="00CB4C2D" w14:paraId="5B46F310" w14:textId="77777777">
        <w:trPr>
          <w:jc w:val="center"/>
        </w:trPr>
        <w:tc>
          <w:tcPr>
            <w:tcW w:w="9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2015–16</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147</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7,512</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2,887</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5,745</w:t>
            </w:r>
          </w:p>
        </w:tc>
        <w:tc>
          <w:tcPr>
            <w:tcW w:w="129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733</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1,364</w:t>
            </w:r>
          </w:p>
        </w:tc>
        <w:tc>
          <w:tcPr>
            <w:tcW w:w="129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14,206</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552</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571</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2,105</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248</w:t>
            </w:r>
          </w:p>
        </w:tc>
        <w:tc>
          <w:tcPr>
            <w:tcW w:w="86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0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36,070</w:t>
            </w:r>
          </w:p>
        </w:tc>
      </w:tr>
      <w:tr w:rsidR="00CB4C2D" w14:paraId="5B46F31E"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2016–17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164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6,638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2,922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5,393</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965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1,345</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15,786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538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616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2,208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260</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36,835</w:t>
            </w:r>
          </w:p>
        </w:tc>
      </w:tr>
      <w:tr w:rsidR="00CB4C2D" w14:paraId="5B46F32C"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1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2017–18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165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6,752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2,886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5,391</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1,120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1,440</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16,544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625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2,201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246</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37,902</w:t>
            </w:r>
          </w:p>
        </w:tc>
      </w:tr>
      <w:tr w:rsidR="00CB4C2D" w14:paraId="5B46F33A"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2018–19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178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2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6,824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2,973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4,401</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1,138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1,454</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17,069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617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684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2,533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267</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38,139</w:t>
            </w:r>
          </w:p>
        </w:tc>
      </w:tr>
      <w:tr w:rsidR="00CB4C2D" w14:paraId="5B46F348"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2019–20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115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7,232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2,719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3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3,853</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1,179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1,470</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17,704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659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705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2,261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212</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38,109</w:t>
            </w:r>
          </w:p>
        </w:tc>
      </w:tr>
      <w:tr w:rsidR="00CB4C2D" w14:paraId="5B46F356"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2020–21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145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8,272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1,982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4,455</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1,097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4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1,469</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18,479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766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729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1,886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203</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39,481</w:t>
            </w:r>
          </w:p>
        </w:tc>
      </w:tr>
      <w:tr w:rsidR="00CB4C2D" w14:paraId="5B46F364"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2021–22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169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10,272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2,420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4,334</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1,147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1,560</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20,135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5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844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747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2,205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225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44,058</w:t>
            </w:r>
          </w:p>
        </w:tc>
      </w:tr>
      <w:tr w:rsidR="00CB4C2D" w14:paraId="5B46F372"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2022–23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218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10,952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3,234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4,169</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1,364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1,682</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22,116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998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837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2,686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249</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48,504</w:t>
            </w:r>
          </w:p>
        </w:tc>
      </w:tr>
      <w:tr w:rsidR="00CB4C2D" w14:paraId="5B46F380" w14:textId="77777777">
        <w:trPr>
          <w:jc w:val="center"/>
        </w:trPr>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2023–24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12,852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3,704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4,029</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1,546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1,790</w:t>
            </w:r>
          </w:p>
        </w:tc>
        <w:tc>
          <w:tcPr>
            <w:tcW w:w="129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23,094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1,164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884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2,660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365</w:t>
            </w:r>
          </w:p>
        </w:tc>
        <w:tc>
          <w:tcPr>
            <w:tcW w:w="8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52,301</w:t>
            </w:r>
          </w:p>
        </w:tc>
      </w:tr>
      <w:tr w:rsidR="00CB4C2D" w14:paraId="5B46F38E" w14:textId="77777777">
        <w:trPr>
          <w:jc w:val="center"/>
        </w:trPr>
        <w:tc>
          <w:tcPr>
            <w:tcW w:w="9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2024–25</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218</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13,352</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3,848</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4,186</w:t>
            </w:r>
          </w:p>
        </w:tc>
        <w:tc>
          <w:tcPr>
            <w:tcW w:w="129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1,606</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1,860</w:t>
            </w:r>
          </w:p>
        </w:tc>
        <w:tc>
          <w:tcPr>
            <w:tcW w:w="129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23,945</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1,240</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937</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2,818</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382</w:t>
            </w:r>
          </w:p>
        </w:tc>
        <w:tc>
          <w:tcPr>
            <w:tcW w:w="86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8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18"/>
                <w:szCs w:val="18"/>
              </w:rPr>
            </w:pPr>
            <w:r>
              <w:rPr>
                <w:rFonts w:ascii="Arial" w:eastAsia="Arial" w:hAnsi="Arial" w:cs="Arial"/>
                <w:color w:val="000000"/>
                <w:sz w:val="18"/>
                <w:szCs w:val="18"/>
              </w:rPr>
              <w:t>54,393</w:t>
            </w:r>
          </w:p>
        </w:tc>
      </w:tr>
    </w:tbl>
    <w:p w14:paraId="5B46F38F"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23.</w:t>
      </w:r>
    </w:p>
    <w:p w14:paraId="5B46F390" w14:textId="77777777" w:rsidR="00CB4C2D" w:rsidRDefault="00397949">
      <w:pPr>
        <w:pStyle w:val="Heading3"/>
      </w:pPr>
      <w:bookmarkStart w:id="148" w:name="explanatory-notes-44"/>
      <w:r>
        <w:rPr>
          <w:bCs/>
        </w:rPr>
        <w:t>Explanatory notes</w:t>
      </w:r>
    </w:p>
    <w:p w14:paraId="5B46F391" w14:textId="5BAB991E" w:rsidR="00CB4C2D" w:rsidRPr="00644071" w:rsidRDefault="00397949">
      <w:pPr>
        <w:pBdr>
          <w:top w:val="none" w:sz="0" w:space="0" w:color="000000"/>
          <w:left w:val="none" w:sz="0" w:space="0" w:color="000000"/>
          <w:bottom w:val="none" w:sz="0" w:space="0" w:color="000000"/>
          <w:right w:val="none" w:sz="0" w:space="0" w:color="000000"/>
        </w:pBdr>
        <w:spacing w:after="0"/>
      </w:pPr>
      <w:r w:rsidRPr="006A0CEE">
        <w:rPr>
          <w:rFonts w:ascii="Calibri (Body)" w:eastAsia="Calibri (Body)" w:hAnsi="Calibri (Body)" w:cs="Calibri (Body)"/>
          <w:color w:val="000000"/>
        </w:rPr>
        <w:t>Both specialised and support activit</w:t>
      </w:r>
      <w:r w:rsidR="002735D5" w:rsidRPr="006A0CEE">
        <w:rPr>
          <w:rFonts w:ascii="Calibri (Body)" w:eastAsia="Calibri (Body)" w:hAnsi="Calibri (Body)" w:cs="Calibri (Body)"/>
          <w:color w:val="000000"/>
        </w:rPr>
        <w:t>y</w:t>
      </w:r>
      <w:r w:rsidRPr="006A0CEE">
        <w:rPr>
          <w:rFonts w:ascii="Calibri (Body)" w:eastAsia="Calibri (Body)" w:hAnsi="Calibri (Body)" w:cs="Calibri (Body)"/>
          <w:color w:val="000000"/>
        </w:rPr>
        <w:t xml:space="preserve"> are captured </w:t>
      </w:r>
      <w:r w:rsidR="002735D5" w:rsidRPr="006A0CEE">
        <w:rPr>
          <w:rFonts w:ascii="Calibri (Body)" w:eastAsia="Calibri (Body)" w:hAnsi="Calibri (Body)" w:cs="Calibri (Body)"/>
          <w:color w:val="000000"/>
        </w:rPr>
        <w:t>within</w:t>
      </w:r>
      <w:r w:rsidRPr="006A0CEE">
        <w:rPr>
          <w:rFonts w:ascii="Calibri (Body)" w:eastAsia="Calibri (Body)" w:hAnsi="Calibri (Body)" w:cs="Calibri (Body)"/>
          <w:color w:val="000000"/>
        </w:rPr>
        <w:t xml:space="preserve"> cultural and creative industries</w:t>
      </w:r>
      <w:r w:rsidR="002735D5" w:rsidRPr="006A0CEE">
        <w:rPr>
          <w:rFonts w:ascii="Calibri (Body)" w:eastAsia="Calibri (Body)" w:hAnsi="Calibri (Body)" w:cs="Calibri (Body)"/>
          <w:color w:val="000000"/>
        </w:rPr>
        <w:t xml:space="preserve">, with </w:t>
      </w:r>
      <w:r w:rsidRPr="006A0CEE">
        <w:rPr>
          <w:rFonts w:ascii="Calibri (Body)" w:eastAsia="Calibri (Body)" w:hAnsi="Calibri (Body)" w:cs="Calibri (Body)"/>
          <w:color w:val="000000"/>
        </w:rPr>
        <w:t xml:space="preserve">in-scope industries </w:t>
      </w:r>
      <w:r w:rsidR="002735D5" w:rsidRPr="006A0CEE">
        <w:rPr>
          <w:rFonts w:ascii="Calibri (Body)" w:eastAsia="Calibri (Body)" w:hAnsi="Calibri (Body)" w:cs="Calibri (Body)"/>
          <w:color w:val="000000"/>
        </w:rPr>
        <w:t>further broken down into</w:t>
      </w:r>
      <w:r w:rsidRPr="006A0CEE">
        <w:rPr>
          <w:rFonts w:ascii="Calibri (Body)" w:eastAsia="Calibri (Body)" w:hAnsi="Calibri (Body)" w:cs="Calibri (Body)"/>
          <w:color w:val="000000"/>
        </w:rPr>
        <w:t xml:space="preserve"> 11 subdivisions</w:t>
      </w:r>
      <w:r w:rsidR="002735D5" w:rsidRPr="006A0CEE">
        <w:rPr>
          <w:rFonts w:ascii="Calibri (Body)" w:eastAsia="Calibri (Body)" w:hAnsi="Calibri (Body)" w:cs="Calibri (Body)"/>
          <w:color w:val="000000"/>
        </w:rPr>
        <w:t xml:space="preserve"> at the </w:t>
      </w:r>
      <w:r w:rsidRPr="006A0CEE">
        <w:rPr>
          <w:rFonts w:ascii="Calibri (Body)" w:eastAsia="Calibri (Body)" w:hAnsi="Calibri (Body)" w:cs="Calibri (Body)"/>
          <w:color w:val="000000"/>
        </w:rPr>
        <w:t>2-digit ANZSIC</w:t>
      </w:r>
      <w:r w:rsidR="002735D5" w:rsidRPr="006A0CEE">
        <w:rPr>
          <w:rFonts w:ascii="Calibri (Body)" w:eastAsia="Calibri (Body)" w:hAnsi="Calibri (Body)" w:cs="Calibri (Body)"/>
          <w:color w:val="000000"/>
        </w:rPr>
        <w:t xml:space="preserve"> level</w:t>
      </w:r>
      <w:r w:rsidRPr="006A0CEE">
        <w:rPr>
          <w:rFonts w:ascii="Calibri (Body)" w:eastAsia="Calibri (Body)" w:hAnsi="Calibri (Body)" w:cs="Calibri (Body)"/>
          <w:color w:val="000000"/>
        </w:rPr>
        <w:t>.</w:t>
      </w:r>
    </w:p>
    <w:p w14:paraId="5B46F392" w14:textId="77777777" w:rsidR="00CB4C2D" w:rsidRDefault="00397949">
      <w:r>
        <w:br w:type="page"/>
      </w:r>
    </w:p>
    <w:p w14:paraId="5B46F393" w14:textId="77777777" w:rsidR="00CB4C2D" w:rsidRDefault="00397949">
      <w:pPr>
        <w:pStyle w:val="Heading2"/>
      </w:pPr>
      <w:bookmarkStart w:id="149" w:name="_Toc234836057"/>
      <w:bookmarkStart w:id="150" w:name="X4140d570b2455a6093913bdf069ca86b88f6bed"/>
      <w:bookmarkEnd w:id="147"/>
      <w:bookmarkEnd w:id="148"/>
      <w:r>
        <w:rPr>
          <w:b/>
          <w:bCs/>
        </w:rPr>
        <w:lastRenderedPageBreak/>
        <w:t>Table 22: Embedded activity, 2015–16 to 2024–25 ($m)</w:t>
      </w:r>
      <w:bookmarkEnd w:id="149"/>
    </w:p>
    <w:tbl>
      <w:tblPr>
        <w:tblW w:w="0" w:type="auto"/>
        <w:jc w:val="center"/>
        <w:tblLayout w:type="fixed"/>
        <w:tblLook w:val="0420" w:firstRow="1" w:lastRow="0" w:firstColumn="0" w:lastColumn="0" w:noHBand="0" w:noVBand="1"/>
      </w:tblPr>
      <w:tblGrid>
        <w:gridCol w:w="1008"/>
        <w:gridCol w:w="1584"/>
        <w:gridCol w:w="1440"/>
        <w:gridCol w:w="1152"/>
        <w:gridCol w:w="1152"/>
        <w:gridCol w:w="1440"/>
        <w:gridCol w:w="1440"/>
        <w:gridCol w:w="1584"/>
        <w:gridCol w:w="1440"/>
        <w:gridCol w:w="936"/>
      </w:tblGrid>
      <w:tr w:rsidR="00CB4C2D" w14:paraId="5B46F39E" w14:textId="77777777">
        <w:trPr>
          <w:tblHeader/>
          <w:jc w:val="center"/>
        </w:trPr>
        <w:tc>
          <w:tcPr>
            <w:tcW w:w="100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4" w14:textId="3FA30354" w:rsidR="00CB4C2D" w:rsidRDefault="00D90D7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sidRPr="00D90D7C">
              <w:rPr>
                <w:rFonts w:ascii="Arial" w:eastAsia="Arial" w:hAnsi="Arial" w:cs="Arial"/>
                <w:color w:val="000000"/>
                <w:sz w:val="20"/>
                <w:szCs w:val="20"/>
              </w:rPr>
              <w:t>Period</w:t>
            </w:r>
          </w:p>
        </w:tc>
        <w:tc>
          <w:tcPr>
            <w:tcW w:w="158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Manufacturing</w:t>
            </w:r>
          </w:p>
        </w:tc>
        <w:tc>
          <w:tcPr>
            <w:tcW w:w="14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Construction</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Wholesale Trade</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Retail Trade</w:t>
            </w:r>
          </w:p>
        </w:tc>
        <w:tc>
          <w:tcPr>
            <w:tcW w:w="14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Information Media and Telecommunications</w:t>
            </w:r>
          </w:p>
        </w:tc>
        <w:tc>
          <w:tcPr>
            <w:tcW w:w="14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Professional, Scientific and Technical Services</w:t>
            </w:r>
          </w:p>
        </w:tc>
        <w:tc>
          <w:tcPr>
            <w:tcW w:w="158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Administrative and Support Services</w:t>
            </w:r>
          </w:p>
        </w:tc>
        <w:tc>
          <w:tcPr>
            <w:tcW w:w="144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Arts and Recreation Services</w:t>
            </w:r>
          </w:p>
        </w:tc>
        <w:tc>
          <w:tcPr>
            <w:tcW w:w="93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39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Total</w:t>
            </w:r>
          </w:p>
        </w:tc>
      </w:tr>
      <w:tr w:rsidR="00CB4C2D" w14:paraId="5B46F3A9" w14:textId="77777777">
        <w:trPr>
          <w:jc w:val="center"/>
        </w:trPr>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9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2015–16</w:t>
            </w:r>
          </w:p>
        </w:tc>
        <w:tc>
          <w:tcPr>
            <w:tcW w:w="158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2,778</w:t>
            </w:r>
          </w:p>
        </w:tc>
        <w:tc>
          <w:tcPr>
            <w:tcW w:w="14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1,032</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1,631</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338</w:t>
            </w:r>
          </w:p>
        </w:tc>
        <w:tc>
          <w:tcPr>
            <w:tcW w:w="14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73</w:t>
            </w:r>
          </w:p>
        </w:tc>
        <w:tc>
          <w:tcPr>
            <w:tcW w:w="14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2,746</w:t>
            </w:r>
          </w:p>
        </w:tc>
        <w:tc>
          <w:tcPr>
            <w:tcW w:w="158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638</w:t>
            </w:r>
          </w:p>
        </w:tc>
        <w:tc>
          <w:tcPr>
            <w:tcW w:w="14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51</w:t>
            </w:r>
          </w:p>
        </w:tc>
        <w:tc>
          <w:tcPr>
            <w:tcW w:w="9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9,287</w:t>
            </w:r>
          </w:p>
        </w:tc>
      </w:tr>
      <w:tr w:rsidR="00CB4C2D" w14:paraId="5B46F3B4"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2016–17</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2,661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1,045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1,713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A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79</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3,233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662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9,761</w:t>
            </w:r>
          </w:p>
        </w:tc>
      </w:tr>
      <w:tr w:rsidR="00CB4C2D" w14:paraId="5B46F3BF"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2017–18</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2,563</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1,347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1,365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85</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3,267</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744</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48</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B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9,718</w:t>
            </w:r>
          </w:p>
        </w:tc>
      </w:tr>
      <w:tr w:rsidR="00CB4C2D" w14:paraId="5B46F3CA"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2018–19</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2,758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1,325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1,268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250</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85</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3,436</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804</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58</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9,984</w:t>
            </w:r>
          </w:p>
        </w:tc>
      </w:tr>
      <w:tr w:rsidR="00CB4C2D" w14:paraId="5B46F3D5"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2019–20</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2,513</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1,354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1,192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C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221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65</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3,331</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751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57</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9,483</w:t>
            </w:r>
          </w:p>
        </w:tc>
      </w:tr>
      <w:tr w:rsidR="00CB4C2D" w14:paraId="5B46F3E0"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2020–21</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2,614</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1,384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1,253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232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56</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3,473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743</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54</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D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9,809</w:t>
            </w:r>
          </w:p>
        </w:tc>
      </w:tr>
      <w:tr w:rsidR="00CB4C2D" w14:paraId="5B46F3EB"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2021–22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2,609</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1,440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1,294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241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89</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3,934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968</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56</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10,631</w:t>
            </w:r>
          </w:p>
        </w:tc>
      </w:tr>
      <w:tr w:rsidR="00CB4C2D" w14:paraId="5B46F3F6"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2022–23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2,722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1,625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E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1,464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296</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106</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4,352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950</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47</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11,563</w:t>
            </w:r>
          </w:p>
        </w:tc>
      </w:tr>
      <w:tr w:rsidR="00CB4C2D" w14:paraId="5B46F401" w14:textId="77777777">
        <w:trPr>
          <w:jc w:val="center"/>
        </w:trPr>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2023–24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2,739</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1,750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1,520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332</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101</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4,516</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957</w:t>
            </w:r>
          </w:p>
        </w:tc>
        <w:tc>
          <w:tcPr>
            <w:tcW w:w="14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3F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56</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0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11,971</w:t>
            </w:r>
          </w:p>
        </w:tc>
      </w:tr>
      <w:tr w:rsidR="00CB4C2D" w14:paraId="5B46F40C" w14:textId="77777777">
        <w:trPr>
          <w:jc w:val="center"/>
        </w:trPr>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2024–25</w:t>
            </w:r>
          </w:p>
        </w:tc>
        <w:tc>
          <w:tcPr>
            <w:tcW w:w="158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2,809</w:t>
            </w:r>
          </w:p>
        </w:tc>
        <w:tc>
          <w:tcPr>
            <w:tcW w:w="14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1,839</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1,540</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341</w:t>
            </w:r>
          </w:p>
        </w:tc>
        <w:tc>
          <w:tcPr>
            <w:tcW w:w="14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105</w:t>
            </w:r>
          </w:p>
        </w:tc>
        <w:tc>
          <w:tcPr>
            <w:tcW w:w="14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4,683</w:t>
            </w:r>
          </w:p>
        </w:tc>
        <w:tc>
          <w:tcPr>
            <w:tcW w:w="158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998</w:t>
            </w:r>
          </w:p>
        </w:tc>
        <w:tc>
          <w:tcPr>
            <w:tcW w:w="14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59</w:t>
            </w:r>
          </w:p>
        </w:tc>
        <w:tc>
          <w:tcPr>
            <w:tcW w:w="9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0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sz w:val="20"/>
                <w:szCs w:val="20"/>
              </w:rPr>
            </w:pPr>
            <w:r>
              <w:rPr>
                <w:rFonts w:ascii="Arial" w:eastAsia="Arial" w:hAnsi="Arial" w:cs="Arial"/>
                <w:color w:val="000000"/>
                <w:sz w:val="20"/>
                <w:szCs w:val="20"/>
              </w:rPr>
              <w:t>12,374</w:t>
            </w:r>
          </w:p>
        </w:tc>
      </w:tr>
    </w:tbl>
    <w:p w14:paraId="5B46F40D"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 Corresponding reference: Cultural and Creative Activity in Australia, 2008–09 to 2022–23 (Methodology Refresh), Table 24.</w:t>
      </w:r>
    </w:p>
    <w:p w14:paraId="5B46F40E" w14:textId="77777777" w:rsidR="00CB4C2D" w:rsidRDefault="00397949">
      <w:pPr>
        <w:pStyle w:val="Heading3"/>
      </w:pPr>
      <w:bookmarkStart w:id="151" w:name="explanatory-notes-45"/>
      <w:r>
        <w:rPr>
          <w:bCs/>
        </w:rPr>
        <w:t>Explanatory notes</w:t>
      </w:r>
    </w:p>
    <w:p w14:paraId="5B46F40F" w14:textId="586F0CB4" w:rsidR="00CB4C2D" w:rsidRDefault="00397949">
      <w:r>
        <w:t xml:space="preserve">Embedded activity contributed $12.4 billion of cultural and creative activity GVA in 2024–25, </w:t>
      </w:r>
      <w:r w:rsidR="00481BDD">
        <w:t>a</w:t>
      </w:r>
      <w:r>
        <w:t>ccount</w:t>
      </w:r>
      <w:r w:rsidR="00481BDD">
        <w:t>ing</w:t>
      </w:r>
      <w:r>
        <w:t xml:space="preserve"> for 18.5% of total cultural and creative activity. Most embedded activity was produced from Professional, Scientific and Technical Services and Manufacturing industries. This was because some cultural and creative activities – such as management services (including business, artists, entertainers and sporting professionals), manufacturing products of printing materials and crafts – have only been identified as in-scope activities through their product levels rather than industry levels. As a result, the economic value produced by these activities was only estimated as embedded activity.</w:t>
      </w:r>
    </w:p>
    <w:p w14:paraId="5B46F410" w14:textId="77777777" w:rsidR="00CB4C2D" w:rsidRDefault="00397949">
      <w:r>
        <w:br w:type="page"/>
      </w:r>
    </w:p>
    <w:p w14:paraId="5B46F411" w14:textId="77777777" w:rsidR="00CB4C2D" w:rsidRDefault="00397949">
      <w:pPr>
        <w:pStyle w:val="Heading2"/>
      </w:pPr>
      <w:bookmarkStart w:id="152" w:name="_Toc234836058"/>
      <w:bookmarkStart w:id="153" w:name="table-23-revisions-from-201516-to-202324"/>
      <w:bookmarkEnd w:id="150"/>
      <w:bookmarkEnd w:id="151"/>
      <w:r>
        <w:rPr>
          <w:b/>
          <w:bCs/>
        </w:rPr>
        <w:lastRenderedPageBreak/>
        <w:t>Table 23: Revisions from 2015–16 to 2023–24</w:t>
      </w:r>
      <w:bookmarkEnd w:id="152"/>
    </w:p>
    <w:tbl>
      <w:tblPr>
        <w:tblW w:w="0" w:type="auto"/>
        <w:jc w:val="center"/>
        <w:tblLayout w:type="fixed"/>
        <w:tblLook w:val="0420" w:firstRow="1" w:lastRow="0" w:firstColumn="0" w:lastColumn="0" w:noHBand="0" w:noVBand="1"/>
      </w:tblPr>
      <w:tblGrid>
        <w:gridCol w:w="1080"/>
        <w:gridCol w:w="2880"/>
        <w:gridCol w:w="2880"/>
        <w:gridCol w:w="2880"/>
        <w:gridCol w:w="2880"/>
      </w:tblGrid>
      <w:tr w:rsidR="00CB4C2D" w14:paraId="5B46F417" w14:textId="77777777">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1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Period</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1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Cultural and creative activity gross value added (GVA)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1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Net taxes on products of cultural and creative activity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1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Cultural and creative activity GDP ($m)</w:t>
            </w:r>
          </w:p>
        </w:tc>
        <w:tc>
          <w:tcPr>
            <w:tcW w:w="28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1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Cultural and creative activity as a share of GDP (%)</w:t>
            </w:r>
          </w:p>
        </w:tc>
      </w:tr>
      <w:tr w:rsidR="00CB4C2D" w14:paraId="5B46F41D" w14:textId="77777777">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1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2015–16</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1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149</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1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1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149</w:t>
            </w:r>
          </w:p>
        </w:tc>
        <w:tc>
          <w:tcPr>
            <w:tcW w:w="28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1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23"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1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2016–17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1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194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29"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2017–18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181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2F"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2018–19</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157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2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35"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2019–20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137</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138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3B"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2020–21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-140</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41"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2021–22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-92</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-6</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3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-98</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40"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47" w14:textId="77777777">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4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2022–23</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4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-55</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44"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4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-54</w:t>
            </w:r>
          </w:p>
        </w:tc>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44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r w:rsidR="00CB4C2D" w14:paraId="5B46F44D" w14:textId="77777777">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48"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2023–24</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4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117</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4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125</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4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242</w:t>
            </w:r>
          </w:p>
        </w:tc>
        <w:tc>
          <w:tcPr>
            <w:tcW w:w="28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46F44C"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color w:val="000000"/>
              </w:rPr>
            </w:pPr>
            <w:r>
              <w:rPr>
                <w:rFonts w:ascii="Arial" w:eastAsia="Arial" w:hAnsi="Arial" w:cs="Arial"/>
                <w:color w:val="000000"/>
              </w:rPr>
              <w:t>0.0</w:t>
            </w:r>
          </w:p>
        </w:tc>
      </w:tr>
    </w:tbl>
    <w:p w14:paraId="5B46F44E" w14:textId="77777777" w:rsidR="00CB4C2D" w:rsidRDefault="00397949">
      <w:pPr>
        <w:pBdr>
          <w:top w:val="none" w:sz="0" w:space="0" w:color="000000"/>
          <w:left w:val="none" w:sz="0" w:space="0" w:color="000000"/>
          <w:bottom w:val="none" w:sz="0" w:space="0" w:color="000000"/>
          <w:right w:val="none" w:sz="0" w:space="0" w:color="000000"/>
        </w:pBdr>
        <w:spacing w:after="0"/>
      </w:pPr>
      <w:r>
        <w:rPr>
          <w:rFonts w:ascii="Calibri (Body)" w:eastAsia="Calibri (Body)" w:hAnsi="Calibri (Body)" w:cs="Calibri (Body)"/>
          <w:color w:val="000000"/>
          <w:sz w:val="20"/>
          <w:szCs w:val="20"/>
        </w:rPr>
        <w:t>Source: ABS Australian System of National Accounts, Australian National Accounts: Input-Output Tables (Product Details); Australian National Accounts: Supply Use Tables; BCARR calculations.</w:t>
      </w:r>
    </w:p>
    <w:p w14:paraId="5B46F44F" w14:textId="77777777" w:rsidR="00CB4C2D" w:rsidRDefault="00397949">
      <w:pPr>
        <w:pStyle w:val="Heading3"/>
      </w:pPr>
      <w:bookmarkStart w:id="154" w:name="explanatory-notes-46"/>
      <w:r>
        <w:rPr>
          <w:bCs/>
        </w:rPr>
        <w:t>Explanatory notes</w:t>
      </w:r>
    </w:p>
    <w:p w14:paraId="5B46F451" w14:textId="15CF4952" w:rsidR="00CB4C2D" w:rsidRDefault="00397949">
      <w:r>
        <w:t>The estimates of cultural and creative activity from 2015–16 to 2023–24 are derived from the ABS National Accounts data: Australian System of National Accounts, 2024–25, Australian National Accounts: Supply Use Tables, 2023–24, and Australian National Accounts: Input-Output Tables, 2023–24.</w:t>
      </w:r>
      <w:r w:rsidR="001E039D">
        <w:t xml:space="preserve"> </w:t>
      </w:r>
      <w:r>
        <w:t>As a result of revisions</w:t>
      </w:r>
      <w:r w:rsidR="001E039D">
        <w:t xml:space="preserve"> to these data sources</w:t>
      </w:r>
      <w:r>
        <w:t xml:space="preserve">, BCARR’s updated estimates of cultural and creative activity </w:t>
      </w:r>
      <w:r w:rsidR="001E039D">
        <w:t xml:space="preserve">differ from those published in </w:t>
      </w:r>
      <w:r>
        <w:t xml:space="preserve">previous releases. </w:t>
      </w:r>
      <w:r w:rsidR="001E039D">
        <w:t>T</w:t>
      </w:r>
      <w:r>
        <w:t xml:space="preserve">he </w:t>
      </w:r>
      <w:r w:rsidR="001E039D">
        <w:t xml:space="preserve">revised estimates cover </w:t>
      </w:r>
      <w:r>
        <w:t>2015–16 to 2023–24</w:t>
      </w:r>
      <w:r w:rsidR="001E039D">
        <w:t xml:space="preserve"> and are </w:t>
      </w:r>
      <w:r>
        <w:t xml:space="preserve">compared </w:t>
      </w:r>
      <w:r w:rsidR="001E039D">
        <w:t xml:space="preserve">with </w:t>
      </w:r>
      <w:r>
        <w:t xml:space="preserve">BCARR’s previous estimates </w:t>
      </w:r>
      <w:r w:rsidR="001E039D">
        <w:t>published in</w:t>
      </w:r>
      <w:r>
        <w:t xml:space="preserve"> Cultural and Creative Activity in Australia, 2014–15 to 2023–24 </w:t>
      </w:r>
      <w:r w:rsidR="001E039D">
        <w:t>(shown in</w:t>
      </w:r>
      <w:r>
        <w:t xml:space="preserve"> nominal values</w:t>
      </w:r>
      <w:r w:rsidR="001E039D">
        <w:t>)</w:t>
      </w:r>
      <w:r>
        <w:t>.</w:t>
      </w:r>
    </w:p>
    <w:p w14:paraId="5B46F452" w14:textId="77777777" w:rsidR="00CB4C2D" w:rsidRDefault="00397949">
      <w:r>
        <w:br w:type="page"/>
      </w:r>
    </w:p>
    <w:p w14:paraId="5B46F453" w14:textId="77777777" w:rsidR="00CB4C2D" w:rsidRDefault="00397949">
      <w:pPr>
        <w:pStyle w:val="Heading2"/>
      </w:pPr>
      <w:bookmarkStart w:id="155" w:name="_Toc234836059"/>
      <w:bookmarkStart w:id="156" w:name="Xdfb5b86cfbf958c3ed63bc7a303ce4dcec0eb7a"/>
      <w:bookmarkEnd w:id="153"/>
      <w:bookmarkEnd w:id="154"/>
      <w:r>
        <w:lastRenderedPageBreak/>
        <w:t>Appendix: Scope of cultural and creative domains</w:t>
      </w:r>
      <w:bookmarkEnd w:id="155"/>
    </w:p>
    <w:p w14:paraId="5B46F454" w14:textId="77777777" w:rsidR="00CB4C2D" w:rsidRDefault="00397949">
      <w:r>
        <w:t>Cultural and creative activities are grouped by 15 domains. The activities within the domains are grouped in terms of the input-output product classification (IOPC) codes, and the Australian and New Zealand Standard Industrial Classification 2006 (ANZSIC 06) class codes.</w:t>
      </w:r>
    </w:p>
    <w:tbl>
      <w:tblPr>
        <w:tblW w:w="0" w:type="auto"/>
        <w:jc w:val="center"/>
        <w:tblLayout w:type="fixed"/>
        <w:tblLook w:val="0420" w:firstRow="1" w:lastRow="0" w:firstColumn="0" w:lastColumn="0" w:noHBand="0" w:noVBand="1"/>
      </w:tblPr>
      <w:tblGrid>
        <w:gridCol w:w="576"/>
        <w:gridCol w:w="3888"/>
        <w:gridCol w:w="9792"/>
      </w:tblGrid>
      <w:tr w:rsidR="00CB4C2D" w14:paraId="5B46F458" w14:textId="77777777">
        <w:trPr>
          <w:tblHeader/>
          <w:jc w:val="center"/>
        </w:trPr>
        <w:tc>
          <w:tcPr>
            <w:tcW w:w="57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6F45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w:t>
            </w:r>
          </w:p>
        </w:tc>
        <w:tc>
          <w:tcPr>
            <w:tcW w:w="388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6F45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Domain name</w:t>
            </w:r>
          </w:p>
        </w:tc>
        <w:tc>
          <w:tcPr>
            <w:tcW w:w="97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6F45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Domain scope</w:t>
            </w:r>
          </w:p>
        </w:tc>
      </w:tr>
      <w:tr w:rsidR="00CB4C2D" w14:paraId="5B46F45C" w14:textId="77777777">
        <w:trPr>
          <w:jc w:val="center"/>
        </w:trPr>
        <w:tc>
          <w:tcPr>
            <w:tcW w:w="57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5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w:t>
            </w:r>
          </w:p>
        </w:tc>
        <w:tc>
          <w:tcPr>
            <w:tcW w:w="388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5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Literature, creative and performing arts</w:t>
            </w:r>
          </w:p>
        </w:tc>
        <w:tc>
          <w:tcPr>
            <w:tcW w:w="97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5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includes:</w:t>
            </w:r>
            <w:r>
              <w:rPr>
                <w:rFonts w:ascii="Arial" w:eastAsia="Arial" w:hAnsi="Arial" w:cs="Arial"/>
                <w:color w:val="000000"/>
                <w:sz w:val="20"/>
                <w:szCs w:val="20"/>
              </w:rPr>
              <w:br/>
              <w:t>• Performing arts operations which provide or produce live theatrical or musical presentations or performances.</w:t>
            </w:r>
            <w:r>
              <w:rPr>
                <w:rFonts w:ascii="Arial" w:eastAsia="Arial" w:hAnsi="Arial" w:cs="Arial"/>
                <w:color w:val="000000"/>
                <w:sz w:val="20"/>
                <w:szCs w:val="20"/>
              </w:rPr>
              <w:br/>
              <w:t>• Creative artists, musicians, writers and performers who are independent individuals or groups mainly engaged in the regular creation of original artistic or cultural works.</w:t>
            </w:r>
            <w:r>
              <w:rPr>
                <w:rFonts w:ascii="Arial" w:eastAsia="Arial" w:hAnsi="Arial" w:cs="Arial"/>
                <w:color w:val="000000"/>
                <w:sz w:val="20"/>
                <w:szCs w:val="20"/>
              </w:rPr>
              <w:br/>
              <w:t>• Performing arts venue operations that operate venues for the presentation and rehearsal of performing arts.</w:t>
            </w:r>
            <w:r>
              <w:rPr>
                <w:rFonts w:ascii="Arial" w:eastAsia="Arial" w:hAnsi="Arial" w:cs="Arial"/>
                <w:color w:val="000000"/>
                <w:sz w:val="20"/>
                <w:szCs w:val="20"/>
              </w:rPr>
              <w:br/>
              <w:t>Visual arts creation activities are excluded from this domain.</w:t>
            </w:r>
          </w:p>
        </w:tc>
      </w:tr>
      <w:tr w:rsidR="00CB4C2D" w14:paraId="5B46F460"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5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5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Visual arts and crafts</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5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includes:</w:t>
            </w:r>
            <w:r>
              <w:rPr>
                <w:rFonts w:ascii="Arial" w:eastAsia="Arial" w:hAnsi="Arial" w:cs="Arial"/>
                <w:color w:val="000000"/>
                <w:sz w:val="20"/>
                <w:szCs w:val="20"/>
              </w:rPr>
              <w:br/>
              <w:t>• Activities of independent artists, e.g. sculptors, painters, etc.</w:t>
            </w:r>
            <w:r>
              <w:rPr>
                <w:rFonts w:ascii="Arial" w:eastAsia="Arial" w:hAnsi="Arial" w:cs="Arial"/>
                <w:color w:val="000000"/>
                <w:sz w:val="20"/>
                <w:szCs w:val="20"/>
              </w:rPr>
              <w:br/>
              <w:t>• Manufacturing products of crafts including tableware, ornamental pottery, glassware, jewellery and silverware.</w:t>
            </w:r>
            <w:r>
              <w:rPr>
                <w:rFonts w:ascii="Arial" w:eastAsia="Arial" w:hAnsi="Arial" w:cs="Arial"/>
                <w:color w:val="000000"/>
                <w:sz w:val="20"/>
                <w:szCs w:val="20"/>
              </w:rPr>
              <w:br/>
              <w:t>• Professional photographic services.</w:t>
            </w:r>
            <w:r>
              <w:rPr>
                <w:rFonts w:ascii="Arial" w:eastAsia="Arial" w:hAnsi="Arial" w:cs="Arial"/>
                <w:color w:val="000000"/>
                <w:sz w:val="20"/>
                <w:szCs w:val="20"/>
              </w:rPr>
              <w:br/>
              <w:t>• Photographic film processing activities.</w:t>
            </w:r>
          </w:p>
        </w:tc>
      </w:tr>
      <w:tr w:rsidR="00CB4C2D" w14:paraId="5B46F464"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Music production and distribution</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includes:</w:t>
            </w:r>
            <w:r>
              <w:rPr>
                <w:rFonts w:ascii="Arial" w:eastAsia="Arial" w:hAnsi="Arial" w:cs="Arial"/>
                <w:color w:val="000000"/>
                <w:sz w:val="20"/>
                <w:szCs w:val="20"/>
              </w:rPr>
              <w:br/>
              <w:t>• Musical instruments (including parts and accessories).</w:t>
            </w:r>
            <w:r>
              <w:rPr>
                <w:rFonts w:ascii="Arial" w:eastAsia="Arial" w:hAnsi="Arial" w:cs="Arial"/>
                <w:color w:val="000000"/>
                <w:sz w:val="20"/>
                <w:szCs w:val="20"/>
              </w:rPr>
              <w:br/>
              <w:t>• Music publishing activities.</w:t>
            </w:r>
            <w:r>
              <w:rPr>
                <w:rFonts w:ascii="Arial" w:eastAsia="Arial" w:hAnsi="Arial" w:cs="Arial"/>
                <w:color w:val="000000"/>
                <w:sz w:val="20"/>
                <w:szCs w:val="20"/>
              </w:rPr>
              <w:br/>
              <w:t>• Music and other sound recording activities, including studios and distribution.</w:t>
            </w:r>
          </w:p>
        </w:tc>
      </w:tr>
      <w:tr w:rsidR="00CB4C2D" w14:paraId="5B46F468"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Museums and galleries</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consists of museum operations such as the preservation and exhibition of heritage objects and artefacts, including activities in historical places and sites.</w:t>
            </w:r>
          </w:p>
        </w:tc>
      </w:tr>
      <w:tr w:rsidR="00CB4C2D" w14:paraId="5B46F46C"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Film and television activities</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consists of:</w:t>
            </w:r>
            <w:r>
              <w:rPr>
                <w:rFonts w:ascii="Arial" w:eastAsia="Arial" w:hAnsi="Arial" w:cs="Arial"/>
                <w:color w:val="000000"/>
                <w:sz w:val="20"/>
                <w:szCs w:val="20"/>
              </w:rPr>
              <w:br/>
              <w:t>• Motion picture and video production.</w:t>
            </w:r>
            <w:r>
              <w:rPr>
                <w:rFonts w:ascii="Arial" w:eastAsia="Arial" w:hAnsi="Arial" w:cs="Arial"/>
                <w:color w:val="000000"/>
                <w:sz w:val="20"/>
                <w:szCs w:val="20"/>
              </w:rPr>
              <w:br/>
              <w:t>• Distribution and exhibition activities.</w:t>
            </w:r>
            <w:r>
              <w:rPr>
                <w:rFonts w:ascii="Arial" w:eastAsia="Arial" w:hAnsi="Arial" w:cs="Arial"/>
                <w:color w:val="000000"/>
                <w:sz w:val="20"/>
                <w:szCs w:val="20"/>
              </w:rPr>
              <w:br/>
              <w:t xml:space="preserve">• </w:t>
            </w:r>
            <w:proofErr w:type="gramStart"/>
            <w:r>
              <w:rPr>
                <w:rFonts w:ascii="Arial" w:eastAsia="Arial" w:hAnsi="Arial" w:cs="Arial"/>
                <w:color w:val="000000"/>
                <w:sz w:val="20"/>
                <w:szCs w:val="20"/>
              </w:rPr>
              <w:t>Post-production</w:t>
            </w:r>
            <w:proofErr w:type="gramEnd"/>
            <w:r>
              <w:rPr>
                <w:rFonts w:ascii="Arial" w:eastAsia="Arial" w:hAnsi="Arial" w:cs="Arial"/>
                <w:color w:val="000000"/>
                <w:sz w:val="20"/>
                <w:szCs w:val="20"/>
              </w:rPr>
              <w:t xml:space="preserve"> services.</w:t>
            </w:r>
            <w:r>
              <w:rPr>
                <w:rFonts w:ascii="Arial" w:eastAsia="Arial" w:hAnsi="Arial" w:cs="Arial"/>
                <w:color w:val="000000"/>
                <w:sz w:val="20"/>
                <w:szCs w:val="20"/>
              </w:rPr>
              <w:br/>
              <w:t>• Free-to-air and subscription television broadcasting.</w:t>
            </w:r>
          </w:p>
        </w:tc>
      </w:tr>
      <w:tr w:rsidR="00CB4C2D" w14:paraId="5B46F470"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Radio broadcasting</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6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Radio broadcasting is mainly engaged in broadcasting audio signals using radio broadcasting studios and facilities.</w:t>
            </w:r>
          </w:p>
        </w:tc>
      </w:tr>
      <w:tr w:rsidR="00CB4C2D" w14:paraId="5B46F474"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Internet publishing and broadcasting</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Internet publishing and broadcasting consists of activities engaged in publishing and/or broadcasting content on the internet.</w:t>
            </w:r>
          </w:p>
        </w:tc>
      </w:tr>
      <w:tr w:rsidR="00CB4C2D" w14:paraId="5B46F478"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lastRenderedPageBreak/>
              <w:t>8</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Libraries and archives</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Libraries and archives include activities such as maintaining collections of documents and facilitating their use.</w:t>
            </w:r>
          </w:p>
        </w:tc>
      </w:tr>
      <w:tr w:rsidR="00CB4C2D" w14:paraId="5B46F47C"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Print media and publishing (excl. internet)</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includes:</w:t>
            </w:r>
            <w:r>
              <w:rPr>
                <w:rFonts w:ascii="Arial" w:eastAsia="Arial" w:hAnsi="Arial" w:cs="Arial"/>
                <w:color w:val="000000"/>
                <w:sz w:val="20"/>
                <w:szCs w:val="20"/>
              </w:rPr>
              <w:br/>
              <w:t>• Printing products and printing support services.</w:t>
            </w:r>
            <w:r>
              <w:rPr>
                <w:rFonts w:ascii="Arial" w:eastAsia="Arial" w:hAnsi="Arial" w:cs="Arial"/>
                <w:color w:val="000000"/>
                <w:sz w:val="20"/>
                <w:szCs w:val="20"/>
              </w:rPr>
              <w:br/>
              <w:t>• Newspaper, magazine and book publishing.</w:t>
            </w:r>
            <w:r>
              <w:rPr>
                <w:rFonts w:ascii="Arial" w:eastAsia="Arial" w:hAnsi="Arial" w:cs="Arial"/>
                <w:color w:val="000000"/>
                <w:sz w:val="20"/>
                <w:szCs w:val="20"/>
              </w:rPr>
              <w:br/>
              <w:t>• Other publishing activities (excluding software, music and internet).</w:t>
            </w:r>
            <w:r>
              <w:rPr>
                <w:rFonts w:ascii="Arial" w:eastAsia="Arial" w:hAnsi="Arial" w:cs="Arial"/>
                <w:color w:val="000000"/>
                <w:sz w:val="20"/>
                <w:szCs w:val="20"/>
              </w:rPr>
              <w:br/>
              <w:t>• Software publishing and other information services.</w:t>
            </w:r>
          </w:p>
        </w:tc>
      </w:tr>
      <w:tr w:rsidR="00CB4C2D" w14:paraId="5B46F480"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Architecture services</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7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Architecture services consist of planning and designing buildings, structures, and land development.</w:t>
            </w:r>
          </w:p>
        </w:tc>
      </w:tr>
      <w:tr w:rsidR="00CB4C2D" w14:paraId="5B46F484"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Design and fashion</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consists of specialised design services including commercial art, display services, and fashion, interior and jewellery design.</w:t>
            </w:r>
          </w:p>
        </w:tc>
      </w:tr>
      <w:tr w:rsidR="00CB4C2D" w14:paraId="5B46F488"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5"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6"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Advertising and promotion</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7"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includes:</w:t>
            </w:r>
            <w:r>
              <w:rPr>
                <w:rFonts w:ascii="Arial" w:eastAsia="Arial" w:hAnsi="Arial" w:cs="Arial"/>
                <w:color w:val="000000"/>
                <w:sz w:val="20"/>
                <w:szCs w:val="20"/>
              </w:rPr>
              <w:br/>
              <w:t>• Advertising campaign creation and media planning.</w:t>
            </w:r>
            <w:r>
              <w:rPr>
                <w:rFonts w:ascii="Arial" w:eastAsia="Arial" w:hAnsi="Arial" w:cs="Arial"/>
                <w:color w:val="000000"/>
                <w:sz w:val="20"/>
                <w:szCs w:val="20"/>
              </w:rPr>
              <w:br/>
              <w:t>• Management services for businesses, artists and entertainers.</w:t>
            </w:r>
          </w:p>
        </w:tc>
      </w:tr>
      <w:tr w:rsidR="00CB4C2D" w14:paraId="5B46F48C"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9"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A"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Events (arts)</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B"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includes:</w:t>
            </w:r>
            <w:r>
              <w:rPr>
                <w:rFonts w:ascii="Arial" w:eastAsia="Arial" w:hAnsi="Arial" w:cs="Arial"/>
                <w:color w:val="000000"/>
                <w:sz w:val="20"/>
                <w:szCs w:val="20"/>
              </w:rPr>
              <w:br/>
              <w:t>• Theatre, concert ticketing and booking services.</w:t>
            </w:r>
            <w:r>
              <w:rPr>
                <w:rFonts w:ascii="Arial" w:eastAsia="Arial" w:hAnsi="Arial" w:cs="Arial"/>
                <w:color w:val="000000"/>
                <w:sz w:val="20"/>
                <w:szCs w:val="20"/>
              </w:rPr>
              <w:br/>
              <w:t>• Event management or promotion and fund-raising services.</w:t>
            </w:r>
          </w:p>
        </w:tc>
      </w:tr>
      <w:tr w:rsidR="00CB4C2D" w14:paraId="5B46F490" w14:textId="77777777">
        <w:trPr>
          <w:jc w:val="center"/>
        </w:trPr>
        <w:tc>
          <w:tcPr>
            <w:tcW w:w="5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D"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w:t>
            </w:r>
          </w:p>
        </w:tc>
        <w:tc>
          <w:tcPr>
            <w:tcW w:w="3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E"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Arts education</w:t>
            </w:r>
          </w:p>
        </w:tc>
        <w:tc>
          <w:tcPr>
            <w:tcW w:w="9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F48F"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Arts education provides non-vocational instruction in art, dance, drama and music.</w:t>
            </w:r>
          </w:p>
        </w:tc>
      </w:tr>
      <w:tr w:rsidR="00CB4C2D" w14:paraId="5B46F494" w14:textId="77777777">
        <w:trPr>
          <w:jc w:val="center"/>
        </w:trPr>
        <w:tc>
          <w:tcPr>
            <w:tcW w:w="57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6F491"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w:t>
            </w:r>
          </w:p>
        </w:tc>
        <w:tc>
          <w:tcPr>
            <w:tcW w:w="388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6F492"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Digital games development</w:t>
            </w:r>
          </w:p>
        </w:tc>
        <w:tc>
          <w:tcPr>
            <w:tcW w:w="97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6F493" w14:textId="77777777" w:rsidR="00CB4C2D" w:rsidRDefault="00397949">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This domain consists of computer systems, hardware and software design and development services relating to digital games.</w:t>
            </w:r>
          </w:p>
        </w:tc>
      </w:tr>
      <w:bookmarkEnd w:id="1"/>
      <w:bookmarkEnd w:id="156"/>
    </w:tbl>
    <w:p w14:paraId="5B46F495" w14:textId="77777777" w:rsidR="00397949" w:rsidRDefault="00397949"/>
    <w:sectPr w:rsidR="00397949" w:rsidSect="006B71F3">
      <w:headerReference w:type="default" r:id="rId38"/>
      <w:footerReference w:type="default" r:id="rId39"/>
      <w:headerReference w:type="first" r:id="rId40"/>
      <w:footerReference w:type="first" r:id="rId41"/>
      <w:type w:val="continuous"/>
      <w:pgSz w:w="16838" w:h="11906" w:orient="landscape" w:code="9"/>
      <w:pgMar w:top="1021" w:right="1021" w:bottom="1021" w:left="1021"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A4E4A" w14:textId="77777777" w:rsidR="00530D1B" w:rsidRDefault="00530D1B">
      <w:pPr>
        <w:spacing w:after="0"/>
      </w:pPr>
      <w:r>
        <w:separator/>
      </w:r>
    </w:p>
  </w:endnote>
  <w:endnote w:type="continuationSeparator" w:id="0">
    <w:p w14:paraId="1EA2AB1E" w14:textId="77777777" w:rsidR="00530D1B" w:rsidRDefault="00530D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77866"/>
      <w:docPartObj>
        <w:docPartGallery w:val="Page Numbers (Bottom of Page)"/>
        <w:docPartUnique/>
      </w:docPartObj>
    </w:sdtPr>
    <w:sdtEndPr>
      <w:rPr>
        <w:noProof/>
      </w:rPr>
    </w:sdtEndPr>
    <w:sdtContent>
      <w:p w14:paraId="1F034D91" w14:textId="03375621" w:rsidR="001440CB" w:rsidRDefault="001440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46F4CB" w14:textId="2AEB46AE" w:rsidR="00E966CB" w:rsidRPr="00654E6E" w:rsidRDefault="00E966CB" w:rsidP="00654E6E">
    <w:pPr>
      <w:pStyle w:val="Footer"/>
      <w:tabs>
        <w:tab w:val="clear" w:pos="4513"/>
        <w:tab w:val="clear" w:pos="9026"/>
        <w:tab w:val="center" w:pos="7371"/>
        <w:tab w:val="right" w:pos="14742"/>
      </w:tabs>
      <w:spacing w:after="160"/>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F4D3" w14:textId="4FE1EA3A" w:rsidR="00E966CB" w:rsidRDefault="00E966CB" w:rsidP="00B03EDB">
    <w:pPr>
      <w:pStyle w:val="Footer"/>
      <w:spacing w:before="360"/>
      <w:ind w:left="-993"/>
    </w:pPr>
    <w:r>
      <w:rPr>
        <w:noProof/>
        <w:lang w:eastAsia="en-AU"/>
      </w:rPr>
      <w:drawing>
        <wp:inline distT="0" distB="0" distL="0" distR="0" wp14:anchorId="5B46F4E2" wp14:editId="28E38079">
          <wp:extent cx="10736979" cy="3351530"/>
          <wp:effectExtent l="0" t="0" r="7620" b="1270"/>
          <wp:docPr id="912160166" name="Picture 912160166"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680" b="164"/>
                  <a:stretch/>
                </pic:blipFill>
                <pic:spPr bwMode="auto">
                  <a:xfrm>
                    <a:off x="0" y="0"/>
                    <a:ext cx="10745465" cy="335417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F3635" w14:textId="77777777" w:rsidR="00530D1B" w:rsidRDefault="00530D1B">
      <w:pPr>
        <w:spacing w:after="0"/>
      </w:pPr>
      <w:r>
        <w:separator/>
      </w:r>
    </w:p>
  </w:footnote>
  <w:footnote w:type="continuationSeparator" w:id="0">
    <w:p w14:paraId="7BD1EEA1" w14:textId="77777777" w:rsidR="00530D1B" w:rsidRDefault="00530D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F4C8" w14:textId="2D104D32" w:rsidR="00E966CB" w:rsidRPr="00305CB1" w:rsidRDefault="007F49CE" w:rsidP="00B03EDB">
    <w:pPr>
      <w:pStyle w:val="Header"/>
      <w:rPr>
        <w:rFonts w:cs="Segoe UI Light"/>
        <w:color w:val="001C40"/>
        <w:sz w:val="20"/>
        <w:szCs w:val="20"/>
      </w:rPr>
    </w:pPr>
    <w:r w:rsidRPr="00305CB1">
      <w:rPr>
        <w:rFonts w:cs="Segoe UI Light"/>
        <w:color w:val="001C4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F4CC" w14:textId="74792994" w:rsidR="00EE5DC8" w:rsidRDefault="00EE5DC8" w:rsidP="00A714D6">
    <w:pPr>
      <w:pStyle w:val="Header"/>
      <w:jc w:val="left"/>
    </w:pPr>
  </w:p>
  <w:p w14:paraId="5B46F4CD" w14:textId="77777777" w:rsidR="00A714D6" w:rsidRDefault="00A714D6" w:rsidP="00A714D6">
    <w:pPr>
      <w:pStyle w:val="Header"/>
      <w:jc w:val="left"/>
    </w:pPr>
  </w:p>
  <w:p w14:paraId="5B46F4CE" w14:textId="77777777" w:rsidR="00A714D6" w:rsidRDefault="00A714D6" w:rsidP="00A714D6">
    <w:pPr>
      <w:pStyle w:val="Header"/>
      <w:jc w:val="left"/>
    </w:pPr>
    <w:r>
      <w:rPr>
        <w:noProof/>
        <w:lang w:eastAsia="en-AU"/>
      </w:rPr>
      <w:drawing>
        <wp:inline distT="0" distB="0" distL="0" distR="0" wp14:anchorId="5B46F4DE" wp14:editId="5B46F4DF">
          <wp:extent cx="3960495" cy="651633"/>
          <wp:effectExtent l="0" t="0" r="1905" b="0"/>
          <wp:docPr id="8" name="Picture 8" descr="Australian Government&#10;Department of Infrastructure, Transport, Regional Development, Communications, Sport and the 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ustralian Government&#10;Department of Infrastructure, Transport, Regional Development, Communications and the Art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0495" cy="651633"/>
                  </a:xfrm>
                  <a:prstGeom prst="rect">
                    <a:avLst/>
                  </a:prstGeom>
                </pic:spPr>
              </pic:pic>
            </a:graphicData>
          </a:graphic>
        </wp:inline>
      </w:drawing>
    </w:r>
  </w:p>
  <w:p w14:paraId="5B46F4CF" w14:textId="77777777" w:rsidR="00312678" w:rsidRDefault="00312678" w:rsidP="00A714D6">
    <w:pPr>
      <w:pStyle w:val="Header"/>
      <w:jc w:val="left"/>
    </w:pPr>
  </w:p>
  <w:p w14:paraId="5B46F4D0" w14:textId="77777777" w:rsidR="00312678" w:rsidRDefault="00312678" w:rsidP="00A714D6">
    <w:pPr>
      <w:pStyle w:val="Header"/>
      <w:jc w:val="left"/>
    </w:pPr>
  </w:p>
  <w:p w14:paraId="5B46F4D1" w14:textId="77777777" w:rsidR="00312678" w:rsidRDefault="00312678" w:rsidP="00312678">
    <w:pPr>
      <w:pStyle w:val="AreaHeading"/>
      <w:spacing w:before="600"/>
      <w:ind w:left="1276" w:firstLine="0"/>
    </w:pPr>
    <w:r w:rsidRPr="00CE626C">
      <w:t>BUREAU OF COMMUNICATIONS, ARTS AND REGIONAL RESEARCH</w:t>
    </w:r>
  </w:p>
  <w:p w14:paraId="5B46F4D2" w14:textId="77777777" w:rsidR="00A714D6" w:rsidRDefault="00A714D6" w:rsidP="00A714D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EAFC860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621AED"/>
    <w:multiLevelType w:val="multilevel"/>
    <w:tmpl w:val="C2EED61A"/>
    <w:numStyleLink w:val="NumberedHeadings"/>
  </w:abstractNum>
  <w:abstractNum w:abstractNumId="13" w15:restartNumberingAfterBreak="0">
    <w:nsid w:val="1923018E"/>
    <w:multiLevelType w:val="hybridMultilevel"/>
    <w:tmpl w:val="80BAD2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AA51938"/>
    <w:multiLevelType w:val="multilevel"/>
    <w:tmpl w:val="298C34E4"/>
    <w:numStyleLink w:val="AppendixNumbers"/>
  </w:abstractNum>
  <w:abstractNum w:abstractNumId="16"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064185"/>
    <w:multiLevelType w:val="hybridMultilevel"/>
    <w:tmpl w:val="793C5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7FA0F44"/>
    <w:multiLevelType w:val="multilevel"/>
    <w:tmpl w:val="96085F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400101556">
    <w:abstractNumId w:val="9"/>
  </w:num>
  <w:num w:numId="2" w16cid:durableId="1380401100">
    <w:abstractNumId w:val="7"/>
  </w:num>
  <w:num w:numId="3" w16cid:durableId="90324182">
    <w:abstractNumId w:val="6"/>
  </w:num>
  <w:num w:numId="4" w16cid:durableId="319428468">
    <w:abstractNumId w:val="5"/>
  </w:num>
  <w:num w:numId="5" w16cid:durableId="1973827776">
    <w:abstractNumId w:val="4"/>
  </w:num>
  <w:num w:numId="6" w16cid:durableId="1878472631">
    <w:abstractNumId w:val="8"/>
  </w:num>
  <w:num w:numId="7" w16cid:durableId="1051536710">
    <w:abstractNumId w:val="3"/>
  </w:num>
  <w:num w:numId="8" w16cid:durableId="708838497">
    <w:abstractNumId w:val="2"/>
  </w:num>
  <w:num w:numId="9" w16cid:durableId="2102674337">
    <w:abstractNumId w:val="1"/>
  </w:num>
  <w:num w:numId="10" w16cid:durableId="1677344013">
    <w:abstractNumId w:val="0"/>
  </w:num>
  <w:num w:numId="11" w16cid:durableId="1289896673">
    <w:abstractNumId w:val="17"/>
  </w:num>
  <w:num w:numId="12" w16cid:durableId="11533329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0988139">
    <w:abstractNumId w:val="23"/>
  </w:num>
  <w:num w:numId="14" w16cid:durableId="20503736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3342381">
    <w:abstractNumId w:val="11"/>
  </w:num>
  <w:num w:numId="16" w16cid:durableId="14054508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9210908">
    <w:abstractNumId w:val="16"/>
  </w:num>
  <w:num w:numId="18" w16cid:durableId="1690907629">
    <w:abstractNumId w:val="12"/>
  </w:num>
  <w:num w:numId="19" w16cid:durableId="1481120494">
    <w:abstractNumId w:val="14"/>
  </w:num>
  <w:num w:numId="20" w16cid:durableId="17232898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1835429">
    <w:abstractNumId w:val="15"/>
  </w:num>
  <w:num w:numId="22" w16cid:durableId="1851335839">
    <w:abstractNumId w:val="20"/>
  </w:num>
  <w:num w:numId="23" w16cid:durableId="7969210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2869177">
    <w:abstractNumId w:val="21"/>
  </w:num>
  <w:num w:numId="25" w16cid:durableId="1126240472">
    <w:abstractNumId w:val="21"/>
  </w:num>
  <w:num w:numId="26" w16cid:durableId="1101488240">
    <w:abstractNumId w:val="21"/>
  </w:num>
  <w:num w:numId="27" w16cid:durableId="2058120800">
    <w:abstractNumId w:val="21"/>
  </w:num>
  <w:num w:numId="28" w16cid:durableId="1931959570">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8496831">
    <w:abstractNumId w:val="22"/>
  </w:num>
  <w:num w:numId="30" w16cid:durableId="1575234441">
    <w:abstractNumId w:val="21"/>
  </w:num>
  <w:num w:numId="31" w16cid:durableId="1436248391">
    <w:abstractNumId w:val="18"/>
  </w:num>
  <w:num w:numId="32" w16cid:durableId="1500384871">
    <w:abstractNumId w:val="17"/>
  </w:num>
  <w:num w:numId="33" w16cid:durableId="1618872198">
    <w:abstractNumId w:val="17"/>
  </w:num>
  <w:num w:numId="34" w16cid:durableId="936254582">
    <w:abstractNumId w:val="19"/>
  </w:num>
  <w:num w:numId="35" w16cid:durableId="677997634">
    <w:abstractNumId w:val="13"/>
  </w:num>
  <w:num w:numId="36" w16cid:durableId="555551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2A"/>
    <w:rsid w:val="00003B85"/>
    <w:rsid w:val="00007C8A"/>
    <w:rsid w:val="0001430B"/>
    <w:rsid w:val="00015879"/>
    <w:rsid w:val="0002363D"/>
    <w:rsid w:val="0003340C"/>
    <w:rsid w:val="00035851"/>
    <w:rsid w:val="0003660B"/>
    <w:rsid w:val="0004478E"/>
    <w:rsid w:val="000451CF"/>
    <w:rsid w:val="00051C01"/>
    <w:rsid w:val="00053CBA"/>
    <w:rsid w:val="000540D2"/>
    <w:rsid w:val="000542FE"/>
    <w:rsid w:val="00054D96"/>
    <w:rsid w:val="000612DF"/>
    <w:rsid w:val="0006148F"/>
    <w:rsid w:val="000629EE"/>
    <w:rsid w:val="00066BD8"/>
    <w:rsid w:val="00067736"/>
    <w:rsid w:val="00067D54"/>
    <w:rsid w:val="0007057A"/>
    <w:rsid w:val="00072A86"/>
    <w:rsid w:val="00072D10"/>
    <w:rsid w:val="00073C0B"/>
    <w:rsid w:val="000749DD"/>
    <w:rsid w:val="0007509E"/>
    <w:rsid w:val="0007643C"/>
    <w:rsid w:val="00076516"/>
    <w:rsid w:val="00077A05"/>
    <w:rsid w:val="00077A76"/>
    <w:rsid w:val="000814DA"/>
    <w:rsid w:val="00082B05"/>
    <w:rsid w:val="000836DA"/>
    <w:rsid w:val="00085A8B"/>
    <w:rsid w:val="0008681E"/>
    <w:rsid w:val="00090358"/>
    <w:rsid w:val="00091A15"/>
    <w:rsid w:val="00093263"/>
    <w:rsid w:val="000959BB"/>
    <w:rsid w:val="000A41D6"/>
    <w:rsid w:val="000B3633"/>
    <w:rsid w:val="000B4EDC"/>
    <w:rsid w:val="000B5027"/>
    <w:rsid w:val="000B5624"/>
    <w:rsid w:val="000C2235"/>
    <w:rsid w:val="000C3AE1"/>
    <w:rsid w:val="000C49DC"/>
    <w:rsid w:val="000C602C"/>
    <w:rsid w:val="000C6DA1"/>
    <w:rsid w:val="000C762D"/>
    <w:rsid w:val="000D244D"/>
    <w:rsid w:val="000D3F7E"/>
    <w:rsid w:val="000D40C5"/>
    <w:rsid w:val="000D4FE4"/>
    <w:rsid w:val="000D62B2"/>
    <w:rsid w:val="000D66F4"/>
    <w:rsid w:val="000D6CA0"/>
    <w:rsid w:val="000D6E97"/>
    <w:rsid w:val="000D72EA"/>
    <w:rsid w:val="000E24BA"/>
    <w:rsid w:val="000E3A11"/>
    <w:rsid w:val="000E3C4A"/>
    <w:rsid w:val="000E5674"/>
    <w:rsid w:val="000F0799"/>
    <w:rsid w:val="000F0A14"/>
    <w:rsid w:val="000F1EAD"/>
    <w:rsid w:val="000F2FF4"/>
    <w:rsid w:val="000F310A"/>
    <w:rsid w:val="000F3F03"/>
    <w:rsid w:val="000F4159"/>
    <w:rsid w:val="000F5054"/>
    <w:rsid w:val="000F5F4D"/>
    <w:rsid w:val="000F63F7"/>
    <w:rsid w:val="000F672E"/>
    <w:rsid w:val="000F7DE0"/>
    <w:rsid w:val="00106151"/>
    <w:rsid w:val="00113B17"/>
    <w:rsid w:val="00114025"/>
    <w:rsid w:val="00122801"/>
    <w:rsid w:val="00123396"/>
    <w:rsid w:val="00127849"/>
    <w:rsid w:val="001349C6"/>
    <w:rsid w:val="00135119"/>
    <w:rsid w:val="00140249"/>
    <w:rsid w:val="00140AB5"/>
    <w:rsid w:val="001440CB"/>
    <w:rsid w:val="00147159"/>
    <w:rsid w:val="001541E9"/>
    <w:rsid w:val="00157A84"/>
    <w:rsid w:val="00161403"/>
    <w:rsid w:val="0016287D"/>
    <w:rsid w:val="001628E6"/>
    <w:rsid w:val="00162EB0"/>
    <w:rsid w:val="00163818"/>
    <w:rsid w:val="00163913"/>
    <w:rsid w:val="00164A19"/>
    <w:rsid w:val="00164E44"/>
    <w:rsid w:val="00166249"/>
    <w:rsid w:val="00166432"/>
    <w:rsid w:val="00166F88"/>
    <w:rsid w:val="00171D49"/>
    <w:rsid w:val="00171E0D"/>
    <w:rsid w:val="00172078"/>
    <w:rsid w:val="001732E3"/>
    <w:rsid w:val="00180CD4"/>
    <w:rsid w:val="00183AEA"/>
    <w:rsid w:val="001846DE"/>
    <w:rsid w:val="001909D8"/>
    <w:rsid w:val="00192A30"/>
    <w:rsid w:val="00193EF3"/>
    <w:rsid w:val="001957CB"/>
    <w:rsid w:val="00195913"/>
    <w:rsid w:val="00197E62"/>
    <w:rsid w:val="001A2EAC"/>
    <w:rsid w:val="001A5DC1"/>
    <w:rsid w:val="001B4D5E"/>
    <w:rsid w:val="001C401B"/>
    <w:rsid w:val="001D0141"/>
    <w:rsid w:val="001D1026"/>
    <w:rsid w:val="001D4382"/>
    <w:rsid w:val="001D4EE5"/>
    <w:rsid w:val="001E039D"/>
    <w:rsid w:val="001E31C9"/>
    <w:rsid w:val="001E5A2F"/>
    <w:rsid w:val="001F0397"/>
    <w:rsid w:val="001F30F1"/>
    <w:rsid w:val="001F31CA"/>
    <w:rsid w:val="001F5825"/>
    <w:rsid w:val="001F5F9B"/>
    <w:rsid w:val="001F7671"/>
    <w:rsid w:val="00200303"/>
    <w:rsid w:val="00203071"/>
    <w:rsid w:val="002032FC"/>
    <w:rsid w:val="00204E35"/>
    <w:rsid w:val="00206872"/>
    <w:rsid w:val="002125DB"/>
    <w:rsid w:val="00216A56"/>
    <w:rsid w:val="002176EE"/>
    <w:rsid w:val="00221984"/>
    <w:rsid w:val="002254D5"/>
    <w:rsid w:val="0022611D"/>
    <w:rsid w:val="00226EB4"/>
    <w:rsid w:val="0023283F"/>
    <w:rsid w:val="00232D26"/>
    <w:rsid w:val="00233C9A"/>
    <w:rsid w:val="0023473C"/>
    <w:rsid w:val="00234956"/>
    <w:rsid w:val="00236452"/>
    <w:rsid w:val="00240BDB"/>
    <w:rsid w:val="00240E7D"/>
    <w:rsid w:val="00242E1A"/>
    <w:rsid w:val="00246A1C"/>
    <w:rsid w:val="00250723"/>
    <w:rsid w:val="00250B42"/>
    <w:rsid w:val="002563E2"/>
    <w:rsid w:val="00257DCE"/>
    <w:rsid w:val="00260BD5"/>
    <w:rsid w:val="0026483A"/>
    <w:rsid w:val="0026643D"/>
    <w:rsid w:val="00267653"/>
    <w:rsid w:val="0027046F"/>
    <w:rsid w:val="00271D86"/>
    <w:rsid w:val="00272AAB"/>
    <w:rsid w:val="002735D5"/>
    <w:rsid w:val="00273AD8"/>
    <w:rsid w:val="002775D5"/>
    <w:rsid w:val="00277C01"/>
    <w:rsid w:val="00280598"/>
    <w:rsid w:val="00280892"/>
    <w:rsid w:val="002808A4"/>
    <w:rsid w:val="00283295"/>
    <w:rsid w:val="00283593"/>
    <w:rsid w:val="00284164"/>
    <w:rsid w:val="0029076F"/>
    <w:rsid w:val="00294355"/>
    <w:rsid w:val="00295F1F"/>
    <w:rsid w:val="00296CD6"/>
    <w:rsid w:val="00297858"/>
    <w:rsid w:val="002A1F72"/>
    <w:rsid w:val="002A3AF1"/>
    <w:rsid w:val="002A423C"/>
    <w:rsid w:val="002A6621"/>
    <w:rsid w:val="002A7E1F"/>
    <w:rsid w:val="002B2038"/>
    <w:rsid w:val="002B2EE8"/>
    <w:rsid w:val="002B2FF3"/>
    <w:rsid w:val="002B3569"/>
    <w:rsid w:val="002B4803"/>
    <w:rsid w:val="002B5646"/>
    <w:rsid w:val="002B7197"/>
    <w:rsid w:val="002C09C5"/>
    <w:rsid w:val="002C1D53"/>
    <w:rsid w:val="002C396D"/>
    <w:rsid w:val="002C6AA9"/>
    <w:rsid w:val="002C6B9C"/>
    <w:rsid w:val="002D01B0"/>
    <w:rsid w:val="002D291F"/>
    <w:rsid w:val="002D309F"/>
    <w:rsid w:val="002D51D5"/>
    <w:rsid w:val="002E1ADA"/>
    <w:rsid w:val="002E335E"/>
    <w:rsid w:val="002E5B58"/>
    <w:rsid w:val="002E5EAA"/>
    <w:rsid w:val="002F0D92"/>
    <w:rsid w:val="002F1C95"/>
    <w:rsid w:val="00300F98"/>
    <w:rsid w:val="00301009"/>
    <w:rsid w:val="0030254D"/>
    <w:rsid w:val="0030304F"/>
    <w:rsid w:val="00305B2D"/>
    <w:rsid w:val="00307725"/>
    <w:rsid w:val="00307CD6"/>
    <w:rsid w:val="003117ED"/>
    <w:rsid w:val="00312678"/>
    <w:rsid w:val="003168A3"/>
    <w:rsid w:val="00317030"/>
    <w:rsid w:val="003325E2"/>
    <w:rsid w:val="003331A9"/>
    <w:rsid w:val="003351FD"/>
    <w:rsid w:val="00336138"/>
    <w:rsid w:val="00337D2D"/>
    <w:rsid w:val="00341B88"/>
    <w:rsid w:val="00342781"/>
    <w:rsid w:val="003431E5"/>
    <w:rsid w:val="00343D8C"/>
    <w:rsid w:val="003444E0"/>
    <w:rsid w:val="0034494B"/>
    <w:rsid w:val="00345269"/>
    <w:rsid w:val="00351AB4"/>
    <w:rsid w:val="00352D7F"/>
    <w:rsid w:val="003564F3"/>
    <w:rsid w:val="003566CD"/>
    <w:rsid w:val="003574C8"/>
    <w:rsid w:val="00357C54"/>
    <w:rsid w:val="00361DEE"/>
    <w:rsid w:val="0036439F"/>
    <w:rsid w:val="00365280"/>
    <w:rsid w:val="00370315"/>
    <w:rsid w:val="003705EC"/>
    <w:rsid w:val="003720E9"/>
    <w:rsid w:val="003727DB"/>
    <w:rsid w:val="00374D36"/>
    <w:rsid w:val="00381EAB"/>
    <w:rsid w:val="00382255"/>
    <w:rsid w:val="00382A2A"/>
    <w:rsid w:val="00386E5C"/>
    <w:rsid w:val="00386E78"/>
    <w:rsid w:val="00390441"/>
    <w:rsid w:val="00393A2D"/>
    <w:rsid w:val="00397949"/>
    <w:rsid w:val="003A0552"/>
    <w:rsid w:val="003A0D67"/>
    <w:rsid w:val="003A4D7E"/>
    <w:rsid w:val="003A6952"/>
    <w:rsid w:val="003A6F25"/>
    <w:rsid w:val="003A7245"/>
    <w:rsid w:val="003B122D"/>
    <w:rsid w:val="003B1D11"/>
    <w:rsid w:val="003B2924"/>
    <w:rsid w:val="003B6C56"/>
    <w:rsid w:val="003C625A"/>
    <w:rsid w:val="003C6443"/>
    <w:rsid w:val="003C7C90"/>
    <w:rsid w:val="003D110E"/>
    <w:rsid w:val="003D788B"/>
    <w:rsid w:val="003E1B48"/>
    <w:rsid w:val="003E6817"/>
    <w:rsid w:val="003F19C0"/>
    <w:rsid w:val="003F1B68"/>
    <w:rsid w:val="003F27C1"/>
    <w:rsid w:val="003F2E75"/>
    <w:rsid w:val="003F3C44"/>
    <w:rsid w:val="003F3C8B"/>
    <w:rsid w:val="003F6604"/>
    <w:rsid w:val="003F775D"/>
    <w:rsid w:val="004016E3"/>
    <w:rsid w:val="004076BF"/>
    <w:rsid w:val="004079D2"/>
    <w:rsid w:val="0041095A"/>
    <w:rsid w:val="0041192A"/>
    <w:rsid w:val="00412953"/>
    <w:rsid w:val="0041437F"/>
    <w:rsid w:val="00420F04"/>
    <w:rsid w:val="004216AE"/>
    <w:rsid w:val="00423910"/>
    <w:rsid w:val="00425820"/>
    <w:rsid w:val="00425D1A"/>
    <w:rsid w:val="00426931"/>
    <w:rsid w:val="004272DF"/>
    <w:rsid w:val="004300B5"/>
    <w:rsid w:val="004322E3"/>
    <w:rsid w:val="0043387A"/>
    <w:rsid w:val="00435342"/>
    <w:rsid w:val="004421C5"/>
    <w:rsid w:val="00444726"/>
    <w:rsid w:val="00454557"/>
    <w:rsid w:val="004564EC"/>
    <w:rsid w:val="00460586"/>
    <w:rsid w:val="00460690"/>
    <w:rsid w:val="00460C40"/>
    <w:rsid w:val="00464D37"/>
    <w:rsid w:val="00465670"/>
    <w:rsid w:val="00470F54"/>
    <w:rsid w:val="00471D17"/>
    <w:rsid w:val="00474763"/>
    <w:rsid w:val="00475619"/>
    <w:rsid w:val="00477E77"/>
    <w:rsid w:val="00481BDD"/>
    <w:rsid w:val="00482C70"/>
    <w:rsid w:val="004842DD"/>
    <w:rsid w:val="00487F41"/>
    <w:rsid w:val="00495A9E"/>
    <w:rsid w:val="004A0EDD"/>
    <w:rsid w:val="004A1751"/>
    <w:rsid w:val="004B03E0"/>
    <w:rsid w:val="004B52A6"/>
    <w:rsid w:val="004C4C2F"/>
    <w:rsid w:val="004C7C01"/>
    <w:rsid w:val="004D2667"/>
    <w:rsid w:val="004D321F"/>
    <w:rsid w:val="004D405F"/>
    <w:rsid w:val="004E4C57"/>
    <w:rsid w:val="004E6710"/>
    <w:rsid w:val="004E67AF"/>
    <w:rsid w:val="004F0153"/>
    <w:rsid w:val="004F4413"/>
    <w:rsid w:val="004F6C19"/>
    <w:rsid w:val="005008DF"/>
    <w:rsid w:val="00501CA2"/>
    <w:rsid w:val="00504301"/>
    <w:rsid w:val="005124C1"/>
    <w:rsid w:val="00512F3A"/>
    <w:rsid w:val="00515C0E"/>
    <w:rsid w:val="00520DA2"/>
    <w:rsid w:val="00522851"/>
    <w:rsid w:val="00522B26"/>
    <w:rsid w:val="00522CD7"/>
    <w:rsid w:val="00524D1C"/>
    <w:rsid w:val="00530D1B"/>
    <w:rsid w:val="005341B4"/>
    <w:rsid w:val="0053459C"/>
    <w:rsid w:val="0053516C"/>
    <w:rsid w:val="005379DD"/>
    <w:rsid w:val="00541213"/>
    <w:rsid w:val="00546218"/>
    <w:rsid w:val="00546EF5"/>
    <w:rsid w:val="005539C6"/>
    <w:rsid w:val="005602F5"/>
    <w:rsid w:val="005603F5"/>
    <w:rsid w:val="00563DCE"/>
    <w:rsid w:val="005672CE"/>
    <w:rsid w:val="00571DDF"/>
    <w:rsid w:val="0057701F"/>
    <w:rsid w:val="00577089"/>
    <w:rsid w:val="00582C7D"/>
    <w:rsid w:val="00586D71"/>
    <w:rsid w:val="005878B3"/>
    <w:rsid w:val="005912BE"/>
    <w:rsid w:val="005977BC"/>
    <w:rsid w:val="005A5DFA"/>
    <w:rsid w:val="005A70A8"/>
    <w:rsid w:val="005B0956"/>
    <w:rsid w:val="005B4E61"/>
    <w:rsid w:val="005B6F3C"/>
    <w:rsid w:val="005C02B8"/>
    <w:rsid w:val="005C0FEA"/>
    <w:rsid w:val="005C17C7"/>
    <w:rsid w:val="005C700F"/>
    <w:rsid w:val="005C779C"/>
    <w:rsid w:val="005D0626"/>
    <w:rsid w:val="005D0DC8"/>
    <w:rsid w:val="005D1793"/>
    <w:rsid w:val="005D21E1"/>
    <w:rsid w:val="005D3FCB"/>
    <w:rsid w:val="005E0668"/>
    <w:rsid w:val="005F3B71"/>
    <w:rsid w:val="005F4583"/>
    <w:rsid w:val="005F45F1"/>
    <w:rsid w:val="005F5C7E"/>
    <w:rsid w:val="005F794B"/>
    <w:rsid w:val="006010BA"/>
    <w:rsid w:val="00601743"/>
    <w:rsid w:val="00602EC9"/>
    <w:rsid w:val="006030B4"/>
    <w:rsid w:val="006048D3"/>
    <w:rsid w:val="006049DE"/>
    <w:rsid w:val="00607B75"/>
    <w:rsid w:val="00611FA3"/>
    <w:rsid w:val="006122A9"/>
    <w:rsid w:val="00614F38"/>
    <w:rsid w:val="0061763C"/>
    <w:rsid w:val="0062498C"/>
    <w:rsid w:val="0062555D"/>
    <w:rsid w:val="006271CE"/>
    <w:rsid w:val="006319CE"/>
    <w:rsid w:val="00632358"/>
    <w:rsid w:val="006376E9"/>
    <w:rsid w:val="00637F6F"/>
    <w:rsid w:val="00643DCC"/>
    <w:rsid w:val="00644071"/>
    <w:rsid w:val="00644163"/>
    <w:rsid w:val="00644795"/>
    <w:rsid w:val="00646437"/>
    <w:rsid w:val="006464F9"/>
    <w:rsid w:val="00646D69"/>
    <w:rsid w:val="006470D3"/>
    <w:rsid w:val="0065096F"/>
    <w:rsid w:val="00650989"/>
    <w:rsid w:val="00650DDB"/>
    <w:rsid w:val="006546E0"/>
    <w:rsid w:val="00654B43"/>
    <w:rsid w:val="00654E6E"/>
    <w:rsid w:val="00655D5E"/>
    <w:rsid w:val="00655FE7"/>
    <w:rsid w:val="00667272"/>
    <w:rsid w:val="00667B03"/>
    <w:rsid w:val="006730F8"/>
    <w:rsid w:val="0067322B"/>
    <w:rsid w:val="0068300F"/>
    <w:rsid w:val="00683AE9"/>
    <w:rsid w:val="00685BA6"/>
    <w:rsid w:val="0069548C"/>
    <w:rsid w:val="006A0CEE"/>
    <w:rsid w:val="006A3980"/>
    <w:rsid w:val="006A4047"/>
    <w:rsid w:val="006A406B"/>
    <w:rsid w:val="006A444E"/>
    <w:rsid w:val="006B1401"/>
    <w:rsid w:val="006B199A"/>
    <w:rsid w:val="006B19C0"/>
    <w:rsid w:val="006B2297"/>
    <w:rsid w:val="006B3242"/>
    <w:rsid w:val="006B4526"/>
    <w:rsid w:val="006B71F3"/>
    <w:rsid w:val="006B7D86"/>
    <w:rsid w:val="006C18BD"/>
    <w:rsid w:val="006C3918"/>
    <w:rsid w:val="006D1D8D"/>
    <w:rsid w:val="006D279E"/>
    <w:rsid w:val="006D28A3"/>
    <w:rsid w:val="006D32AB"/>
    <w:rsid w:val="006D50B4"/>
    <w:rsid w:val="006D5C46"/>
    <w:rsid w:val="006E0395"/>
    <w:rsid w:val="006E0780"/>
    <w:rsid w:val="006E1ECA"/>
    <w:rsid w:val="006E2C75"/>
    <w:rsid w:val="006E345B"/>
    <w:rsid w:val="006E3AB2"/>
    <w:rsid w:val="006E437D"/>
    <w:rsid w:val="006E4E90"/>
    <w:rsid w:val="006F5663"/>
    <w:rsid w:val="006F65B3"/>
    <w:rsid w:val="00702121"/>
    <w:rsid w:val="00705A7E"/>
    <w:rsid w:val="00714FE2"/>
    <w:rsid w:val="00715B23"/>
    <w:rsid w:val="00716518"/>
    <w:rsid w:val="00720161"/>
    <w:rsid w:val="00722C48"/>
    <w:rsid w:val="00726A1E"/>
    <w:rsid w:val="00726CDC"/>
    <w:rsid w:val="00727314"/>
    <w:rsid w:val="00733A3D"/>
    <w:rsid w:val="00734746"/>
    <w:rsid w:val="00735C06"/>
    <w:rsid w:val="00737D6B"/>
    <w:rsid w:val="00737EFC"/>
    <w:rsid w:val="007402CA"/>
    <w:rsid w:val="007422CF"/>
    <w:rsid w:val="0074592D"/>
    <w:rsid w:val="00745AF4"/>
    <w:rsid w:val="00750A9C"/>
    <w:rsid w:val="007559F7"/>
    <w:rsid w:val="007604EA"/>
    <w:rsid w:val="007624E8"/>
    <w:rsid w:val="007626DC"/>
    <w:rsid w:val="00763588"/>
    <w:rsid w:val="007643CA"/>
    <w:rsid w:val="0076531A"/>
    <w:rsid w:val="00765B29"/>
    <w:rsid w:val="007673CE"/>
    <w:rsid w:val="007719C6"/>
    <w:rsid w:val="00771A22"/>
    <w:rsid w:val="007732D1"/>
    <w:rsid w:val="00773E08"/>
    <w:rsid w:val="00776C38"/>
    <w:rsid w:val="0077772D"/>
    <w:rsid w:val="00777A3C"/>
    <w:rsid w:val="00785B02"/>
    <w:rsid w:val="00794FD3"/>
    <w:rsid w:val="007951CD"/>
    <w:rsid w:val="00795B0E"/>
    <w:rsid w:val="007A05BE"/>
    <w:rsid w:val="007A511F"/>
    <w:rsid w:val="007A53A3"/>
    <w:rsid w:val="007A6410"/>
    <w:rsid w:val="007A6B62"/>
    <w:rsid w:val="007A6E7E"/>
    <w:rsid w:val="007B0AAD"/>
    <w:rsid w:val="007B1CDD"/>
    <w:rsid w:val="007B1E0D"/>
    <w:rsid w:val="007B62B4"/>
    <w:rsid w:val="007C0F75"/>
    <w:rsid w:val="007C11D9"/>
    <w:rsid w:val="007C1E9F"/>
    <w:rsid w:val="007C5143"/>
    <w:rsid w:val="007D2586"/>
    <w:rsid w:val="007D32E7"/>
    <w:rsid w:val="007D68AF"/>
    <w:rsid w:val="007D6F34"/>
    <w:rsid w:val="007E6801"/>
    <w:rsid w:val="007E6DFE"/>
    <w:rsid w:val="007F2FD7"/>
    <w:rsid w:val="007F49CE"/>
    <w:rsid w:val="007F726B"/>
    <w:rsid w:val="007F7D00"/>
    <w:rsid w:val="00804418"/>
    <w:rsid w:val="00805BC0"/>
    <w:rsid w:val="008067A1"/>
    <w:rsid w:val="0080758C"/>
    <w:rsid w:val="008172DF"/>
    <w:rsid w:val="00817596"/>
    <w:rsid w:val="00825E6F"/>
    <w:rsid w:val="00830EC5"/>
    <w:rsid w:val="00830F0C"/>
    <w:rsid w:val="00832B00"/>
    <w:rsid w:val="008357AA"/>
    <w:rsid w:val="008364FD"/>
    <w:rsid w:val="00837D8A"/>
    <w:rsid w:val="00842B07"/>
    <w:rsid w:val="00843EE9"/>
    <w:rsid w:val="008456D5"/>
    <w:rsid w:val="0084634B"/>
    <w:rsid w:val="00846AE1"/>
    <w:rsid w:val="00847D28"/>
    <w:rsid w:val="00854747"/>
    <w:rsid w:val="00856798"/>
    <w:rsid w:val="00857D41"/>
    <w:rsid w:val="00857F66"/>
    <w:rsid w:val="00862664"/>
    <w:rsid w:val="0087276F"/>
    <w:rsid w:val="00873EAE"/>
    <w:rsid w:val="0087496F"/>
    <w:rsid w:val="00880595"/>
    <w:rsid w:val="00881C75"/>
    <w:rsid w:val="00882FB3"/>
    <w:rsid w:val="00882FD2"/>
    <w:rsid w:val="008841AD"/>
    <w:rsid w:val="00885962"/>
    <w:rsid w:val="00890634"/>
    <w:rsid w:val="00891202"/>
    <w:rsid w:val="00892AEC"/>
    <w:rsid w:val="0089360E"/>
    <w:rsid w:val="00893CC1"/>
    <w:rsid w:val="0089452D"/>
    <w:rsid w:val="008957BC"/>
    <w:rsid w:val="00896EE1"/>
    <w:rsid w:val="00897386"/>
    <w:rsid w:val="00897535"/>
    <w:rsid w:val="008A1887"/>
    <w:rsid w:val="008A1946"/>
    <w:rsid w:val="008A3A33"/>
    <w:rsid w:val="008A6F2B"/>
    <w:rsid w:val="008A71E1"/>
    <w:rsid w:val="008B6A81"/>
    <w:rsid w:val="008C07AC"/>
    <w:rsid w:val="008C47D1"/>
    <w:rsid w:val="008C5BD3"/>
    <w:rsid w:val="008D11C0"/>
    <w:rsid w:val="008D1D97"/>
    <w:rsid w:val="008E2A0D"/>
    <w:rsid w:val="008E6A9A"/>
    <w:rsid w:val="008F771A"/>
    <w:rsid w:val="00902D70"/>
    <w:rsid w:val="009076F1"/>
    <w:rsid w:val="00911FE7"/>
    <w:rsid w:val="0091469F"/>
    <w:rsid w:val="009146ED"/>
    <w:rsid w:val="009151C5"/>
    <w:rsid w:val="009172DF"/>
    <w:rsid w:val="00920348"/>
    <w:rsid w:val="00921653"/>
    <w:rsid w:val="009267D5"/>
    <w:rsid w:val="00930BBA"/>
    <w:rsid w:val="00931D2D"/>
    <w:rsid w:val="00933F49"/>
    <w:rsid w:val="00934304"/>
    <w:rsid w:val="00934D35"/>
    <w:rsid w:val="0093729F"/>
    <w:rsid w:val="009449ED"/>
    <w:rsid w:val="00945538"/>
    <w:rsid w:val="00946907"/>
    <w:rsid w:val="00951405"/>
    <w:rsid w:val="00951F54"/>
    <w:rsid w:val="009520A4"/>
    <w:rsid w:val="009543CB"/>
    <w:rsid w:val="009560FF"/>
    <w:rsid w:val="009568F8"/>
    <w:rsid w:val="00956B4D"/>
    <w:rsid w:val="00964D25"/>
    <w:rsid w:val="00966562"/>
    <w:rsid w:val="0096778B"/>
    <w:rsid w:val="009756D2"/>
    <w:rsid w:val="00976609"/>
    <w:rsid w:val="00976A07"/>
    <w:rsid w:val="00977ED6"/>
    <w:rsid w:val="00980758"/>
    <w:rsid w:val="00980C44"/>
    <w:rsid w:val="00982796"/>
    <w:rsid w:val="00992FD5"/>
    <w:rsid w:val="009955F7"/>
    <w:rsid w:val="009A02C1"/>
    <w:rsid w:val="009A23D3"/>
    <w:rsid w:val="009A660B"/>
    <w:rsid w:val="009B00F2"/>
    <w:rsid w:val="009B169B"/>
    <w:rsid w:val="009B6AE4"/>
    <w:rsid w:val="009C2BC2"/>
    <w:rsid w:val="009C5F31"/>
    <w:rsid w:val="009C6592"/>
    <w:rsid w:val="009C7326"/>
    <w:rsid w:val="009C79B9"/>
    <w:rsid w:val="009C7DF1"/>
    <w:rsid w:val="009D0B66"/>
    <w:rsid w:val="009D2721"/>
    <w:rsid w:val="009D30A4"/>
    <w:rsid w:val="009D72F6"/>
    <w:rsid w:val="009E2C0F"/>
    <w:rsid w:val="009E70D1"/>
    <w:rsid w:val="009E7639"/>
    <w:rsid w:val="009F1BA5"/>
    <w:rsid w:val="009F7051"/>
    <w:rsid w:val="00A070A2"/>
    <w:rsid w:val="00A11A20"/>
    <w:rsid w:val="00A11FE3"/>
    <w:rsid w:val="00A16FD0"/>
    <w:rsid w:val="00A2310B"/>
    <w:rsid w:val="00A251BE"/>
    <w:rsid w:val="00A3588E"/>
    <w:rsid w:val="00A40156"/>
    <w:rsid w:val="00A42FDA"/>
    <w:rsid w:val="00A442E8"/>
    <w:rsid w:val="00A44361"/>
    <w:rsid w:val="00A465D8"/>
    <w:rsid w:val="00A51CB2"/>
    <w:rsid w:val="00A51D59"/>
    <w:rsid w:val="00A54678"/>
    <w:rsid w:val="00A54AD7"/>
    <w:rsid w:val="00A56FB1"/>
    <w:rsid w:val="00A571F1"/>
    <w:rsid w:val="00A57BB7"/>
    <w:rsid w:val="00A600F1"/>
    <w:rsid w:val="00A66D84"/>
    <w:rsid w:val="00A66E14"/>
    <w:rsid w:val="00A70404"/>
    <w:rsid w:val="00A71230"/>
    <w:rsid w:val="00A714D6"/>
    <w:rsid w:val="00A76E66"/>
    <w:rsid w:val="00A8062B"/>
    <w:rsid w:val="00A81895"/>
    <w:rsid w:val="00A85952"/>
    <w:rsid w:val="00A92E4E"/>
    <w:rsid w:val="00A95970"/>
    <w:rsid w:val="00AA19D5"/>
    <w:rsid w:val="00AA229D"/>
    <w:rsid w:val="00AA4474"/>
    <w:rsid w:val="00AA4FA4"/>
    <w:rsid w:val="00AA7C91"/>
    <w:rsid w:val="00AB3377"/>
    <w:rsid w:val="00AB46AF"/>
    <w:rsid w:val="00AB5EA0"/>
    <w:rsid w:val="00AD6464"/>
    <w:rsid w:val="00AD7703"/>
    <w:rsid w:val="00AE089E"/>
    <w:rsid w:val="00AE234F"/>
    <w:rsid w:val="00AE278F"/>
    <w:rsid w:val="00AE6EBF"/>
    <w:rsid w:val="00AF1835"/>
    <w:rsid w:val="00AF1D4D"/>
    <w:rsid w:val="00AF3A89"/>
    <w:rsid w:val="00AF536F"/>
    <w:rsid w:val="00B00270"/>
    <w:rsid w:val="00B00DF9"/>
    <w:rsid w:val="00B01FB3"/>
    <w:rsid w:val="00B02D93"/>
    <w:rsid w:val="00B02EE9"/>
    <w:rsid w:val="00B037B0"/>
    <w:rsid w:val="00B03EDB"/>
    <w:rsid w:val="00B03EDC"/>
    <w:rsid w:val="00B0409A"/>
    <w:rsid w:val="00B061D8"/>
    <w:rsid w:val="00B0662D"/>
    <w:rsid w:val="00B1082F"/>
    <w:rsid w:val="00B12131"/>
    <w:rsid w:val="00B121EC"/>
    <w:rsid w:val="00B1450F"/>
    <w:rsid w:val="00B1467D"/>
    <w:rsid w:val="00B1556F"/>
    <w:rsid w:val="00B1584E"/>
    <w:rsid w:val="00B23D57"/>
    <w:rsid w:val="00B30442"/>
    <w:rsid w:val="00B30DBF"/>
    <w:rsid w:val="00B30F66"/>
    <w:rsid w:val="00B3130A"/>
    <w:rsid w:val="00B315BB"/>
    <w:rsid w:val="00B363C6"/>
    <w:rsid w:val="00B375D9"/>
    <w:rsid w:val="00B414D8"/>
    <w:rsid w:val="00B42AC2"/>
    <w:rsid w:val="00B452AC"/>
    <w:rsid w:val="00B504C2"/>
    <w:rsid w:val="00B53A06"/>
    <w:rsid w:val="00B54BD9"/>
    <w:rsid w:val="00B55FCF"/>
    <w:rsid w:val="00B7189F"/>
    <w:rsid w:val="00B73012"/>
    <w:rsid w:val="00B73720"/>
    <w:rsid w:val="00B75B35"/>
    <w:rsid w:val="00B80CD9"/>
    <w:rsid w:val="00B84BD8"/>
    <w:rsid w:val="00B87234"/>
    <w:rsid w:val="00B90E2D"/>
    <w:rsid w:val="00B91B5D"/>
    <w:rsid w:val="00B934BE"/>
    <w:rsid w:val="00B9669A"/>
    <w:rsid w:val="00BA1CD8"/>
    <w:rsid w:val="00BA43F8"/>
    <w:rsid w:val="00BA5CE4"/>
    <w:rsid w:val="00BA6C24"/>
    <w:rsid w:val="00BB37C0"/>
    <w:rsid w:val="00BB3AAC"/>
    <w:rsid w:val="00BB42D8"/>
    <w:rsid w:val="00BB6638"/>
    <w:rsid w:val="00BB73FE"/>
    <w:rsid w:val="00BC2EA0"/>
    <w:rsid w:val="00BC37FF"/>
    <w:rsid w:val="00BC78B2"/>
    <w:rsid w:val="00BD0D1D"/>
    <w:rsid w:val="00BD5724"/>
    <w:rsid w:val="00BD6644"/>
    <w:rsid w:val="00BE4D2C"/>
    <w:rsid w:val="00BE50B3"/>
    <w:rsid w:val="00BE69DD"/>
    <w:rsid w:val="00BF1269"/>
    <w:rsid w:val="00BF2542"/>
    <w:rsid w:val="00BF42EE"/>
    <w:rsid w:val="00BF61C0"/>
    <w:rsid w:val="00C035F3"/>
    <w:rsid w:val="00C058FD"/>
    <w:rsid w:val="00C137D6"/>
    <w:rsid w:val="00C1754E"/>
    <w:rsid w:val="00C20670"/>
    <w:rsid w:val="00C24234"/>
    <w:rsid w:val="00C25BCF"/>
    <w:rsid w:val="00C27070"/>
    <w:rsid w:val="00C302EC"/>
    <w:rsid w:val="00C31C9A"/>
    <w:rsid w:val="00C3637D"/>
    <w:rsid w:val="00C36C38"/>
    <w:rsid w:val="00C41523"/>
    <w:rsid w:val="00C4705A"/>
    <w:rsid w:val="00C521FF"/>
    <w:rsid w:val="00C5276E"/>
    <w:rsid w:val="00C56175"/>
    <w:rsid w:val="00C574DE"/>
    <w:rsid w:val="00C602ED"/>
    <w:rsid w:val="00C61F77"/>
    <w:rsid w:val="00C65D28"/>
    <w:rsid w:val="00C70FDF"/>
    <w:rsid w:val="00C73D2B"/>
    <w:rsid w:val="00C74979"/>
    <w:rsid w:val="00C75B97"/>
    <w:rsid w:val="00C75C9D"/>
    <w:rsid w:val="00C76152"/>
    <w:rsid w:val="00C77036"/>
    <w:rsid w:val="00C80F5F"/>
    <w:rsid w:val="00C81137"/>
    <w:rsid w:val="00C8118A"/>
    <w:rsid w:val="00C83800"/>
    <w:rsid w:val="00C83C13"/>
    <w:rsid w:val="00C849F5"/>
    <w:rsid w:val="00C85713"/>
    <w:rsid w:val="00C86AC9"/>
    <w:rsid w:val="00C90AB1"/>
    <w:rsid w:val="00C946DF"/>
    <w:rsid w:val="00C95C36"/>
    <w:rsid w:val="00C960A3"/>
    <w:rsid w:val="00C97707"/>
    <w:rsid w:val="00CB095E"/>
    <w:rsid w:val="00CB2A6F"/>
    <w:rsid w:val="00CB4C2D"/>
    <w:rsid w:val="00CC051D"/>
    <w:rsid w:val="00CC1E30"/>
    <w:rsid w:val="00CC468E"/>
    <w:rsid w:val="00CC4FB7"/>
    <w:rsid w:val="00CC50CB"/>
    <w:rsid w:val="00CC6260"/>
    <w:rsid w:val="00CC7F95"/>
    <w:rsid w:val="00CD03BF"/>
    <w:rsid w:val="00CD233E"/>
    <w:rsid w:val="00CD2B7D"/>
    <w:rsid w:val="00CE0387"/>
    <w:rsid w:val="00CE1560"/>
    <w:rsid w:val="00CE2192"/>
    <w:rsid w:val="00CE2D45"/>
    <w:rsid w:val="00CE4B36"/>
    <w:rsid w:val="00CE6CB5"/>
    <w:rsid w:val="00CF1B20"/>
    <w:rsid w:val="00CF2099"/>
    <w:rsid w:val="00CF4B1D"/>
    <w:rsid w:val="00CF4CFD"/>
    <w:rsid w:val="00CF6CFD"/>
    <w:rsid w:val="00D07944"/>
    <w:rsid w:val="00D12338"/>
    <w:rsid w:val="00D129C1"/>
    <w:rsid w:val="00D13034"/>
    <w:rsid w:val="00D1327A"/>
    <w:rsid w:val="00D143F7"/>
    <w:rsid w:val="00D16285"/>
    <w:rsid w:val="00D1674F"/>
    <w:rsid w:val="00D24EB3"/>
    <w:rsid w:val="00D314AC"/>
    <w:rsid w:val="00D34671"/>
    <w:rsid w:val="00D41562"/>
    <w:rsid w:val="00D41D22"/>
    <w:rsid w:val="00D42D00"/>
    <w:rsid w:val="00D46FBC"/>
    <w:rsid w:val="00D53509"/>
    <w:rsid w:val="00D540F8"/>
    <w:rsid w:val="00D54AEB"/>
    <w:rsid w:val="00D5655E"/>
    <w:rsid w:val="00D61B6F"/>
    <w:rsid w:val="00D659E9"/>
    <w:rsid w:val="00D66583"/>
    <w:rsid w:val="00D66FBA"/>
    <w:rsid w:val="00D67E83"/>
    <w:rsid w:val="00D7063E"/>
    <w:rsid w:val="00D70C89"/>
    <w:rsid w:val="00D722F8"/>
    <w:rsid w:val="00D72E68"/>
    <w:rsid w:val="00D77A69"/>
    <w:rsid w:val="00D803C5"/>
    <w:rsid w:val="00D83F88"/>
    <w:rsid w:val="00D84CA7"/>
    <w:rsid w:val="00D901F3"/>
    <w:rsid w:val="00D90D7C"/>
    <w:rsid w:val="00D932FB"/>
    <w:rsid w:val="00D93D74"/>
    <w:rsid w:val="00DA2493"/>
    <w:rsid w:val="00DA3185"/>
    <w:rsid w:val="00DA69D5"/>
    <w:rsid w:val="00DB040E"/>
    <w:rsid w:val="00DB09FB"/>
    <w:rsid w:val="00DB26B3"/>
    <w:rsid w:val="00DB54C0"/>
    <w:rsid w:val="00DB59A7"/>
    <w:rsid w:val="00DB7752"/>
    <w:rsid w:val="00DC2516"/>
    <w:rsid w:val="00DC2662"/>
    <w:rsid w:val="00DD2812"/>
    <w:rsid w:val="00DD42F0"/>
    <w:rsid w:val="00DD57BF"/>
    <w:rsid w:val="00DE06AB"/>
    <w:rsid w:val="00DE06EA"/>
    <w:rsid w:val="00DE4362"/>
    <w:rsid w:val="00DE4FE2"/>
    <w:rsid w:val="00DE679F"/>
    <w:rsid w:val="00DE7CBF"/>
    <w:rsid w:val="00DF079F"/>
    <w:rsid w:val="00DF0D30"/>
    <w:rsid w:val="00DF170E"/>
    <w:rsid w:val="00DF1F42"/>
    <w:rsid w:val="00E01D82"/>
    <w:rsid w:val="00E026FD"/>
    <w:rsid w:val="00E02C54"/>
    <w:rsid w:val="00E03E0A"/>
    <w:rsid w:val="00E044C8"/>
    <w:rsid w:val="00E04801"/>
    <w:rsid w:val="00E04908"/>
    <w:rsid w:val="00E055DD"/>
    <w:rsid w:val="00E06DCC"/>
    <w:rsid w:val="00E11002"/>
    <w:rsid w:val="00E2012F"/>
    <w:rsid w:val="00E207E3"/>
    <w:rsid w:val="00E20D5F"/>
    <w:rsid w:val="00E21468"/>
    <w:rsid w:val="00E269CF"/>
    <w:rsid w:val="00E26CBC"/>
    <w:rsid w:val="00E306F4"/>
    <w:rsid w:val="00E315E7"/>
    <w:rsid w:val="00E339B8"/>
    <w:rsid w:val="00E342FD"/>
    <w:rsid w:val="00E34C8F"/>
    <w:rsid w:val="00E35FFA"/>
    <w:rsid w:val="00E36BAD"/>
    <w:rsid w:val="00E427E8"/>
    <w:rsid w:val="00E470D8"/>
    <w:rsid w:val="00E471FC"/>
    <w:rsid w:val="00E47372"/>
    <w:rsid w:val="00E4762E"/>
    <w:rsid w:val="00E50E3B"/>
    <w:rsid w:val="00E53EAF"/>
    <w:rsid w:val="00E5545B"/>
    <w:rsid w:val="00E56037"/>
    <w:rsid w:val="00E60047"/>
    <w:rsid w:val="00E63075"/>
    <w:rsid w:val="00E634CF"/>
    <w:rsid w:val="00E70FB2"/>
    <w:rsid w:val="00E71689"/>
    <w:rsid w:val="00E7212B"/>
    <w:rsid w:val="00E76301"/>
    <w:rsid w:val="00E76F85"/>
    <w:rsid w:val="00E822A9"/>
    <w:rsid w:val="00E83B82"/>
    <w:rsid w:val="00E8667C"/>
    <w:rsid w:val="00E91B50"/>
    <w:rsid w:val="00E9311B"/>
    <w:rsid w:val="00E966CB"/>
    <w:rsid w:val="00E9729A"/>
    <w:rsid w:val="00EA033E"/>
    <w:rsid w:val="00EA43FB"/>
    <w:rsid w:val="00EA55B5"/>
    <w:rsid w:val="00EA6DCD"/>
    <w:rsid w:val="00EA70D3"/>
    <w:rsid w:val="00EB1332"/>
    <w:rsid w:val="00EB2104"/>
    <w:rsid w:val="00EB72BB"/>
    <w:rsid w:val="00EC0016"/>
    <w:rsid w:val="00EC2680"/>
    <w:rsid w:val="00EC36CB"/>
    <w:rsid w:val="00EC6F76"/>
    <w:rsid w:val="00ED1B9B"/>
    <w:rsid w:val="00EE04E0"/>
    <w:rsid w:val="00EE1A86"/>
    <w:rsid w:val="00EE1B9D"/>
    <w:rsid w:val="00EE5DC8"/>
    <w:rsid w:val="00EF1EDF"/>
    <w:rsid w:val="00EF5BAD"/>
    <w:rsid w:val="00EF62CD"/>
    <w:rsid w:val="00EF692D"/>
    <w:rsid w:val="00F00D3B"/>
    <w:rsid w:val="00F01B7B"/>
    <w:rsid w:val="00F047FF"/>
    <w:rsid w:val="00F05691"/>
    <w:rsid w:val="00F104CB"/>
    <w:rsid w:val="00F121BB"/>
    <w:rsid w:val="00F17A61"/>
    <w:rsid w:val="00F201FB"/>
    <w:rsid w:val="00F22DB7"/>
    <w:rsid w:val="00F30EB5"/>
    <w:rsid w:val="00F315EE"/>
    <w:rsid w:val="00F31FF0"/>
    <w:rsid w:val="00F32DC8"/>
    <w:rsid w:val="00F33CAE"/>
    <w:rsid w:val="00F34095"/>
    <w:rsid w:val="00F40198"/>
    <w:rsid w:val="00F403FF"/>
    <w:rsid w:val="00F407E3"/>
    <w:rsid w:val="00F4139A"/>
    <w:rsid w:val="00F4513B"/>
    <w:rsid w:val="00F45EF3"/>
    <w:rsid w:val="00F54404"/>
    <w:rsid w:val="00F54D40"/>
    <w:rsid w:val="00F55FF0"/>
    <w:rsid w:val="00F56092"/>
    <w:rsid w:val="00F62D54"/>
    <w:rsid w:val="00F62F2B"/>
    <w:rsid w:val="00F650F3"/>
    <w:rsid w:val="00F65180"/>
    <w:rsid w:val="00F6599E"/>
    <w:rsid w:val="00F65D47"/>
    <w:rsid w:val="00F663BD"/>
    <w:rsid w:val="00F66808"/>
    <w:rsid w:val="00F67CDB"/>
    <w:rsid w:val="00F729A5"/>
    <w:rsid w:val="00F73C9D"/>
    <w:rsid w:val="00F81B3C"/>
    <w:rsid w:val="00F82CA0"/>
    <w:rsid w:val="00F8368B"/>
    <w:rsid w:val="00F912F8"/>
    <w:rsid w:val="00F91CA6"/>
    <w:rsid w:val="00F9223C"/>
    <w:rsid w:val="00F92A4E"/>
    <w:rsid w:val="00F93BB7"/>
    <w:rsid w:val="00F95B50"/>
    <w:rsid w:val="00F96E18"/>
    <w:rsid w:val="00F97AF5"/>
    <w:rsid w:val="00FA1428"/>
    <w:rsid w:val="00FA228B"/>
    <w:rsid w:val="00FA281E"/>
    <w:rsid w:val="00FA2FFE"/>
    <w:rsid w:val="00FA3A43"/>
    <w:rsid w:val="00FA5466"/>
    <w:rsid w:val="00FA54E8"/>
    <w:rsid w:val="00FB01A1"/>
    <w:rsid w:val="00FB0544"/>
    <w:rsid w:val="00FB05BD"/>
    <w:rsid w:val="00FB119C"/>
    <w:rsid w:val="00FB4FDC"/>
    <w:rsid w:val="00FB5821"/>
    <w:rsid w:val="00FB5959"/>
    <w:rsid w:val="00FB644A"/>
    <w:rsid w:val="00FB678C"/>
    <w:rsid w:val="00FB78D1"/>
    <w:rsid w:val="00FC1344"/>
    <w:rsid w:val="00FC1965"/>
    <w:rsid w:val="00FC323F"/>
    <w:rsid w:val="00FC32B2"/>
    <w:rsid w:val="00FC3422"/>
    <w:rsid w:val="00FC34AF"/>
    <w:rsid w:val="00FC35B8"/>
    <w:rsid w:val="00FC3F51"/>
    <w:rsid w:val="00FC5A24"/>
    <w:rsid w:val="00FC7184"/>
    <w:rsid w:val="00FC7B24"/>
    <w:rsid w:val="00FD13B2"/>
    <w:rsid w:val="00FD2708"/>
    <w:rsid w:val="00FE031C"/>
    <w:rsid w:val="00FE333C"/>
    <w:rsid w:val="00FE7BE6"/>
    <w:rsid w:val="00FF3026"/>
    <w:rsid w:val="00FF318B"/>
    <w:rsid w:val="00FF3E35"/>
    <w:rsid w:val="00FF3E8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46EB8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6F1"/>
    <w:pPr>
      <w:suppressAutoHyphens/>
      <w:spacing w:before="0" w:after="120"/>
    </w:pPr>
  </w:style>
  <w:style w:type="paragraph" w:styleId="Heading1">
    <w:name w:val="heading 1"/>
    <w:basedOn w:val="Normal"/>
    <w:next w:val="Normal"/>
    <w:link w:val="Heading1Char"/>
    <w:uiPriority w:val="9"/>
    <w:qFormat/>
    <w:rsid w:val="00B0409A"/>
    <w:pPr>
      <w:keepNext/>
      <w:keepLines/>
      <w:spacing w:before="480" w:after="160"/>
      <w:ind w:left="1276"/>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B375D9"/>
    <w:pPr>
      <w:keepNext/>
      <w:keepLines/>
      <w:spacing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A70404"/>
    <w:pPr>
      <w:keepNext/>
      <w:keepLines/>
      <w:tabs>
        <w:tab w:val="center" w:pos="4932"/>
      </w:tabs>
      <w:spacing w:before="240" w:after="160"/>
      <w:outlineLvl w:val="2"/>
    </w:pPr>
    <w:rPr>
      <w:rFonts w:asciiTheme="majorHAnsi" w:eastAsiaTheme="majorEastAsia" w:hAnsiTheme="majorHAnsi" w:cstheme="majorBidi"/>
      <w:b/>
      <w:color w:val="49515C"/>
      <w:sz w:val="24"/>
      <w:szCs w:val="30"/>
    </w:rPr>
  </w:style>
  <w:style w:type="paragraph" w:styleId="Heading4">
    <w:name w:val="heading 4"/>
    <w:basedOn w:val="Normal"/>
    <w:next w:val="Normal"/>
    <w:link w:val="Heading4Char"/>
    <w:uiPriority w:val="9"/>
    <w:unhideWhenUsed/>
    <w:rsid w:val="000D244D"/>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A442E8"/>
    <w:pPr>
      <w:spacing w:before="800" w:after="480"/>
      <w:ind w:left="1276"/>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A442E8"/>
    <w:rPr>
      <w:rFonts w:asciiTheme="majorHAnsi" w:eastAsiaTheme="majorEastAsia" w:hAnsiTheme="majorHAnsi" w:cstheme="majorBidi"/>
      <w:b/>
      <w:sz w:val="60"/>
      <w:szCs w:val="56"/>
    </w:rPr>
  </w:style>
  <w:style w:type="paragraph" w:styleId="Subtitle">
    <w:name w:val="Subtitle"/>
    <w:basedOn w:val="Normal"/>
    <w:next w:val="Normal"/>
    <w:link w:val="SubtitleChar"/>
    <w:uiPriority w:val="18"/>
    <w:qFormat/>
    <w:rsid w:val="00203071"/>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203071"/>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0D244D"/>
    <w:rPr>
      <w:b/>
    </w:rPr>
  </w:style>
  <w:style w:type="paragraph" w:styleId="Header">
    <w:name w:val="header"/>
    <w:basedOn w:val="Normal"/>
    <w:link w:val="HeaderChar"/>
    <w:uiPriority w:val="99"/>
    <w:unhideWhenUsed/>
    <w:rsid w:val="005912BE"/>
    <w:pPr>
      <w:tabs>
        <w:tab w:val="center" w:pos="4513"/>
        <w:tab w:val="right" w:pos="9026"/>
      </w:tabs>
      <w:spacing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B0409A"/>
    <w:rPr>
      <w:rFonts w:asciiTheme="majorHAnsi" w:eastAsiaTheme="majorEastAsia" w:hAnsiTheme="majorHAnsi" w:cstheme="majorBidi"/>
      <w:color w:val="081E3E" w:themeColor="text2"/>
      <w:sz w:val="44"/>
      <w:szCs w:val="32"/>
    </w:rPr>
  </w:style>
  <w:style w:type="character" w:customStyle="1" w:styleId="Heading2Char">
    <w:name w:val="Heading 2 Char"/>
    <w:basedOn w:val="DefaultParagraphFont"/>
    <w:link w:val="Heading2"/>
    <w:uiPriority w:val="9"/>
    <w:rsid w:val="00B375D9"/>
    <w:rPr>
      <w:rFonts w:asciiTheme="majorHAnsi" w:eastAsiaTheme="majorEastAsia" w:hAnsiTheme="majorHAnsi" w:cstheme="majorBidi"/>
      <w:color w:val="081E3E" w:themeColor="text2"/>
      <w:sz w:val="36"/>
      <w:szCs w:val="26"/>
    </w:rPr>
  </w:style>
  <w:style w:type="paragraph" w:customStyle="1" w:styleId="Introduction">
    <w:name w:val="Introduction"/>
    <w:basedOn w:val="Normal"/>
    <w:uiPriority w:val="2"/>
    <w:qFormat/>
    <w:rsid w:val="00203071"/>
    <w:pPr>
      <w:spacing w:before="240" w:after="240"/>
    </w:pPr>
    <w:rPr>
      <w:color w:val="377B88"/>
      <w:sz w:val="26"/>
      <w:lang w:val="x-none"/>
    </w:rPr>
  </w:style>
  <w:style w:type="character" w:customStyle="1" w:styleId="Heading3Char">
    <w:name w:val="Heading 3 Char"/>
    <w:basedOn w:val="DefaultParagraphFont"/>
    <w:link w:val="Heading3"/>
    <w:uiPriority w:val="9"/>
    <w:rsid w:val="00A70404"/>
    <w:rPr>
      <w:rFonts w:asciiTheme="majorHAnsi" w:eastAsiaTheme="majorEastAsia" w:hAnsiTheme="majorHAnsi" w:cstheme="majorBidi"/>
      <w:b/>
      <w:color w:val="49515C"/>
      <w:sz w:val="24"/>
      <w:szCs w:val="30"/>
    </w:rPr>
  </w:style>
  <w:style w:type="character" w:customStyle="1" w:styleId="Heading4Char">
    <w:name w:val="Heading 4 Char"/>
    <w:basedOn w:val="DefaultParagraphFont"/>
    <w:link w:val="Heading4"/>
    <w:uiPriority w:val="9"/>
    <w:rsid w:val="000D244D"/>
    <w:rPr>
      <w:rFonts w:asciiTheme="majorHAnsi" w:eastAsiaTheme="majorEastAsia" w:hAnsiTheme="majorHAnsi" w:cstheme="majorBidi"/>
      <w:b/>
      <w:iCs/>
      <w:color w:val="49515C" w:themeColor="accent4" w:themeShade="80"/>
      <w:kern w:val="12"/>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0F7DE0"/>
    <w:pPr>
      <w:spacing w:before="40" w:after="0"/>
    </w:pPr>
    <w:rPr>
      <w:sz w:val="20"/>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B03EDB"/>
    <w:pPr>
      <w:spacing w:before="0"/>
      <w:outlineLvl w:val="1"/>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1F5825"/>
    <w:pPr>
      <w:numPr>
        <w:numId w:val="27"/>
      </w:numPr>
      <w:spacing w:before="80"/>
    </w:pPr>
    <w:rPr>
      <w:kern w:val="12"/>
      <w:sz w:val="20"/>
      <w:szCs w:val="20"/>
    </w:rPr>
  </w:style>
  <w:style w:type="paragraph" w:customStyle="1" w:styleId="Box2Text">
    <w:name w:val="Box 2 Text"/>
    <w:basedOn w:val="Normal"/>
    <w:uiPriority w:val="24"/>
    <w:qFormat/>
    <w:rsid w:val="001F5825"/>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1F5825"/>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3C7C90"/>
    <w:pPr>
      <w:pBdr>
        <w:left w:val="single" w:sz="48" w:space="22" w:color="4BB3B5"/>
      </w:pBdr>
      <w:spacing w:before="120" w:after="160"/>
      <w:ind w:left="567" w:right="567"/>
    </w:pPr>
    <w:rPr>
      <w:b/>
      <w:iCs/>
      <w:color w:val="404040" w:themeColor="text1" w:themeTint="BF"/>
    </w:rPr>
  </w:style>
  <w:style w:type="character" w:customStyle="1" w:styleId="QuoteChar">
    <w:name w:val="Quote Char"/>
    <w:basedOn w:val="DefaultParagraphFont"/>
    <w:link w:val="Quote"/>
    <w:uiPriority w:val="29"/>
    <w:rsid w:val="003C7C90"/>
    <w:rPr>
      <w:b/>
      <w:iCs/>
      <w:color w:val="404040" w:themeColor="text1" w:themeTint="BF"/>
    </w:rPr>
  </w:style>
  <w:style w:type="paragraph" w:styleId="TOC1">
    <w:name w:val="toc 1"/>
    <w:basedOn w:val="Normal"/>
    <w:next w:val="Normal"/>
    <w:autoRedefine/>
    <w:uiPriority w:val="39"/>
    <w:rsid w:val="00D659E9"/>
    <w:pPr>
      <w:keepLines/>
      <w:tabs>
        <w:tab w:val="right" w:pos="14786"/>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Box2Checklist">
    <w:name w:val="Box 2 Checklist"/>
    <w:basedOn w:val="Box2Text"/>
    <w:uiPriority w:val="26"/>
    <w:qFormat/>
    <w:rsid w:val="001F5825"/>
    <w:pPr>
      <w:numPr>
        <w:ilvl w:val="2"/>
        <w:numId w:val="27"/>
      </w:numPr>
    </w:pPr>
    <w:rPr>
      <w:kern w:val="12"/>
      <w:sz w:val="20"/>
      <w:szCs w:val="20"/>
    </w:rPr>
  </w:style>
  <w:style w:type="numbering" w:customStyle="1" w:styleId="BoxedBullets">
    <w:name w:val="Boxed Bullets"/>
    <w:uiPriority w:val="99"/>
    <w:rsid w:val="001F5825"/>
    <w:pPr>
      <w:numPr>
        <w:numId w:val="24"/>
      </w:numPr>
    </w:pPr>
  </w:style>
  <w:style w:type="character" w:styleId="FollowedHyperlink">
    <w:name w:val="FollowedHyperlink"/>
    <w:basedOn w:val="DefaultParagraphFont"/>
    <w:uiPriority w:val="99"/>
    <w:semiHidden/>
    <w:unhideWhenUsed/>
    <w:rsid w:val="00444726"/>
    <w:rPr>
      <w:color w:val="0046FF" w:themeColor="followedHyperlink"/>
      <w:u w:val="single"/>
    </w:rPr>
  </w:style>
  <w:style w:type="paragraph" w:customStyle="1" w:styleId="SecurityMarker">
    <w:name w:val="Security Marker"/>
    <w:basedOn w:val="Normal"/>
    <w:qFormat/>
    <w:rsid w:val="004564EC"/>
    <w:pPr>
      <w:spacing w:before="60" w:after="60"/>
      <w:jc w:val="center"/>
    </w:pPr>
    <w:rPr>
      <w:b/>
      <w:bCs/>
      <w:caps/>
      <w:color w:val="E10000"/>
      <w:sz w:val="28"/>
      <w:szCs w:val="28"/>
      <w:shd w:val="clear" w:color="auto" w:fill="FFFFFF" w:themeFill="background1"/>
    </w:rPr>
  </w:style>
  <w:style w:type="paragraph" w:customStyle="1" w:styleId="AreaHeading">
    <w:name w:val="Area Heading"/>
    <w:basedOn w:val="Normal"/>
    <w:qFormat/>
    <w:rsid w:val="00A442E8"/>
    <w:pPr>
      <w:ind w:left="-1020" w:firstLine="1020"/>
    </w:pPr>
    <w:rPr>
      <w:rFonts w:cs="Times New Roman (Body CS)"/>
      <w:caps/>
      <w:color w:val="49515C" w:themeColor="accent4" w:themeShade="80"/>
    </w:rPr>
  </w:style>
  <w:style w:type="character" w:styleId="CommentReference">
    <w:name w:val="annotation reference"/>
    <w:basedOn w:val="DefaultParagraphFont"/>
    <w:uiPriority w:val="99"/>
    <w:semiHidden/>
    <w:unhideWhenUsed/>
    <w:rsid w:val="00140AB5"/>
    <w:rPr>
      <w:sz w:val="16"/>
      <w:szCs w:val="16"/>
    </w:rPr>
  </w:style>
  <w:style w:type="paragraph" w:styleId="CommentText">
    <w:name w:val="annotation text"/>
    <w:basedOn w:val="Normal"/>
    <w:link w:val="CommentTextChar"/>
    <w:uiPriority w:val="99"/>
    <w:unhideWhenUsed/>
    <w:rsid w:val="00140AB5"/>
    <w:rPr>
      <w:sz w:val="20"/>
      <w:szCs w:val="20"/>
    </w:rPr>
  </w:style>
  <w:style w:type="character" w:customStyle="1" w:styleId="CommentTextChar">
    <w:name w:val="Comment Text Char"/>
    <w:basedOn w:val="DefaultParagraphFont"/>
    <w:link w:val="CommentText"/>
    <w:uiPriority w:val="99"/>
    <w:rsid w:val="00140AB5"/>
    <w:rPr>
      <w:sz w:val="20"/>
      <w:szCs w:val="20"/>
    </w:rPr>
  </w:style>
  <w:style w:type="paragraph" w:styleId="CommentSubject">
    <w:name w:val="annotation subject"/>
    <w:basedOn w:val="CommentText"/>
    <w:next w:val="CommentText"/>
    <w:link w:val="CommentSubjectChar"/>
    <w:uiPriority w:val="99"/>
    <w:semiHidden/>
    <w:unhideWhenUsed/>
    <w:rsid w:val="00140AB5"/>
    <w:rPr>
      <w:b/>
      <w:bCs/>
    </w:rPr>
  </w:style>
  <w:style w:type="character" w:customStyle="1" w:styleId="CommentSubjectChar">
    <w:name w:val="Comment Subject Char"/>
    <w:basedOn w:val="CommentTextChar"/>
    <w:link w:val="CommentSubject"/>
    <w:uiPriority w:val="99"/>
    <w:semiHidden/>
    <w:rsid w:val="00140AB5"/>
    <w:rPr>
      <w:b/>
      <w:bCs/>
      <w:sz w:val="20"/>
      <w:szCs w:val="20"/>
    </w:rPr>
  </w:style>
  <w:style w:type="paragraph" w:styleId="BalloonText">
    <w:name w:val="Balloon Text"/>
    <w:basedOn w:val="Normal"/>
    <w:link w:val="BalloonTextChar"/>
    <w:uiPriority w:val="99"/>
    <w:semiHidden/>
    <w:unhideWhenUsed/>
    <w:rsid w:val="00140A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AB5"/>
    <w:rPr>
      <w:rFonts w:ascii="Segoe UI" w:hAnsi="Segoe UI" w:cs="Segoe UI"/>
      <w:sz w:val="18"/>
      <w:szCs w:val="18"/>
    </w:rPr>
  </w:style>
  <w:style w:type="character" w:styleId="Strong">
    <w:name w:val="Strong"/>
    <w:basedOn w:val="DefaultParagraphFont"/>
    <w:uiPriority w:val="22"/>
    <w:qFormat/>
    <w:rsid w:val="000542FE"/>
    <w:rPr>
      <w:b/>
      <w:bCs/>
    </w:rPr>
  </w:style>
  <w:style w:type="paragraph" w:styleId="NormalWeb">
    <w:name w:val="Normal (Web)"/>
    <w:basedOn w:val="Normal"/>
    <w:uiPriority w:val="99"/>
    <w:semiHidden/>
    <w:unhideWhenUsed/>
    <w:rsid w:val="000542FE"/>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styleId="ListParagraph">
    <w:name w:val="List Paragraph"/>
    <w:basedOn w:val="Normal"/>
    <w:link w:val="ListParagraphChar"/>
    <w:uiPriority w:val="34"/>
    <w:unhideWhenUsed/>
    <w:qFormat/>
    <w:rsid w:val="00586D71"/>
    <w:pPr>
      <w:ind w:left="720"/>
      <w:contextualSpacing/>
    </w:pPr>
  </w:style>
  <w:style w:type="paragraph" w:customStyle="1" w:styleId="Tabletext">
    <w:name w:val="Table text"/>
    <w:basedOn w:val="Normal"/>
    <w:qFormat/>
    <w:rsid w:val="008A71E1"/>
    <w:pPr>
      <w:suppressAutoHyphens w:val="0"/>
      <w:spacing w:before="40" w:after="40"/>
    </w:pPr>
    <w:rPr>
      <w:rFonts w:ascii="Calibri" w:eastAsia="Times New Roman" w:hAnsi="Calibri" w:cs="Times New Roman"/>
      <w:color w:val="auto"/>
      <w:szCs w:val="20"/>
    </w:rPr>
  </w:style>
  <w:style w:type="paragraph" w:customStyle="1" w:styleId="Tablerowcolumnheading">
    <w:name w:val="Table row/column heading"/>
    <w:basedOn w:val="Normal"/>
    <w:next w:val="Normal"/>
    <w:rsid w:val="008A71E1"/>
    <w:pPr>
      <w:shd w:val="clear" w:color="auto" w:fill="081E3E"/>
      <w:suppressAutoHyphens w:val="0"/>
      <w:spacing w:before="60" w:after="60"/>
    </w:pPr>
    <w:rPr>
      <w:rFonts w:ascii="Calibri" w:hAnsi="Calibri"/>
      <w:b/>
      <w:color w:val="FFFFFF" w:themeColor="background1"/>
      <w:szCs w:val="20"/>
    </w:rPr>
  </w:style>
  <w:style w:type="paragraph" w:customStyle="1" w:styleId="Tabletextcentred">
    <w:name w:val="Table text—centred"/>
    <w:basedOn w:val="Tabletext"/>
    <w:next w:val="NoSpacing"/>
    <w:rsid w:val="008A71E1"/>
    <w:pPr>
      <w:jc w:val="center"/>
    </w:pPr>
  </w:style>
  <w:style w:type="paragraph" w:customStyle="1" w:styleId="Tablerowcolumnheadingcentred">
    <w:name w:val="Table row/column heading—centred"/>
    <w:basedOn w:val="Tablerowcolumnheading"/>
    <w:next w:val="Normal"/>
    <w:rsid w:val="008A71E1"/>
    <w:pPr>
      <w:jc w:val="center"/>
    </w:pPr>
  </w:style>
  <w:style w:type="table" w:customStyle="1" w:styleId="DefaultTable11">
    <w:name w:val="Default Table 11"/>
    <w:basedOn w:val="TableNormal"/>
    <w:uiPriority w:val="99"/>
    <w:rsid w:val="008A71E1"/>
    <w:pPr>
      <w:spacing w:before="80"/>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paragraph" w:styleId="EndnoteText">
    <w:name w:val="endnote text"/>
    <w:basedOn w:val="Normal"/>
    <w:link w:val="EndnoteTextChar"/>
    <w:uiPriority w:val="99"/>
    <w:unhideWhenUsed/>
    <w:rsid w:val="00C849F5"/>
    <w:pPr>
      <w:spacing w:after="0"/>
    </w:pPr>
    <w:rPr>
      <w:sz w:val="20"/>
      <w:szCs w:val="20"/>
    </w:rPr>
  </w:style>
  <w:style w:type="character" w:customStyle="1" w:styleId="EndnoteTextChar">
    <w:name w:val="Endnote Text Char"/>
    <w:basedOn w:val="DefaultParagraphFont"/>
    <w:link w:val="EndnoteText"/>
    <w:uiPriority w:val="99"/>
    <w:rsid w:val="00C849F5"/>
    <w:rPr>
      <w:sz w:val="20"/>
      <w:szCs w:val="20"/>
    </w:rPr>
  </w:style>
  <w:style w:type="character" w:styleId="EndnoteReference">
    <w:name w:val="endnote reference"/>
    <w:basedOn w:val="DefaultParagraphFont"/>
    <w:uiPriority w:val="99"/>
    <w:unhideWhenUsed/>
    <w:rsid w:val="00C849F5"/>
    <w:rPr>
      <w:vertAlign w:val="superscript"/>
    </w:rPr>
  </w:style>
  <w:style w:type="character" w:styleId="UnresolvedMention">
    <w:name w:val="Unresolved Mention"/>
    <w:basedOn w:val="DefaultParagraphFont"/>
    <w:uiPriority w:val="99"/>
    <w:semiHidden/>
    <w:unhideWhenUsed/>
    <w:rsid w:val="00386E5C"/>
    <w:rPr>
      <w:color w:val="605E5C"/>
      <w:shd w:val="clear" w:color="auto" w:fill="E1DFDD"/>
    </w:rPr>
  </w:style>
  <w:style w:type="character" w:customStyle="1" w:styleId="ListParagraphChar">
    <w:name w:val="List Paragraph Char"/>
    <w:basedOn w:val="DefaultParagraphFont"/>
    <w:link w:val="ListParagraph"/>
    <w:uiPriority w:val="34"/>
    <w:locked/>
    <w:rsid w:val="000D3F7E"/>
  </w:style>
  <w:style w:type="paragraph" w:styleId="TOC4">
    <w:name w:val="toc 4"/>
    <w:basedOn w:val="Normal"/>
    <w:next w:val="Normal"/>
    <w:autoRedefine/>
    <w:uiPriority w:val="39"/>
    <w:unhideWhenUsed/>
    <w:rsid w:val="001F30F1"/>
    <w:pPr>
      <w:suppressAutoHyphens w:val="0"/>
      <w:spacing w:after="100" w:line="259" w:lineRule="auto"/>
      <w:ind w:left="660"/>
    </w:pPr>
    <w:rPr>
      <w:rFonts w:eastAsiaTheme="minorEastAsia"/>
      <w:color w:val="auto"/>
      <w:lang w:eastAsia="en-AU"/>
    </w:rPr>
  </w:style>
  <w:style w:type="paragraph" w:styleId="TOC5">
    <w:name w:val="toc 5"/>
    <w:basedOn w:val="Normal"/>
    <w:next w:val="Normal"/>
    <w:autoRedefine/>
    <w:uiPriority w:val="39"/>
    <w:unhideWhenUsed/>
    <w:rsid w:val="001F30F1"/>
    <w:pPr>
      <w:suppressAutoHyphens w:val="0"/>
      <w:spacing w:after="100" w:line="259" w:lineRule="auto"/>
      <w:ind w:left="880"/>
    </w:pPr>
    <w:rPr>
      <w:rFonts w:eastAsiaTheme="minorEastAsia"/>
      <w:color w:val="auto"/>
      <w:lang w:eastAsia="en-AU"/>
    </w:rPr>
  </w:style>
  <w:style w:type="paragraph" w:styleId="TOC6">
    <w:name w:val="toc 6"/>
    <w:basedOn w:val="Normal"/>
    <w:next w:val="Normal"/>
    <w:autoRedefine/>
    <w:uiPriority w:val="39"/>
    <w:unhideWhenUsed/>
    <w:rsid w:val="001F30F1"/>
    <w:pPr>
      <w:suppressAutoHyphens w:val="0"/>
      <w:spacing w:after="100" w:line="259" w:lineRule="auto"/>
      <w:ind w:left="1100"/>
    </w:pPr>
    <w:rPr>
      <w:rFonts w:eastAsiaTheme="minorEastAsia"/>
      <w:color w:val="auto"/>
      <w:lang w:eastAsia="en-AU"/>
    </w:rPr>
  </w:style>
  <w:style w:type="paragraph" w:styleId="TOC7">
    <w:name w:val="toc 7"/>
    <w:basedOn w:val="Normal"/>
    <w:next w:val="Normal"/>
    <w:autoRedefine/>
    <w:uiPriority w:val="39"/>
    <w:unhideWhenUsed/>
    <w:rsid w:val="001F30F1"/>
    <w:pPr>
      <w:suppressAutoHyphens w:val="0"/>
      <w:spacing w:after="100" w:line="259" w:lineRule="auto"/>
      <w:ind w:left="1320"/>
    </w:pPr>
    <w:rPr>
      <w:rFonts w:eastAsiaTheme="minorEastAsia"/>
      <w:color w:val="auto"/>
      <w:lang w:eastAsia="en-AU"/>
    </w:rPr>
  </w:style>
  <w:style w:type="paragraph" w:styleId="TOC8">
    <w:name w:val="toc 8"/>
    <w:basedOn w:val="Normal"/>
    <w:next w:val="Normal"/>
    <w:autoRedefine/>
    <w:uiPriority w:val="39"/>
    <w:unhideWhenUsed/>
    <w:rsid w:val="001F30F1"/>
    <w:pPr>
      <w:suppressAutoHyphens w:val="0"/>
      <w:spacing w:after="100" w:line="259" w:lineRule="auto"/>
      <w:ind w:left="1540"/>
    </w:pPr>
    <w:rPr>
      <w:rFonts w:eastAsiaTheme="minorEastAsia"/>
      <w:color w:val="auto"/>
      <w:lang w:eastAsia="en-AU"/>
    </w:rPr>
  </w:style>
  <w:style w:type="paragraph" w:styleId="TOC9">
    <w:name w:val="toc 9"/>
    <w:basedOn w:val="Normal"/>
    <w:next w:val="Normal"/>
    <w:autoRedefine/>
    <w:uiPriority w:val="39"/>
    <w:unhideWhenUsed/>
    <w:rsid w:val="001F30F1"/>
    <w:pPr>
      <w:suppressAutoHyphens w:val="0"/>
      <w:spacing w:after="100" w:line="259" w:lineRule="auto"/>
      <w:ind w:left="1760"/>
    </w:pPr>
    <w:rPr>
      <w:rFonts w:eastAsiaTheme="minorEastAsia"/>
      <w:color w:val="auto"/>
      <w:lang w:eastAsia="en-AU"/>
    </w:rPr>
  </w:style>
  <w:style w:type="paragraph" w:customStyle="1" w:styleId="notes">
    <w:name w:val="notes"/>
    <w:basedOn w:val="Normal"/>
    <w:link w:val="notesChar"/>
    <w:qFormat/>
    <w:rsid w:val="00980758"/>
    <w:pPr>
      <w:suppressAutoHyphens w:val="0"/>
    </w:pPr>
    <w:rPr>
      <w:sz w:val="20"/>
      <w:lang w:val="x-none"/>
    </w:rPr>
  </w:style>
  <w:style w:type="character" w:customStyle="1" w:styleId="notesChar">
    <w:name w:val="notes Char"/>
    <w:basedOn w:val="DefaultParagraphFont"/>
    <w:link w:val="notes"/>
    <w:rsid w:val="00980758"/>
    <w:rPr>
      <w:sz w:val="20"/>
      <w:lang w:val="x-none"/>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8F5902"/>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b/>
      <w:color w:val="CE5C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b/>
      <w:color w:val="204A87"/>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204A87"/>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Revision">
    <w:name w:val="Revision"/>
    <w:hidden/>
    <w:uiPriority w:val="99"/>
    <w:semiHidden/>
    <w:rsid w:val="00A85952"/>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3235">
      <w:bodyDiv w:val="1"/>
      <w:marLeft w:val="0"/>
      <w:marRight w:val="0"/>
      <w:marTop w:val="0"/>
      <w:marBottom w:val="0"/>
      <w:divBdr>
        <w:top w:val="none" w:sz="0" w:space="0" w:color="auto"/>
        <w:left w:val="none" w:sz="0" w:space="0" w:color="auto"/>
        <w:bottom w:val="none" w:sz="0" w:space="0" w:color="auto"/>
        <w:right w:val="none" w:sz="0" w:space="0" w:color="auto"/>
      </w:divBdr>
      <w:divsChild>
        <w:div w:id="1573000985">
          <w:marLeft w:val="0"/>
          <w:marRight w:val="0"/>
          <w:marTop w:val="0"/>
          <w:marBottom w:val="0"/>
          <w:divBdr>
            <w:top w:val="none" w:sz="0" w:space="0" w:color="auto"/>
            <w:left w:val="none" w:sz="0" w:space="0" w:color="auto"/>
            <w:bottom w:val="none" w:sz="0" w:space="0" w:color="auto"/>
            <w:right w:val="none" w:sz="0" w:space="0" w:color="auto"/>
          </w:divBdr>
          <w:divsChild>
            <w:div w:id="394427857">
              <w:marLeft w:val="0"/>
              <w:marRight w:val="0"/>
              <w:marTop w:val="0"/>
              <w:marBottom w:val="0"/>
              <w:divBdr>
                <w:top w:val="none" w:sz="0" w:space="0" w:color="auto"/>
                <w:left w:val="none" w:sz="0" w:space="0" w:color="auto"/>
                <w:bottom w:val="none" w:sz="0" w:space="0" w:color="auto"/>
                <w:right w:val="none" w:sz="0" w:space="0" w:color="auto"/>
              </w:divBdr>
              <w:divsChild>
                <w:div w:id="86705520">
                  <w:marLeft w:val="0"/>
                  <w:marRight w:val="0"/>
                  <w:marTop w:val="0"/>
                  <w:marBottom w:val="0"/>
                  <w:divBdr>
                    <w:top w:val="none" w:sz="0" w:space="0" w:color="auto"/>
                    <w:left w:val="none" w:sz="0" w:space="0" w:color="auto"/>
                    <w:bottom w:val="none" w:sz="0" w:space="0" w:color="auto"/>
                    <w:right w:val="none" w:sz="0" w:space="0" w:color="auto"/>
                  </w:divBdr>
                  <w:divsChild>
                    <w:div w:id="238947919">
                      <w:marLeft w:val="0"/>
                      <w:marRight w:val="0"/>
                      <w:marTop w:val="0"/>
                      <w:marBottom w:val="0"/>
                      <w:divBdr>
                        <w:top w:val="none" w:sz="0" w:space="0" w:color="auto"/>
                        <w:left w:val="none" w:sz="0" w:space="0" w:color="auto"/>
                        <w:bottom w:val="none" w:sz="0" w:space="0" w:color="auto"/>
                        <w:right w:val="none" w:sz="0" w:space="0" w:color="auto"/>
                      </w:divBdr>
                      <w:divsChild>
                        <w:div w:id="2137915456">
                          <w:marLeft w:val="0"/>
                          <w:marRight w:val="0"/>
                          <w:marTop w:val="0"/>
                          <w:marBottom w:val="0"/>
                          <w:divBdr>
                            <w:top w:val="none" w:sz="0" w:space="0" w:color="auto"/>
                            <w:left w:val="none" w:sz="0" w:space="0" w:color="auto"/>
                            <w:bottom w:val="none" w:sz="0" w:space="0" w:color="auto"/>
                            <w:right w:val="none" w:sz="0" w:space="0" w:color="auto"/>
                          </w:divBdr>
                          <w:divsChild>
                            <w:div w:id="3906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217345">
      <w:bodyDiv w:val="1"/>
      <w:marLeft w:val="0"/>
      <w:marRight w:val="0"/>
      <w:marTop w:val="0"/>
      <w:marBottom w:val="0"/>
      <w:divBdr>
        <w:top w:val="none" w:sz="0" w:space="0" w:color="auto"/>
        <w:left w:val="none" w:sz="0" w:space="0" w:color="auto"/>
        <w:bottom w:val="none" w:sz="0" w:space="0" w:color="auto"/>
        <w:right w:val="none" w:sz="0" w:space="0" w:color="auto"/>
      </w:divBdr>
      <w:divsChild>
        <w:div w:id="405300399">
          <w:marLeft w:val="0"/>
          <w:marRight w:val="0"/>
          <w:marTop w:val="0"/>
          <w:marBottom w:val="0"/>
          <w:divBdr>
            <w:top w:val="none" w:sz="0" w:space="0" w:color="auto"/>
            <w:left w:val="none" w:sz="0" w:space="0" w:color="auto"/>
            <w:bottom w:val="none" w:sz="0" w:space="0" w:color="auto"/>
            <w:right w:val="none" w:sz="0" w:space="0" w:color="auto"/>
          </w:divBdr>
          <w:divsChild>
            <w:div w:id="971442794">
              <w:marLeft w:val="0"/>
              <w:marRight w:val="0"/>
              <w:marTop w:val="0"/>
              <w:marBottom w:val="0"/>
              <w:divBdr>
                <w:top w:val="none" w:sz="0" w:space="0" w:color="auto"/>
                <w:left w:val="none" w:sz="0" w:space="0" w:color="auto"/>
                <w:bottom w:val="none" w:sz="0" w:space="0" w:color="auto"/>
                <w:right w:val="none" w:sz="0" w:space="0" w:color="auto"/>
              </w:divBdr>
              <w:divsChild>
                <w:div w:id="1108156530">
                  <w:marLeft w:val="0"/>
                  <w:marRight w:val="0"/>
                  <w:marTop w:val="0"/>
                  <w:marBottom w:val="0"/>
                  <w:divBdr>
                    <w:top w:val="none" w:sz="0" w:space="0" w:color="auto"/>
                    <w:left w:val="none" w:sz="0" w:space="0" w:color="auto"/>
                    <w:bottom w:val="none" w:sz="0" w:space="0" w:color="auto"/>
                    <w:right w:val="none" w:sz="0" w:space="0" w:color="auto"/>
                  </w:divBdr>
                  <w:divsChild>
                    <w:div w:id="510533789">
                      <w:marLeft w:val="0"/>
                      <w:marRight w:val="0"/>
                      <w:marTop w:val="0"/>
                      <w:marBottom w:val="0"/>
                      <w:divBdr>
                        <w:top w:val="none" w:sz="0" w:space="0" w:color="auto"/>
                        <w:left w:val="none" w:sz="0" w:space="0" w:color="auto"/>
                        <w:bottom w:val="none" w:sz="0" w:space="0" w:color="auto"/>
                        <w:right w:val="none" w:sz="0" w:space="0" w:color="auto"/>
                      </w:divBdr>
                      <w:divsChild>
                        <w:div w:id="1784108829">
                          <w:marLeft w:val="0"/>
                          <w:marRight w:val="0"/>
                          <w:marTop w:val="0"/>
                          <w:marBottom w:val="0"/>
                          <w:divBdr>
                            <w:top w:val="none" w:sz="0" w:space="0" w:color="auto"/>
                            <w:left w:val="none" w:sz="0" w:space="0" w:color="auto"/>
                            <w:bottom w:val="none" w:sz="0" w:space="0" w:color="auto"/>
                            <w:right w:val="none" w:sz="0" w:space="0" w:color="auto"/>
                          </w:divBdr>
                          <w:divsChild>
                            <w:div w:id="16310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377736">
      <w:bodyDiv w:val="1"/>
      <w:marLeft w:val="0"/>
      <w:marRight w:val="0"/>
      <w:marTop w:val="0"/>
      <w:marBottom w:val="0"/>
      <w:divBdr>
        <w:top w:val="none" w:sz="0" w:space="0" w:color="auto"/>
        <w:left w:val="none" w:sz="0" w:space="0" w:color="auto"/>
        <w:bottom w:val="none" w:sz="0" w:space="0" w:color="auto"/>
        <w:right w:val="none" w:sz="0" w:space="0" w:color="auto"/>
      </w:divBdr>
    </w:div>
    <w:div w:id="721028284">
      <w:bodyDiv w:val="1"/>
      <w:marLeft w:val="0"/>
      <w:marRight w:val="0"/>
      <w:marTop w:val="0"/>
      <w:marBottom w:val="0"/>
      <w:divBdr>
        <w:top w:val="none" w:sz="0" w:space="0" w:color="auto"/>
        <w:left w:val="none" w:sz="0" w:space="0" w:color="auto"/>
        <w:bottom w:val="none" w:sz="0" w:space="0" w:color="auto"/>
        <w:right w:val="none" w:sz="0" w:space="0" w:color="auto"/>
      </w:divBdr>
    </w:div>
    <w:div w:id="1614247356">
      <w:bodyDiv w:val="1"/>
      <w:marLeft w:val="0"/>
      <w:marRight w:val="0"/>
      <w:marTop w:val="0"/>
      <w:marBottom w:val="0"/>
      <w:divBdr>
        <w:top w:val="none" w:sz="0" w:space="0" w:color="auto"/>
        <w:left w:val="none" w:sz="0" w:space="0" w:color="auto"/>
        <w:bottom w:val="none" w:sz="0" w:space="0" w:color="auto"/>
        <w:right w:val="none" w:sz="0" w:space="0" w:color="auto"/>
      </w:divBdr>
    </w:div>
    <w:div w:id="1779982300">
      <w:bodyDiv w:val="1"/>
      <w:marLeft w:val="0"/>
      <w:marRight w:val="0"/>
      <w:marTop w:val="0"/>
      <w:marBottom w:val="0"/>
      <w:divBdr>
        <w:top w:val="none" w:sz="0" w:space="0" w:color="auto"/>
        <w:left w:val="none" w:sz="0" w:space="0" w:color="auto"/>
        <w:bottom w:val="none" w:sz="0" w:space="0" w:color="auto"/>
        <w:right w:val="none" w:sz="0" w:space="0" w:color="auto"/>
      </w:divBdr>
    </w:div>
    <w:div w:id="182985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tre.gov.au/sites/default/files/documents/cultural-and-creative-activity-in-australia-2008-09-to-2022-23-methodology-refresh-statistical-working-paper-december2024_0.pdf"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tre.gov.au/resource/arts/cultural-and-creative-activity"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mailto:BCARR@infrastructure.gov.au"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hyperlink" Target="https://creativecommons.org/licenses/by/4.0/" TargetMode="External"/><Relationship Id="rId3" Type="http://schemas.openxmlformats.org/officeDocument/2006/relationships/styles" Target="styles.xml"/><Relationship Id="rId12" Type="http://schemas.openxmlformats.org/officeDocument/2006/relationships/hyperlink" Target="https://www.bitre.gov.au/resource/arts/cultural-and-creative-activity"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CA41D-A2D5-4860-9D78-300564592750}">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54</Pages>
  <Words>9190</Words>
  <Characters>52389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2026-08-31T05:20:00Z</dcterms:created>
  <dcterms:modified xsi:type="dcterms:W3CDTF">2026-09-01T01:47:00Z</dcterms:modified>
</cp:coreProperties>
</file>