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7FAF" w:rsidRDefault="00C56413" w:rsidP="00C56413">
      <w:pPr>
        <w:sectPr w:rsidR="00567FAF" w:rsidSect="00C56413">
          <w:headerReference w:type="default" r:id="rId11"/>
          <w:footerReference w:type="default" r:id="rId12"/>
          <w:headerReference w:type="first" r:id="rId13"/>
          <w:footerReference w:type="first" r:id="rId14"/>
          <w:footnotePr>
            <w:numRestart w:val="eachPage"/>
          </w:footnotePr>
          <w:endnotePr>
            <w:numFmt w:val="decimal"/>
          </w:endnotePr>
          <w:pgSz w:w="11906" w:h="16838"/>
          <w:pgMar w:top="1418" w:right="1440" w:bottom="1440" w:left="1440" w:header="0" w:footer="0" w:gutter="0"/>
          <w:cols w:space="708"/>
          <w:docGrid w:linePitch="360"/>
        </w:sectPr>
      </w:pPr>
      <w:r>
        <w:rPr>
          <w:noProof/>
          <w:lang w:eastAsia="en-AU"/>
        </w:rPr>
        <w:drawing>
          <wp:inline distT="0" distB="0" distL="0" distR="0" wp14:anchorId="7D585C4D" wp14:editId="41D9E4F1">
            <wp:extent cx="3544824" cy="679704"/>
            <wp:effectExtent l="0" t="0" r="0" b="6350"/>
            <wp:docPr id="2" name="Picture 2" descr="Logo: Australian Government, Department of Communications and the 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ept_of_Comms-Reg-Inline-Press.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44824" cy="679704"/>
                    </a:xfrm>
                    <a:prstGeom prst="rect">
                      <a:avLst/>
                    </a:prstGeom>
                  </pic:spPr>
                </pic:pic>
              </a:graphicData>
            </a:graphic>
          </wp:inline>
        </w:drawing>
      </w:r>
    </w:p>
    <w:p w:rsidR="00C56413" w:rsidRDefault="00C56413" w:rsidP="000A53E6">
      <w:pPr>
        <w:spacing w:after="0"/>
      </w:pPr>
      <w:r w:rsidRPr="00C56413">
        <w:rPr>
          <w:rFonts w:ascii="Gafata" w:hAnsi="Gafata"/>
          <w:sz w:val="48"/>
          <w:szCs w:val="48"/>
        </w:rPr>
        <w:t>Bureau of</w:t>
      </w:r>
      <w:r>
        <w:rPr>
          <w:rFonts w:ascii="Gafata" w:hAnsi="Gafata"/>
          <w:sz w:val="48"/>
          <w:szCs w:val="48"/>
        </w:rPr>
        <w:br/>
      </w:r>
      <w:r w:rsidRPr="00C56413">
        <w:rPr>
          <w:rFonts w:ascii="Gafata" w:hAnsi="Gafata"/>
          <w:sz w:val="48"/>
          <w:szCs w:val="48"/>
        </w:rPr>
        <w:t>Communications</w:t>
      </w:r>
      <w:r>
        <w:rPr>
          <w:rFonts w:ascii="Gafata" w:hAnsi="Gafata"/>
          <w:sz w:val="48"/>
          <w:szCs w:val="48"/>
        </w:rPr>
        <w:br/>
        <w:t>a</w:t>
      </w:r>
      <w:r w:rsidRPr="00C56413">
        <w:rPr>
          <w:rFonts w:ascii="Gafata" w:hAnsi="Gafata"/>
          <w:sz w:val="48"/>
          <w:szCs w:val="48"/>
        </w:rPr>
        <w:t>nd Arts Resea</w:t>
      </w:r>
      <w:r>
        <w:rPr>
          <w:rFonts w:ascii="Gafata" w:hAnsi="Gafata"/>
          <w:sz w:val="48"/>
          <w:szCs w:val="48"/>
        </w:rPr>
        <w:t>rch</w:t>
      </w:r>
    </w:p>
    <w:p w:rsidR="00C56413" w:rsidRDefault="00C56413" w:rsidP="00C56413">
      <w:pPr>
        <w:spacing w:before="240"/>
      </w:pPr>
    </w:p>
    <w:p w:rsidR="00A7176A" w:rsidRDefault="000C30DA" w:rsidP="00EC0F01">
      <w:pPr>
        <w:pStyle w:val="Heading1"/>
        <w:tabs>
          <w:tab w:val="clear" w:pos="360"/>
        </w:tabs>
        <w:spacing w:before="120"/>
        <w:ind w:left="0" w:firstLine="0"/>
      </w:pPr>
      <w:r w:rsidRPr="00E10490">
        <w:t>Trends and drivers in the affordability of communications services for Australian households</w:t>
      </w:r>
    </w:p>
    <w:p w:rsidR="00C56413" w:rsidRDefault="00C56413" w:rsidP="00A7176A">
      <w:pPr>
        <w:pStyle w:val="Normal-monthyearforcoverpage"/>
      </w:pPr>
      <w:r>
        <w:t>Ju</w:t>
      </w:r>
      <w:r w:rsidR="000C30DA">
        <w:t xml:space="preserve">ly </w:t>
      </w:r>
      <w:r>
        <w:t>2017</w:t>
      </w:r>
    </w:p>
    <w:p w:rsidR="00A7176A" w:rsidRDefault="000C30DA" w:rsidP="00A7176A">
      <w:pPr>
        <w:pStyle w:val="Normal-monthyearforcoverpage"/>
      </w:pPr>
      <w:r>
        <w:t>Working</w:t>
      </w:r>
      <w:r w:rsidR="00C56413">
        <w:t xml:space="preserve"> paper</w:t>
      </w:r>
    </w:p>
    <w:p w:rsidR="00A7176A" w:rsidRDefault="000A53E6" w:rsidP="00EC0F01">
      <w:pPr>
        <w:ind w:right="-1440"/>
        <w:jc w:val="right"/>
      </w:pPr>
      <w:r>
        <w:rPr>
          <w:noProof/>
          <w:lang w:eastAsia="en-AU"/>
        </w:rPr>
        <w:lastRenderedPageBreak/>
        <w:drawing>
          <wp:inline distT="0" distB="0" distL="0" distR="0" wp14:anchorId="41C48409" wp14:editId="79B2442B">
            <wp:extent cx="2827564" cy="3999506"/>
            <wp:effectExtent l="0" t="0" r="0" b="1270"/>
            <wp:docPr id="21" name="Picture 21" descr="BCAR logo design image&#10;&#10;communications.gov.au/BCAR&#10;&#10;#CommAuBCAR" title="BCAR logo desig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CR Report cover-option2.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08291" cy="4113691"/>
                    </a:xfrm>
                    <a:prstGeom prst="rect">
                      <a:avLst/>
                    </a:prstGeom>
                  </pic:spPr>
                </pic:pic>
              </a:graphicData>
            </a:graphic>
          </wp:inline>
        </w:drawing>
      </w:r>
      <w:r w:rsidR="00A7176A">
        <w:br w:type="page"/>
      </w:r>
    </w:p>
    <w:p w:rsidR="00C53C30" w:rsidRPr="0009516A" w:rsidRDefault="00C53C30" w:rsidP="00C53C30">
      <w:pPr>
        <w:pStyle w:val="Heading2-notshowingincontentsindocument"/>
      </w:pPr>
      <w:r>
        <w:lastRenderedPageBreak/>
        <w:t>Disclaimer</w:t>
      </w:r>
    </w:p>
    <w:p w:rsidR="000C30DA" w:rsidRPr="006301D0" w:rsidRDefault="000C30DA" w:rsidP="000C30DA">
      <w:r w:rsidRPr="006301D0">
        <w:t>The material in this paper is of a general nature and should not be regarded as legal advice or relied on for assistance in any particular circumstance or emergency situation. In any important matter, you should seek appropriate independent professional advice in relation to your own circumstances.</w:t>
      </w:r>
    </w:p>
    <w:p w:rsidR="000C30DA" w:rsidRPr="006301D0" w:rsidRDefault="000C30DA" w:rsidP="000C30DA">
      <w:r w:rsidRPr="006301D0">
        <w:t>The Commonwealth accepts no responsibility or liability for any damage, loss or expense incurred as a result of the reliance on information contained in this discussion paper.</w:t>
      </w:r>
    </w:p>
    <w:p w:rsidR="000C30DA" w:rsidRPr="006301D0" w:rsidRDefault="000C30DA" w:rsidP="000C30DA">
      <w:r w:rsidRPr="006301D0">
        <w:t>This paper has been pr</w:t>
      </w:r>
      <w:r w:rsidR="00A81748">
        <w:t>epared as a working paper</w:t>
      </w:r>
      <w:r w:rsidRPr="006301D0">
        <w:t xml:space="preserve"> only and does not indicate the Commonwealth’s commitment to a particular course of action. Additionally, any third party views or recommendat</w:t>
      </w:r>
      <w:r w:rsidR="0005475B">
        <w:t>ions included in this working</w:t>
      </w:r>
      <w:r w:rsidRPr="006301D0">
        <w:t xml:space="preserve"> paper do not reflect the views of the Commonwealth, or indicate its commitment to a particular course of action.</w:t>
      </w:r>
    </w:p>
    <w:p w:rsidR="000C30DA" w:rsidRPr="0009516A" w:rsidRDefault="000C30DA" w:rsidP="000C30DA">
      <w:pPr>
        <w:pStyle w:val="Heading2-notshowingincontentsindocument"/>
      </w:pPr>
      <w:r w:rsidRPr="0009516A">
        <w:t>Co</w:t>
      </w:r>
      <w:r>
        <w:t>pyright</w:t>
      </w:r>
    </w:p>
    <w:p w:rsidR="000C30DA" w:rsidRPr="006628F3" w:rsidRDefault="000C30DA" w:rsidP="000C30DA">
      <w:r w:rsidRPr="006628F3">
        <w:t>© Commonwealth of Australia</w:t>
      </w:r>
      <w:r>
        <w:t xml:space="preserve"> 2017</w:t>
      </w:r>
    </w:p>
    <w:p w:rsidR="000C30DA" w:rsidRPr="006628F3" w:rsidRDefault="000C30DA" w:rsidP="000C30DA">
      <w:r w:rsidRPr="006628F3">
        <w:rPr>
          <w:noProof/>
          <w:lang w:eastAsia="en-AU"/>
        </w:rPr>
        <w:drawing>
          <wp:inline distT="0" distB="0" distL="0" distR="0" wp14:anchorId="27801923" wp14:editId="78511D84">
            <wp:extent cx="836930" cy="293370"/>
            <wp:effectExtent l="0" t="0" r="1270" b="0"/>
            <wp:docPr id="14" name="Picture 14" descr="Logo:  Creative Commons." title="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CF4DB8.C9F87BE0"/>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836930" cy="293370"/>
                    </a:xfrm>
                    <a:prstGeom prst="rect">
                      <a:avLst/>
                    </a:prstGeom>
                    <a:noFill/>
                    <a:ln>
                      <a:noFill/>
                    </a:ln>
                  </pic:spPr>
                </pic:pic>
              </a:graphicData>
            </a:graphic>
          </wp:inline>
        </w:drawing>
      </w:r>
      <w:r w:rsidR="0092276A">
        <w:t xml:space="preserve"> </w:t>
      </w:r>
      <w:r w:rsidRPr="006628F3">
        <w:t>The material in this discussion paper is licensed under a Creative Commons Attribution—3.0 Australia license, with the exception of:</w:t>
      </w:r>
    </w:p>
    <w:p w:rsidR="000C30DA" w:rsidRPr="00BC0293" w:rsidRDefault="000C30DA" w:rsidP="000C30DA">
      <w:pPr>
        <w:pStyle w:val="Bulletlevel1"/>
      </w:pPr>
      <w:r w:rsidRPr="00BC0293">
        <w:t>the Commonwealth Coat of Arms</w:t>
      </w:r>
    </w:p>
    <w:p w:rsidR="000C30DA" w:rsidRPr="00BC0293" w:rsidRDefault="000C30DA" w:rsidP="000C30DA">
      <w:pPr>
        <w:pStyle w:val="Bulletlevel1"/>
      </w:pPr>
      <w:r w:rsidRPr="00BC0293">
        <w:t>this Department’s logo</w:t>
      </w:r>
    </w:p>
    <w:p w:rsidR="000C30DA" w:rsidRPr="00BC0293" w:rsidRDefault="000C30DA" w:rsidP="000C30DA">
      <w:pPr>
        <w:pStyle w:val="Bulletlevel1"/>
      </w:pPr>
      <w:r w:rsidRPr="00BC0293">
        <w:t>any third party material</w:t>
      </w:r>
    </w:p>
    <w:p w:rsidR="000C30DA" w:rsidRPr="00BC0293" w:rsidRDefault="000C30DA" w:rsidP="000C30DA">
      <w:pPr>
        <w:pStyle w:val="Bulletlevel1"/>
      </w:pPr>
      <w:r w:rsidRPr="00BC0293">
        <w:t>any material protected by a trademark, and</w:t>
      </w:r>
    </w:p>
    <w:p w:rsidR="000C30DA" w:rsidRPr="00BC0293" w:rsidRDefault="000C30DA" w:rsidP="000C30DA">
      <w:pPr>
        <w:pStyle w:val="Bulletlevel1"/>
      </w:pPr>
      <w:r w:rsidRPr="00BC0293">
        <w:t>any images and/or photographs.</w:t>
      </w:r>
    </w:p>
    <w:p w:rsidR="000C30DA" w:rsidRPr="0023386C" w:rsidRDefault="000C30DA" w:rsidP="000C30DA">
      <w:r w:rsidRPr="0023386C">
        <w:t xml:space="preserve">More information on this CC BY license is set out at the creative commons website: </w:t>
      </w:r>
      <w:hyperlink r:id="rId19" w:history="1">
        <w:r w:rsidRPr="000C30DA">
          <w:rPr>
            <w:rStyle w:val="Hyperlink"/>
          </w:rPr>
          <w:t>www.creativecommons.org/licenses/by/3.0/au</w:t>
        </w:r>
        <w:r w:rsidRPr="00E10490">
          <w:rPr>
            <w:rStyle w:val="Hyperlink"/>
            <w:color w:val="5B9BD5" w:themeColor="accent1"/>
          </w:rPr>
          <w:t>/</w:t>
        </w:r>
      </w:hyperlink>
      <w:r w:rsidRPr="0023386C">
        <w:t xml:space="preserve">. Enquiries about this license and any use of this paper can be sent to: </w:t>
      </w:r>
      <w:r w:rsidR="0005475B">
        <w:t>Bureau of Communications and Arts Research</w:t>
      </w:r>
      <w:r w:rsidRPr="0023386C">
        <w:t>, Department of Communications and the Arts, GPO</w:t>
      </w:r>
      <w:bookmarkStart w:id="0" w:name="_Toc356292521"/>
      <w:r w:rsidRPr="0023386C">
        <w:t xml:space="preserve"> Box 2154, Canberra, ACT, 2601.</w:t>
      </w:r>
    </w:p>
    <w:p w:rsidR="000C30DA" w:rsidRPr="0023386C" w:rsidRDefault="000C30DA" w:rsidP="000C30DA">
      <w:pPr>
        <w:pStyle w:val="Heading3-notshowingincontentsindocument"/>
      </w:pPr>
      <w:r w:rsidRPr="0023386C">
        <w:lastRenderedPageBreak/>
        <w:t>Attribution</w:t>
      </w:r>
      <w:bookmarkEnd w:id="0"/>
    </w:p>
    <w:p w:rsidR="000C30DA" w:rsidRPr="0023386C" w:rsidRDefault="000C30DA" w:rsidP="000C30DA">
      <w:bookmarkStart w:id="1" w:name="_Toc356292522"/>
      <w:r w:rsidRPr="0023386C">
        <w:t>Use of all or part of this discussion paper must include the following attribution:</w:t>
      </w:r>
      <w:bookmarkEnd w:id="1"/>
    </w:p>
    <w:p w:rsidR="000C30DA" w:rsidRPr="0023386C" w:rsidRDefault="000C30DA" w:rsidP="000C30DA">
      <w:pPr>
        <w:ind w:left="567"/>
      </w:pPr>
      <w:bookmarkStart w:id="2" w:name="_Toc356292523"/>
      <w:r w:rsidRPr="0023386C">
        <w:t>© Commonwealth of Australia 201</w:t>
      </w:r>
      <w:bookmarkEnd w:id="2"/>
      <w:r w:rsidRPr="0023386C">
        <w:t>7</w:t>
      </w:r>
    </w:p>
    <w:p w:rsidR="000C30DA" w:rsidRPr="0023386C" w:rsidRDefault="000C30DA" w:rsidP="000C30DA">
      <w:pPr>
        <w:pStyle w:val="Heading3-notshowingincontentsindocument"/>
      </w:pPr>
      <w:bookmarkStart w:id="3" w:name="_Toc356292524"/>
      <w:r w:rsidRPr="0023386C">
        <w:t>Using the Commonwealth Coat of Arms</w:t>
      </w:r>
      <w:bookmarkEnd w:id="3"/>
    </w:p>
    <w:p w:rsidR="000C30DA" w:rsidRDefault="000C30DA" w:rsidP="000C30DA">
      <w:bookmarkStart w:id="4" w:name="_Toc356292525"/>
      <w:r w:rsidRPr="0023386C">
        <w:t xml:space="preserve">The terms of use for the Coat of Arms are available from the It’s an Honour website (see </w:t>
      </w:r>
      <w:bookmarkEnd w:id="4"/>
      <w:r w:rsidRPr="000C30DA">
        <w:rPr>
          <w:rStyle w:val="Hyperlink"/>
        </w:rPr>
        <w:fldChar w:fldCharType="begin"/>
      </w:r>
      <w:r w:rsidRPr="000C30DA">
        <w:rPr>
          <w:rStyle w:val="Hyperlink"/>
        </w:rPr>
        <w:instrText xml:space="preserve"> HYPERLINK "http://www.itsanhonour.gov.au/" </w:instrText>
      </w:r>
      <w:r w:rsidRPr="000C30DA">
        <w:rPr>
          <w:rStyle w:val="Hyperlink"/>
        </w:rPr>
        <w:fldChar w:fldCharType="separate"/>
      </w:r>
      <w:r w:rsidRPr="000C30DA">
        <w:rPr>
          <w:rStyle w:val="Hyperlink"/>
        </w:rPr>
        <w:t>www.itsanhonour.gov.au</w:t>
      </w:r>
      <w:r w:rsidRPr="000C30DA">
        <w:rPr>
          <w:rStyle w:val="Hyperlink"/>
        </w:rPr>
        <w:fldChar w:fldCharType="end"/>
      </w:r>
      <w:r w:rsidRPr="0023386C">
        <w:t xml:space="preserve"> and click ‘Commonwealth Coat of Arms’).</w:t>
      </w:r>
    </w:p>
    <w:p w:rsidR="00A7176A" w:rsidRDefault="00A7176A" w:rsidP="00A7176A">
      <w:r>
        <w:br w:type="page"/>
      </w:r>
    </w:p>
    <w:p w:rsidR="00A7176A" w:rsidRPr="0009516A" w:rsidRDefault="00A7176A" w:rsidP="000248E0">
      <w:pPr>
        <w:pStyle w:val="Heading2-notshowingincontentsindocument"/>
        <w:spacing w:before="0" w:after="120"/>
      </w:pPr>
      <w:r w:rsidRPr="0009516A">
        <w:lastRenderedPageBreak/>
        <w:t>Contents</w:t>
      </w:r>
    </w:p>
    <w:p w:rsidR="00AA4213" w:rsidRDefault="00540B2F">
      <w:pPr>
        <w:pStyle w:val="TOC1"/>
        <w:tabs>
          <w:tab w:val="right" w:leader="dot" w:pos="9016"/>
        </w:tabs>
        <w:rPr>
          <w:rFonts w:eastAsiaTheme="minorEastAsia"/>
          <w:b w:val="0"/>
          <w:noProof/>
          <w:color w:val="auto"/>
          <w:sz w:val="22"/>
          <w:szCs w:val="20"/>
          <w:lang w:eastAsia="zh-TW" w:bidi="hi-IN"/>
        </w:rPr>
      </w:pPr>
      <w:r>
        <w:rPr>
          <w:b w:val="0"/>
        </w:rPr>
        <w:fldChar w:fldCharType="begin"/>
      </w:r>
      <w:r>
        <w:rPr>
          <w:b w:val="0"/>
        </w:rPr>
        <w:instrText xml:space="preserve"> TOC \h \z \t "Heading 2,1,Heading 3,2,Heading 4,3,Heading 2 - list,1,Heading 3 - list,2,Heading 4 - list,3" </w:instrText>
      </w:r>
      <w:r>
        <w:rPr>
          <w:b w:val="0"/>
        </w:rPr>
        <w:fldChar w:fldCharType="separate"/>
      </w:r>
      <w:hyperlink w:anchor="_Toc487206042" w:history="1">
        <w:r w:rsidR="00AA4213" w:rsidRPr="00657D5D">
          <w:rPr>
            <w:rStyle w:val="Hyperlink"/>
            <w:noProof/>
          </w:rPr>
          <w:t>Introduction</w:t>
        </w:r>
        <w:r w:rsidR="00AA4213">
          <w:rPr>
            <w:noProof/>
            <w:webHidden/>
          </w:rPr>
          <w:tab/>
        </w:r>
        <w:r w:rsidR="00AA4213">
          <w:rPr>
            <w:noProof/>
            <w:webHidden/>
          </w:rPr>
          <w:fldChar w:fldCharType="begin"/>
        </w:r>
        <w:r w:rsidR="00AA4213">
          <w:rPr>
            <w:noProof/>
            <w:webHidden/>
          </w:rPr>
          <w:instrText xml:space="preserve"> PAGEREF _Toc487206042 \h </w:instrText>
        </w:r>
        <w:r w:rsidR="00AA4213">
          <w:rPr>
            <w:noProof/>
            <w:webHidden/>
          </w:rPr>
        </w:r>
        <w:r w:rsidR="00AA4213">
          <w:rPr>
            <w:noProof/>
            <w:webHidden/>
          </w:rPr>
          <w:fldChar w:fldCharType="separate"/>
        </w:r>
        <w:r w:rsidR="00486A86">
          <w:rPr>
            <w:noProof/>
            <w:webHidden/>
          </w:rPr>
          <w:t>6</w:t>
        </w:r>
        <w:r w:rsidR="00AA4213">
          <w:rPr>
            <w:noProof/>
            <w:webHidden/>
          </w:rPr>
          <w:fldChar w:fldCharType="end"/>
        </w:r>
      </w:hyperlink>
    </w:p>
    <w:p w:rsidR="00AA4213" w:rsidRDefault="00B238FB">
      <w:pPr>
        <w:pStyle w:val="TOC2"/>
        <w:tabs>
          <w:tab w:val="right" w:leader="dot" w:pos="9016"/>
        </w:tabs>
        <w:rPr>
          <w:rFonts w:eastAsiaTheme="minorEastAsia"/>
          <w:noProof/>
          <w:szCs w:val="20"/>
          <w:lang w:eastAsia="zh-TW" w:bidi="hi-IN"/>
        </w:rPr>
      </w:pPr>
      <w:hyperlink w:anchor="_Toc487206043" w:history="1">
        <w:r w:rsidR="00AA4213" w:rsidRPr="00657D5D">
          <w:rPr>
            <w:rStyle w:val="Hyperlink"/>
            <w:noProof/>
          </w:rPr>
          <w:t>Why look at affordability?</w:t>
        </w:r>
        <w:r w:rsidR="00AA4213">
          <w:rPr>
            <w:noProof/>
            <w:webHidden/>
          </w:rPr>
          <w:tab/>
        </w:r>
        <w:r w:rsidR="00AA4213">
          <w:rPr>
            <w:noProof/>
            <w:webHidden/>
          </w:rPr>
          <w:fldChar w:fldCharType="begin"/>
        </w:r>
        <w:r w:rsidR="00AA4213">
          <w:rPr>
            <w:noProof/>
            <w:webHidden/>
          </w:rPr>
          <w:instrText xml:space="preserve"> PAGEREF _Toc487206043 \h </w:instrText>
        </w:r>
        <w:r w:rsidR="00AA4213">
          <w:rPr>
            <w:noProof/>
            <w:webHidden/>
          </w:rPr>
        </w:r>
        <w:r w:rsidR="00AA4213">
          <w:rPr>
            <w:noProof/>
            <w:webHidden/>
          </w:rPr>
          <w:fldChar w:fldCharType="separate"/>
        </w:r>
        <w:r w:rsidR="00486A86">
          <w:rPr>
            <w:noProof/>
            <w:webHidden/>
          </w:rPr>
          <w:t>6</w:t>
        </w:r>
        <w:r w:rsidR="00AA4213">
          <w:rPr>
            <w:noProof/>
            <w:webHidden/>
          </w:rPr>
          <w:fldChar w:fldCharType="end"/>
        </w:r>
      </w:hyperlink>
    </w:p>
    <w:p w:rsidR="00AA4213" w:rsidRDefault="00B238FB">
      <w:pPr>
        <w:pStyle w:val="TOC2"/>
        <w:tabs>
          <w:tab w:val="right" w:leader="dot" w:pos="9016"/>
        </w:tabs>
        <w:rPr>
          <w:rFonts w:eastAsiaTheme="minorEastAsia"/>
          <w:noProof/>
          <w:szCs w:val="20"/>
          <w:lang w:eastAsia="zh-TW" w:bidi="hi-IN"/>
        </w:rPr>
      </w:pPr>
      <w:hyperlink w:anchor="_Toc487206044" w:history="1">
        <w:r w:rsidR="00AA4213" w:rsidRPr="00657D5D">
          <w:rPr>
            <w:rStyle w:val="Hyperlink"/>
            <w:noProof/>
          </w:rPr>
          <w:t>Key findings</w:t>
        </w:r>
        <w:r w:rsidR="00AA4213">
          <w:rPr>
            <w:noProof/>
            <w:webHidden/>
          </w:rPr>
          <w:tab/>
        </w:r>
        <w:r w:rsidR="00AA4213">
          <w:rPr>
            <w:noProof/>
            <w:webHidden/>
          </w:rPr>
          <w:fldChar w:fldCharType="begin"/>
        </w:r>
        <w:r w:rsidR="00AA4213">
          <w:rPr>
            <w:noProof/>
            <w:webHidden/>
          </w:rPr>
          <w:instrText xml:space="preserve"> PAGEREF _Toc487206044 \h </w:instrText>
        </w:r>
        <w:r w:rsidR="00AA4213">
          <w:rPr>
            <w:noProof/>
            <w:webHidden/>
          </w:rPr>
        </w:r>
        <w:r w:rsidR="00AA4213">
          <w:rPr>
            <w:noProof/>
            <w:webHidden/>
          </w:rPr>
          <w:fldChar w:fldCharType="separate"/>
        </w:r>
        <w:r w:rsidR="00486A86">
          <w:rPr>
            <w:noProof/>
            <w:webHidden/>
          </w:rPr>
          <w:t>6</w:t>
        </w:r>
        <w:r w:rsidR="00AA4213">
          <w:rPr>
            <w:noProof/>
            <w:webHidden/>
          </w:rPr>
          <w:fldChar w:fldCharType="end"/>
        </w:r>
      </w:hyperlink>
    </w:p>
    <w:p w:rsidR="00AA4213" w:rsidRDefault="00B238FB">
      <w:pPr>
        <w:pStyle w:val="TOC1"/>
        <w:tabs>
          <w:tab w:val="right" w:leader="dot" w:pos="9016"/>
        </w:tabs>
        <w:rPr>
          <w:rFonts w:eastAsiaTheme="minorEastAsia"/>
          <w:b w:val="0"/>
          <w:noProof/>
          <w:color w:val="auto"/>
          <w:sz w:val="22"/>
          <w:szCs w:val="20"/>
          <w:lang w:eastAsia="zh-TW" w:bidi="hi-IN"/>
        </w:rPr>
      </w:pPr>
      <w:hyperlink w:anchor="_Toc487206045" w:history="1">
        <w:r w:rsidR="00AA4213" w:rsidRPr="00657D5D">
          <w:rPr>
            <w:rStyle w:val="Hyperlink"/>
            <w:noProof/>
          </w:rPr>
          <w:t>Overall affordability has improved</w:t>
        </w:r>
        <w:r w:rsidR="00AA4213">
          <w:rPr>
            <w:noProof/>
            <w:webHidden/>
          </w:rPr>
          <w:tab/>
        </w:r>
        <w:r w:rsidR="00AA4213">
          <w:rPr>
            <w:noProof/>
            <w:webHidden/>
          </w:rPr>
          <w:fldChar w:fldCharType="begin"/>
        </w:r>
        <w:r w:rsidR="00AA4213">
          <w:rPr>
            <w:noProof/>
            <w:webHidden/>
          </w:rPr>
          <w:instrText xml:space="preserve"> PAGEREF _Toc487206045 \h </w:instrText>
        </w:r>
        <w:r w:rsidR="00AA4213">
          <w:rPr>
            <w:noProof/>
            <w:webHidden/>
          </w:rPr>
        </w:r>
        <w:r w:rsidR="00AA4213">
          <w:rPr>
            <w:noProof/>
            <w:webHidden/>
          </w:rPr>
          <w:fldChar w:fldCharType="separate"/>
        </w:r>
        <w:r w:rsidR="00486A86">
          <w:rPr>
            <w:noProof/>
            <w:webHidden/>
          </w:rPr>
          <w:t>6</w:t>
        </w:r>
        <w:r w:rsidR="00AA4213">
          <w:rPr>
            <w:noProof/>
            <w:webHidden/>
          </w:rPr>
          <w:fldChar w:fldCharType="end"/>
        </w:r>
      </w:hyperlink>
    </w:p>
    <w:p w:rsidR="00AA4213" w:rsidRDefault="00B238FB">
      <w:pPr>
        <w:pStyle w:val="TOC2"/>
        <w:tabs>
          <w:tab w:val="right" w:leader="dot" w:pos="9016"/>
        </w:tabs>
        <w:rPr>
          <w:rFonts w:eastAsiaTheme="minorEastAsia"/>
          <w:noProof/>
          <w:szCs w:val="20"/>
          <w:lang w:eastAsia="zh-TW" w:bidi="hi-IN"/>
        </w:rPr>
      </w:pPr>
      <w:hyperlink w:anchor="_Toc487206046" w:history="1">
        <w:r w:rsidR="00AA4213" w:rsidRPr="00657D5D">
          <w:rPr>
            <w:rStyle w:val="Hyperlink"/>
            <w:noProof/>
          </w:rPr>
          <w:t>Households are spending less</w:t>
        </w:r>
        <w:r w:rsidR="00AA4213">
          <w:rPr>
            <w:noProof/>
            <w:webHidden/>
          </w:rPr>
          <w:tab/>
        </w:r>
        <w:r w:rsidR="00AA4213">
          <w:rPr>
            <w:noProof/>
            <w:webHidden/>
          </w:rPr>
          <w:fldChar w:fldCharType="begin"/>
        </w:r>
        <w:r w:rsidR="00AA4213">
          <w:rPr>
            <w:noProof/>
            <w:webHidden/>
          </w:rPr>
          <w:instrText xml:space="preserve"> PAGEREF _Toc487206046 \h </w:instrText>
        </w:r>
        <w:r w:rsidR="00AA4213">
          <w:rPr>
            <w:noProof/>
            <w:webHidden/>
          </w:rPr>
        </w:r>
        <w:r w:rsidR="00AA4213">
          <w:rPr>
            <w:noProof/>
            <w:webHidden/>
          </w:rPr>
          <w:fldChar w:fldCharType="separate"/>
        </w:r>
        <w:r w:rsidR="00486A86">
          <w:rPr>
            <w:noProof/>
            <w:webHidden/>
          </w:rPr>
          <w:t>7</w:t>
        </w:r>
        <w:r w:rsidR="00AA4213">
          <w:rPr>
            <w:noProof/>
            <w:webHidden/>
          </w:rPr>
          <w:fldChar w:fldCharType="end"/>
        </w:r>
      </w:hyperlink>
    </w:p>
    <w:p w:rsidR="00AA4213" w:rsidRDefault="00B238FB">
      <w:pPr>
        <w:pStyle w:val="TOC2"/>
        <w:tabs>
          <w:tab w:val="right" w:leader="dot" w:pos="9016"/>
        </w:tabs>
        <w:rPr>
          <w:rFonts w:eastAsiaTheme="minorEastAsia"/>
          <w:noProof/>
          <w:szCs w:val="20"/>
          <w:lang w:eastAsia="zh-TW" w:bidi="hi-IN"/>
        </w:rPr>
      </w:pPr>
      <w:hyperlink w:anchor="_Toc487206047" w:history="1">
        <w:r w:rsidR="00AA4213" w:rsidRPr="00657D5D">
          <w:rPr>
            <w:rStyle w:val="Hyperlink"/>
            <w:noProof/>
          </w:rPr>
          <w:t>…and are accessing more services</w:t>
        </w:r>
        <w:r w:rsidR="00AA4213">
          <w:rPr>
            <w:noProof/>
            <w:webHidden/>
          </w:rPr>
          <w:tab/>
        </w:r>
        <w:r w:rsidR="00AA4213">
          <w:rPr>
            <w:noProof/>
            <w:webHidden/>
          </w:rPr>
          <w:fldChar w:fldCharType="begin"/>
        </w:r>
        <w:r w:rsidR="00AA4213">
          <w:rPr>
            <w:noProof/>
            <w:webHidden/>
          </w:rPr>
          <w:instrText xml:space="preserve"> PAGEREF _Toc487206047 \h </w:instrText>
        </w:r>
        <w:r w:rsidR="00AA4213">
          <w:rPr>
            <w:noProof/>
            <w:webHidden/>
          </w:rPr>
        </w:r>
        <w:r w:rsidR="00AA4213">
          <w:rPr>
            <w:noProof/>
            <w:webHidden/>
          </w:rPr>
          <w:fldChar w:fldCharType="separate"/>
        </w:r>
        <w:r w:rsidR="00486A86">
          <w:rPr>
            <w:noProof/>
            <w:webHidden/>
          </w:rPr>
          <w:t>8</w:t>
        </w:r>
        <w:r w:rsidR="00AA4213">
          <w:rPr>
            <w:noProof/>
            <w:webHidden/>
          </w:rPr>
          <w:fldChar w:fldCharType="end"/>
        </w:r>
      </w:hyperlink>
    </w:p>
    <w:p w:rsidR="00AA4213" w:rsidRDefault="00B238FB">
      <w:pPr>
        <w:pStyle w:val="TOC2"/>
        <w:tabs>
          <w:tab w:val="right" w:leader="dot" w:pos="9016"/>
        </w:tabs>
        <w:rPr>
          <w:rFonts w:eastAsiaTheme="minorEastAsia"/>
          <w:noProof/>
          <w:szCs w:val="20"/>
          <w:lang w:eastAsia="zh-TW" w:bidi="hi-IN"/>
        </w:rPr>
      </w:pPr>
      <w:hyperlink w:anchor="_Toc487206048" w:history="1">
        <w:r w:rsidR="00AA4213" w:rsidRPr="00657D5D">
          <w:rPr>
            <w:rStyle w:val="Hyperlink"/>
            <w:noProof/>
          </w:rPr>
          <w:t>Households are getting better value from lower prices and more data</w:t>
        </w:r>
        <w:r w:rsidR="00AA4213">
          <w:rPr>
            <w:noProof/>
            <w:webHidden/>
          </w:rPr>
          <w:tab/>
        </w:r>
        <w:r w:rsidR="00AA4213">
          <w:rPr>
            <w:noProof/>
            <w:webHidden/>
          </w:rPr>
          <w:fldChar w:fldCharType="begin"/>
        </w:r>
        <w:r w:rsidR="00AA4213">
          <w:rPr>
            <w:noProof/>
            <w:webHidden/>
          </w:rPr>
          <w:instrText xml:space="preserve"> PAGEREF _Toc487206048 \h </w:instrText>
        </w:r>
        <w:r w:rsidR="00AA4213">
          <w:rPr>
            <w:noProof/>
            <w:webHidden/>
          </w:rPr>
        </w:r>
        <w:r w:rsidR="00AA4213">
          <w:rPr>
            <w:noProof/>
            <w:webHidden/>
          </w:rPr>
          <w:fldChar w:fldCharType="separate"/>
        </w:r>
        <w:r w:rsidR="00486A86">
          <w:rPr>
            <w:noProof/>
            <w:webHidden/>
          </w:rPr>
          <w:t>11</w:t>
        </w:r>
        <w:r w:rsidR="00AA4213">
          <w:rPr>
            <w:noProof/>
            <w:webHidden/>
          </w:rPr>
          <w:fldChar w:fldCharType="end"/>
        </w:r>
      </w:hyperlink>
    </w:p>
    <w:p w:rsidR="00AA4213" w:rsidRDefault="00B238FB">
      <w:pPr>
        <w:pStyle w:val="TOC1"/>
        <w:tabs>
          <w:tab w:val="right" w:leader="dot" w:pos="9016"/>
        </w:tabs>
        <w:rPr>
          <w:rFonts w:eastAsiaTheme="minorEastAsia"/>
          <w:b w:val="0"/>
          <w:noProof/>
          <w:color w:val="auto"/>
          <w:sz w:val="22"/>
          <w:szCs w:val="20"/>
          <w:lang w:eastAsia="zh-TW" w:bidi="hi-IN"/>
        </w:rPr>
      </w:pPr>
      <w:hyperlink w:anchor="_Toc487206049" w:history="1">
        <w:r w:rsidR="00AA4213" w:rsidRPr="00657D5D">
          <w:rPr>
            <w:rStyle w:val="Hyperlink"/>
            <w:noProof/>
          </w:rPr>
          <w:t>Affordability of home broadband</w:t>
        </w:r>
        <w:r w:rsidR="00AA4213">
          <w:rPr>
            <w:noProof/>
            <w:webHidden/>
          </w:rPr>
          <w:tab/>
        </w:r>
        <w:r w:rsidR="00AA4213">
          <w:rPr>
            <w:noProof/>
            <w:webHidden/>
          </w:rPr>
          <w:fldChar w:fldCharType="begin"/>
        </w:r>
        <w:r w:rsidR="00AA4213">
          <w:rPr>
            <w:noProof/>
            <w:webHidden/>
          </w:rPr>
          <w:instrText xml:space="preserve"> PAGEREF _Toc487206049 \h </w:instrText>
        </w:r>
        <w:r w:rsidR="00AA4213">
          <w:rPr>
            <w:noProof/>
            <w:webHidden/>
          </w:rPr>
        </w:r>
        <w:r w:rsidR="00AA4213">
          <w:rPr>
            <w:noProof/>
            <w:webHidden/>
          </w:rPr>
          <w:fldChar w:fldCharType="separate"/>
        </w:r>
        <w:r w:rsidR="00486A86">
          <w:rPr>
            <w:noProof/>
            <w:webHidden/>
          </w:rPr>
          <w:t>12</w:t>
        </w:r>
        <w:r w:rsidR="00AA4213">
          <w:rPr>
            <w:noProof/>
            <w:webHidden/>
          </w:rPr>
          <w:fldChar w:fldCharType="end"/>
        </w:r>
      </w:hyperlink>
    </w:p>
    <w:p w:rsidR="00AA4213" w:rsidRDefault="00B238FB">
      <w:pPr>
        <w:pStyle w:val="TOC2"/>
        <w:tabs>
          <w:tab w:val="right" w:leader="dot" w:pos="9016"/>
        </w:tabs>
        <w:rPr>
          <w:rFonts w:eastAsiaTheme="minorEastAsia"/>
          <w:noProof/>
          <w:szCs w:val="20"/>
          <w:lang w:eastAsia="zh-TW" w:bidi="hi-IN"/>
        </w:rPr>
      </w:pPr>
      <w:hyperlink w:anchor="_Toc487206050" w:history="1">
        <w:r w:rsidR="00AA4213" w:rsidRPr="00657D5D">
          <w:rPr>
            <w:rStyle w:val="Hyperlink"/>
            <w:noProof/>
          </w:rPr>
          <w:t>Regional ADSL customers will benefit from the NBN</w:t>
        </w:r>
        <w:r w:rsidR="00AA4213">
          <w:rPr>
            <w:noProof/>
            <w:webHidden/>
          </w:rPr>
          <w:tab/>
        </w:r>
        <w:r w:rsidR="00AA4213">
          <w:rPr>
            <w:noProof/>
            <w:webHidden/>
          </w:rPr>
          <w:fldChar w:fldCharType="begin"/>
        </w:r>
        <w:r w:rsidR="00AA4213">
          <w:rPr>
            <w:noProof/>
            <w:webHidden/>
          </w:rPr>
          <w:instrText xml:space="preserve"> PAGEREF _Toc487206050 \h </w:instrText>
        </w:r>
        <w:r w:rsidR="00AA4213">
          <w:rPr>
            <w:noProof/>
            <w:webHidden/>
          </w:rPr>
        </w:r>
        <w:r w:rsidR="00AA4213">
          <w:rPr>
            <w:noProof/>
            <w:webHidden/>
          </w:rPr>
          <w:fldChar w:fldCharType="separate"/>
        </w:r>
        <w:r w:rsidR="00486A86">
          <w:rPr>
            <w:noProof/>
            <w:webHidden/>
          </w:rPr>
          <w:t>12</w:t>
        </w:r>
        <w:r w:rsidR="00AA4213">
          <w:rPr>
            <w:noProof/>
            <w:webHidden/>
          </w:rPr>
          <w:fldChar w:fldCharType="end"/>
        </w:r>
      </w:hyperlink>
    </w:p>
    <w:p w:rsidR="00AA4213" w:rsidRDefault="00B238FB">
      <w:pPr>
        <w:pStyle w:val="TOC3"/>
        <w:tabs>
          <w:tab w:val="right" w:leader="dot" w:pos="9016"/>
        </w:tabs>
        <w:rPr>
          <w:rFonts w:eastAsiaTheme="minorEastAsia"/>
          <w:noProof/>
          <w:szCs w:val="20"/>
          <w:lang w:eastAsia="zh-TW" w:bidi="hi-IN"/>
        </w:rPr>
      </w:pPr>
      <w:hyperlink w:anchor="_Toc487206051" w:history="1">
        <w:r w:rsidR="00AA4213" w:rsidRPr="00657D5D">
          <w:rPr>
            <w:rStyle w:val="Hyperlink"/>
            <w:noProof/>
          </w:rPr>
          <w:t>Box 1. On-net and off-net ADSL services</w:t>
        </w:r>
        <w:r w:rsidR="00AA4213">
          <w:rPr>
            <w:noProof/>
            <w:webHidden/>
          </w:rPr>
          <w:tab/>
        </w:r>
        <w:r w:rsidR="00AA4213">
          <w:rPr>
            <w:noProof/>
            <w:webHidden/>
          </w:rPr>
          <w:fldChar w:fldCharType="begin"/>
        </w:r>
        <w:r w:rsidR="00AA4213">
          <w:rPr>
            <w:noProof/>
            <w:webHidden/>
          </w:rPr>
          <w:instrText xml:space="preserve"> PAGEREF _Toc487206051 \h </w:instrText>
        </w:r>
        <w:r w:rsidR="00AA4213">
          <w:rPr>
            <w:noProof/>
            <w:webHidden/>
          </w:rPr>
        </w:r>
        <w:r w:rsidR="00AA4213">
          <w:rPr>
            <w:noProof/>
            <w:webHidden/>
          </w:rPr>
          <w:fldChar w:fldCharType="separate"/>
        </w:r>
        <w:r w:rsidR="00486A86">
          <w:rPr>
            <w:noProof/>
            <w:webHidden/>
          </w:rPr>
          <w:t>14</w:t>
        </w:r>
        <w:r w:rsidR="00AA4213">
          <w:rPr>
            <w:noProof/>
            <w:webHidden/>
          </w:rPr>
          <w:fldChar w:fldCharType="end"/>
        </w:r>
      </w:hyperlink>
    </w:p>
    <w:p w:rsidR="00AA4213" w:rsidRDefault="00B238FB">
      <w:pPr>
        <w:pStyle w:val="TOC2"/>
        <w:tabs>
          <w:tab w:val="right" w:leader="dot" w:pos="9016"/>
        </w:tabs>
        <w:rPr>
          <w:rFonts w:eastAsiaTheme="minorEastAsia"/>
          <w:noProof/>
          <w:szCs w:val="20"/>
          <w:lang w:eastAsia="zh-TW" w:bidi="hi-IN"/>
        </w:rPr>
      </w:pPr>
      <w:hyperlink w:anchor="_Toc487206052" w:history="1">
        <w:r w:rsidR="00AA4213" w:rsidRPr="00657D5D">
          <w:rPr>
            <w:rStyle w:val="Hyperlink"/>
            <w:noProof/>
          </w:rPr>
          <w:t>…as data allowances increase</w:t>
        </w:r>
        <w:r w:rsidR="00AA4213">
          <w:rPr>
            <w:noProof/>
            <w:webHidden/>
          </w:rPr>
          <w:tab/>
        </w:r>
        <w:r w:rsidR="00AA4213">
          <w:rPr>
            <w:noProof/>
            <w:webHidden/>
          </w:rPr>
          <w:fldChar w:fldCharType="begin"/>
        </w:r>
        <w:r w:rsidR="00AA4213">
          <w:rPr>
            <w:noProof/>
            <w:webHidden/>
          </w:rPr>
          <w:instrText xml:space="preserve"> PAGEREF _Toc487206052 \h </w:instrText>
        </w:r>
        <w:r w:rsidR="00AA4213">
          <w:rPr>
            <w:noProof/>
            <w:webHidden/>
          </w:rPr>
        </w:r>
        <w:r w:rsidR="00AA4213">
          <w:rPr>
            <w:noProof/>
            <w:webHidden/>
          </w:rPr>
          <w:fldChar w:fldCharType="separate"/>
        </w:r>
        <w:r w:rsidR="00486A86">
          <w:rPr>
            <w:noProof/>
            <w:webHidden/>
          </w:rPr>
          <w:t>18</w:t>
        </w:r>
        <w:r w:rsidR="00AA4213">
          <w:rPr>
            <w:noProof/>
            <w:webHidden/>
          </w:rPr>
          <w:fldChar w:fldCharType="end"/>
        </w:r>
      </w:hyperlink>
    </w:p>
    <w:p w:rsidR="00AA4213" w:rsidRDefault="00B238FB">
      <w:pPr>
        <w:pStyle w:val="TOC2"/>
        <w:tabs>
          <w:tab w:val="right" w:leader="dot" w:pos="9016"/>
        </w:tabs>
        <w:rPr>
          <w:rFonts w:eastAsiaTheme="minorEastAsia"/>
          <w:noProof/>
          <w:szCs w:val="20"/>
          <w:lang w:eastAsia="zh-TW" w:bidi="hi-IN"/>
        </w:rPr>
      </w:pPr>
      <w:hyperlink w:anchor="_Toc487206053" w:history="1">
        <w:r w:rsidR="00AA4213" w:rsidRPr="00657D5D">
          <w:rPr>
            <w:rStyle w:val="Hyperlink"/>
            <w:noProof/>
          </w:rPr>
          <w:t>Prices of entry-level broadband bundle plans are stable, but with increased data inclusions for some plans</w:t>
        </w:r>
        <w:r w:rsidR="00AA4213">
          <w:rPr>
            <w:noProof/>
            <w:webHidden/>
          </w:rPr>
          <w:tab/>
        </w:r>
        <w:r w:rsidR="00AA4213">
          <w:rPr>
            <w:noProof/>
            <w:webHidden/>
          </w:rPr>
          <w:fldChar w:fldCharType="begin"/>
        </w:r>
        <w:r w:rsidR="00AA4213">
          <w:rPr>
            <w:noProof/>
            <w:webHidden/>
          </w:rPr>
          <w:instrText xml:space="preserve"> PAGEREF _Toc487206053 \h </w:instrText>
        </w:r>
        <w:r w:rsidR="00AA4213">
          <w:rPr>
            <w:noProof/>
            <w:webHidden/>
          </w:rPr>
        </w:r>
        <w:r w:rsidR="00AA4213">
          <w:rPr>
            <w:noProof/>
            <w:webHidden/>
          </w:rPr>
          <w:fldChar w:fldCharType="separate"/>
        </w:r>
        <w:r w:rsidR="00486A86">
          <w:rPr>
            <w:noProof/>
            <w:webHidden/>
          </w:rPr>
          <w:t>20</w:t>
        </w:r>
        <w:r w:rsidR="00AA4213">
          <w:rPr>
            <w:noProof/>
            <w:webHidden/>
          </w:rPr>
          <w:fldChar w:fldCharType="end"/>
        </w:r>
      </w:hyperlink>
    </w:p>
    <w:p w:rsidR="00AA4213" w:rsidRDefault="00B238FB">
      <w:pPr>
        <w:pStyle w:val="TOC1"/>
        <w:tabs>
          <w:tab w:val="right" w:leader="dot" w:pos="9016"/>
        </w:tabs>
        <w:rPr>
          <w:rFonts w:eastAsiaTheme="minorEastAsia"/>
          <w:b w:val="0"/>
          <w:noProof/>
          <w:color w:val="auto"/>
          <w:sz w:val="22"/>
          <w:szCs w:val="20"/>
          <w:lang w:eastAsia="zh-TW" w:bidi="hi-IN"/>
        </w:rPr>
      </w:pPr>
      <w:hyperlink w:anchor="_Toc487206054" w:history="1">
        <w:r w:rsidR="00AA4213" w:rsidRPr="00657D5D">
          <w:rPr>
            <w:rStyle w:val="Hyperlink"/>
            <w:noProof/>
          </w:rPr>
          <w:t>Affordability of mobile services</w:t>
        </w:r>
        <w:r w:rsidR="00AA4213">
          <w:rPr>
            <w:noProof/>
            <w:webHidden/>
          </w:rPr>
          <w:tab/>
        </w:r>
        <w:r w:rsidR="00AA4213">
          <w:rPr>
            <w:noProof/>
            <w:webHidden/>
          </w:rPr>
          <w:fldChar w:fldCharType="begin"/>
        </w:r>
        <w:r w:rsidR="00AA4213">
          <w:rPr>
            <w:noProof/>
            <w:webHidden/>
          </w:rPr>
          <w:instrText xml:space="preserve"> PAGEREF _Toc487206054 \h </w:instrText>
        </w:r>
        <w:r w:rsidR="00AA4213">
          <w:rPr>
            <w:noProof/>
            <w:webHidden/>
          </w:rPr>
        </w:r>
        <w:r w:rsidR="00AA4213">
          <w:rPr>
            <w:noProof/>
            <w:webHidden/>
          </w:rPr>
          <w:fldChar w:fldCharType="separate"/>
        </w:r>
        <w:r w:rsidR="00486A86">
          <w:rPr>
            <w:noProof/>
            <w:webHidden/>
          </w:rPr>
          <w:t>22</w:t>
        </w:r>
        <w:r w:rsidR="00AA4213">
          <w:rPr>
            <w:noProof/>
            <w:webHidden/>
          </w:rPr>
          <w:fldChar w:fldCharType="end"/>
        </w:r>
      </w:hyperlink>
    </w:p>
    <w:p w:rsidR="00AA4213" w:rsidRDefault="00B238FB">
      <w:pPr>
        <w:pStyle w:val="TOC2"/>
        <w:tabs>
          <w:tab w:val="right" w:leader="dot" w:pos="9016"/>
        </w:tabs>
        <w:rPr>
          <w:rFonts w:eastAsiaTheme="minorEastAsia"/>
          <w:noProof/>
          <w:szCs w:val="20"/>
          <w:lang w:eastAsia="zh-TW" w:bidi="hi-IN"/>
        </w:rPr>
      </w:pPr>
      <w:hyperlink w:anchor="_Toc487206055" w:history="1">
        <w:r w:rsidR="00AA4213" w:rsidRPr="00657D5D">
          <w:rPr>
            <w:rStyle w:val="Hyperlink"/>
            <w:noProof/>
          </w:rPr>
          <w:t>There is a wide range of options for mobile customers, including at lower price points</w:t>
        </w:r>
        <w:r w:rsidR="00AA4213">
          <w:rPr>
            <w:noProof/>
            <w:webHidden/>
          </w:rPr>
          <w:tab/>
        </w:r>
        <w:r w:rsidR="00AA4213">
          <w:rPr>
            <w:noProof/>
            <w:webHidden/>
          </w:rPr>
          <w:fldChar w:fldCharType="begin"/>
        </w:r>
        <w:r w:rsidR="00AA4213">
          <w:rPr>
            <w:noProof/>
            <w:webHidden/>
          </w:rPr>
          <w:instrText xml:space="preserve"> PAGEREF _Toc487206055 \h </w:instrText>
        </w:r>
        <w:r w:rsidR="00AA4213">
          <w:rPr>
            <w:noProof/>
            <w:webHidden/>
          </w:rPr>
        </w:r>
        <w:r w:rsidR="00AA4213">
          <w:rPr>
            <w:noProof/>
            <w:webHidden/>
          </w:rPr>
          <w:fldChar w:fldCharType="separate"/>
        </w:r>
        <w:r w:rsidR="00486A86">
          <w:rPr>
            <w:noProof/>
            <w:webHidden/>
          </w:rPr>
          <w:t>22</w:t>
        </w:r>
        <w:r w:rsidR="00AA4213">
          <w:rPr>
            <w:noProof/>
            <w:webHidden/>
          </w:rPr>
          <w:fldChar w:fldCharType="end"/>
        </w:r>
      </w:hyperlink>
    </w:p>
    <w:p w:rsidR="00AA4213" w:rsidRDefault="00B238FB">
      <w:pPr>
        <w:pStyle w:val="TOC2"/>
        <w:tabs>
          <w:tab w:val="right" w:leader="dot" w:pos="9016"/>
        </w:tabs>
        <w:rPr>
          <w:rFonts w:eastAsiaTheme="minorEastAsia"/>
          <w:noProof/>
          <w:szCs w:val="20"/>
          <w:lang w:eastAsia="zh-TW" w:bidi="hi-IN"/>
        </w:rPr>
      </w:pPr>
      <w:hyperlink w:anchor="_Toc487206056" w:history="1">
        <w:r w:rsidR="00AA4213" w:rsidRPr="00657D5D">
          <w:rPr>
            <w:rStyle w:val="Hyperlink"/>
            <w:noProof/>
          </w:rPr>
          <w:t>…providing regional consumers with more choice</w:t>
        </w:r>
        <w:r w:rsidR="00AA4213">
          <w:rPr>
            <w:noProof/>
            <w:webHidden/>
          </w:rPr>
          <w:tab/>
        </w:r>
        <w:r w:rsidR="00AA4213">
          <w:rPr>
            <w:noProof/>
            <w:webHidden/>
          </w:rPr>
          <w:fldChar w:fldCharType="begin"/>
        </w:r>
        <w:r w:rsidR="00AA4213">
          <w:rPr>
            <w:noProof/>
            <w:webHidden/>
          </w:rPr>
          <w:instrText xml:space="preserve"> PAGEREF _Toc487206056 \h </w:instrText>
        </w:r>
        <w:r w:rsidR="00AA4213">
          <w:rPr>
            <w:noProof/>
            <w:webHidden/>
          </w:rPr>
        </w:r>
        <w:r w:rsidR="00AA4213">
          <w:rPr>
            <w:noProof/>
            <w:webHidden/>
          </w:rPr>
          <w:fldChar w:fldCharType="separate"/>
        </w:r>
        <w:r w:rsidR="00486A86">
          <w:rPr>
            <w:noProof/>
            <w:webHidden/>
          </w:rPr>
          <w:t>24</w:t>
        </w:r>
        <w:r w:rsidR="00AA4213">
          <w:rPr>
            <w:noProof/>
            <w:webHidden/>
          </w:rPr>
          <w:fldChar w:fldCharType="end"/>
        </w:r>
      </w:hyperlink>
    </w:p>
    <w:p w:rsidR="00AA4213" w:rsidRDefault="00B238FB">
      <w:pPr>
        <w:pStyle w:val="TOC3"/>
        <w:tabs>
          <w:tab w:val="right" w:leader="dot" w:pos="9016"/>
        </w:tabs>
        <w:rPr>
          <w:rFonts w:eastAsiaTheme="minorEastAsia"/>
          <w:noProof/>
          <w:szCs w:val="20"/>
          <w:lang w:eastAsia="zh-TW" w:bidi="hi-IN"/>
        </w:rPr>
      </w:pPr>
      <w:hyperlink w:anchor="_Toc487206057" w:history="1">
        <w:r w:rsidR="00AA4213" w:rsidRPr="00657D5D">
          <w:rPr>
            <w:rStyle w:val="Hyperlink"/>
            <w:noProof/>
          </w:rPr>
          <w:t>Box 2: MNOs vs MVNOs</w:t>
        </w:r>
        <w:r w:rsidR="00AA4213">
          <w:rPr>
            <w:noProof/>
            <w:webHidden/>
          </w:rPr>
          <w:tab/>
        </w:r>
        <w:r w:rsidR="00AA4213">
          <w:rPr>
            <w:noProof/>
            <w:webHidden/>
          </w:rPr>
          <w:fldChar w:fldCharType="begin"/>
        </w:r>
        <w:r w:rsidR="00AA4213">
          <w:rPr>
            <w:noProof/>
            <w:webHidden/>
          </w:rPr>
          <w:instrText xml:space="preserve"> PAGEREF _Toc487206057 \h </w:instrText>
        </w:r>
        <w:r w:rsidR="00AA4213">
          <w:rPr>
            <w:noProof/>
            <w:webHidden/>
          </w:rPr>
        </w:r>
        <w:r w:rsidR="00AA4213">
          <w:rPr>
            <w:noProof/>
            <w:webHidden/>
          </w:rPr>
          <w:fldChar w:fldCharType="separate"/>
        </w:r>
        <w:r w:rsidR="00486A86">
          <w:rPr>
            <w:noProof/>
            <w:webHidden/>
          </w:rPr>
          <w:t>24</w:t>
        </w:r>
        <w:r w:rsidR="00AA4213">
          <w:rPr>
            <w:noProof/>
            <w:webHidden/>
          </w:rPr>
          <w:fldChar w:fldCharType="end"/>
        </w:r>
      </w:hyperlink>
    </w:p>
    <w:p w:rsidR="00AA4213" w:rsidRDefault="00B238FB">
      <w:pPr>
        <w:pStyle w:val="TOC2"/>
        <w:tabs>
          <w:tab w:val="right" w:leader="dot" w:pos="9016"/>
        </w:tabs>
        <w:rPr>
          <w:rFonts w:eastAsiaTheme="minorEastAsia"/>
          <w:noProof/>
          <w:szCs w:val="20"/>
          <w:lang w:eastAsia="zh-TW" w:bidi="hi-IN"/>
        </w:rPr>
      </w:pPr>
      <w:hyperlink w:anchor="_Toc487206058" w:history="1">
        <w:r w:rsidR="00AA4213" w:rsidRPr="00657D5D">
          <w:rPr>
            <w:rStyle w:val="Hyperlink"/>
            <w:noProof/>
          </w:rPr>
          <w:t>The range of both post-paid and prepaid plans has increased…</w:t>
        </w:r>
        <w:r w:rsidR="00AA4213">
          <w:rPr>
            <w:noProof/>
            <w:webHidden/>
          </w:rPr>
          <w:tab/>
        </w:r>
        <w:r w:rsidR="00AA4213">
          <w:rPr>
            <w:noProof/>
            <w:webHidden/>
          </w:rPr>
          <w:fldChar w:fldCharType="begin"/>
        </w:r>
        <w:r w:rsidR="00AA4213">
          <w:rPr>
            <w:noProof/>
            <w:webHidden/>
          </w:rPr>
          <w:instrText xml:space="preserve"> PAGEREF _Toc487206058 \h </w:instrText>
        </w:r>
        <w:r w:rsidR="00AA4213">
          <w:rPr>
            <w:noProof/>
            <w:webHidden/>
          </w:rPr>
        </w:r>
        <w:r w:rsidR="00AA4213">
          <w:rPr>
            <w:noProof/>
            <w:webHidden/>
          </w:rPr>
          <w:fldChar w:fldCharType="separate"/>
        </w:r>
        <w:r w:rsidR="00486A86">
          <w:rPr>
            <w:noProof/>
            <w:webHidden/>
          </w:rPr>
          <w:t>27</w:t>
        </w:r>
        <w:r w:rsidR="00AA4213">
          <w:rPr>
            <w:noProof/>
            <w:webHidden/>
          </w:rPr>
          <w:fldChar w:fldCharType="end"/>
        </w:r>
      </w:hyperlink>
    </w:p>
    <w:p w:rsidR="00AA4213" w:rsidRDefault="00B238FB">
      <w:pPr>
        <w:pStyle w:val="TOC2"/>
        <w:tabs>
          <w:tab w:val="right" w:leader="dot" w:pos="9016"/>
        </w:tabs>
        <w:rPr>
          <w:rFonts w:eastAsiaTheme="minorEastAsia"/>
          <w:noProof/>
          <w:szCs w:val="20"/>
          <w:lang w:eastAsia="zh-TW" w:bidi="hi-IN"/>
        </w:rPr>
      </w:pPr>
      <w:hyperlink w:anchor="_Toc487206059" w:history="1">
        <w:r w:rsidR="00AA4213" w:rsidRPr="00657D5D">
          <w:rPr>
            <w:rStyle w:val="Hyperlink"/>
            <w:noProof/>
          </w:rPr>
          <w:t>…including for mobile wireless broadband</w:t>
        </w:r>
        <w:r w:rsidR="00AA4213">
          <w:rPr>
            <w:noProof/>
            <w:webHidden/>
          </w:rPr>
          <w:tab/>
        </w:r>
        <w:r w:rsidR="00AA4213">
          <w:rPr>
            <w:noProof/>
            <w:webHidden/>
          </w:rPr>
          <w:fldChar w:fldCharType="begin"/>
        </w:r>
        <w:r w:rsidR="00AA4213">
          <w:rPr>
            <w:noProof/>
            <w:webHidden/>
          </w:rPr>
          <w:instrText xml:space="preserve"> PAGEREF _Toc487206059 \h </w:instrText>
        </w:r>
        <w:r w:rsidR="00AA4213">
          <w:rPr>
            <w:noProof/>
            <w:webHidden/>
          </w:rPr>
        </w:r>
        <w:r w:rsidR="00AA4213">
          <w:rPr>
            <w:noProof/>
            <w:webHidden/>
          </w:rPr>
          <w:fldChar w:fldCharType="separate"/>
        </w:r>
        <w:r w:rsidR="00486A86">
          <w:rPr>
            <w:noProof/>
            <w:webHidden/>
          </w:rPr>
          <w:t>28</w:t>
        </w:r>
        <w:r w:rsidR="00AA4213">
          <w:rPr>
            <w:noProof/>
            <w:webHidden/>
          </w:rPr>
          <w:fldChar w:fldCharType="end"/>
        </w:r>
      </w:hyperlink>
    </w:p>
    <w:p w:rsidR="00AA4213" w:rsidRDefault="00B238FB">
      <w:pPr>
        <w:pStyle w:val="TOC1"/>
        <w:tabs>
          <w:tab w:val="right" w:leader="dot" w:pos="9016"/>
        </w:tabs>
        <w:rPr>
          <w:rFonts w:eastAsiaTheme="minorEastAsia"/>
          <w:b w:val="0"/>
          <w:noProof/>
          <w:color w:val="auto"/>
          <w:sz w:val="22"/>
          <w:szCs w:val="20"/>
          <w:lang w:eastAsia="zh-TW" w:bidi="hi-IN"/>
        </w:rPr>
      </w:pPr>
      <w:hyperlink w:anchor="_Toc487206060" w:history="1">
        <w:r w:rsidR="00AA4213" w:rsidRPr="00657D5D">
          <w:rPr>
            <w:rStyle w:val="Hyperlink"/>
            <w:noProof/>
          </w:rPr>
          <w:t>Affordability outcomes for particular households</w:t>
        </w:r>
        <w:r w:rsidR="00AA4213">
          <w:rPr>
            <w:noProof/>
            <w:webHidden/>
          </w:rPr>
          <w:tab/>
        </w:r>
        <w:r w:rsidR="00AA4213">
          <w:rPr>
            <w:noProof/>
            <w:webHidden/>
          </w:rPr>
          <w:fldChar w:fldCharType="begin"/>
        </w:r>
        <w:r w:rsidR="00AA4213">
          <w:rPr>
            <w:noProof/>
            <w:webHidden/>
          </w:rPr>
          <w:instrText xml:space="preserve"> PAGEREF _Toc487206060 \h </w:instrText>
        </w:r>
        <w:r w:rsidR="00AA4213">
          <w:rPr>
            <w:noProof/>
            <w:webHidden/>
          </w:rPr>
        </w:r>
        <w:r w:rsidR="00AA4213">
          <w:rPr>
            <w:noProof/>
            <w:webHidden/>
          </w:rPr>
          <w:fldChar w:fldCharType="separate"/>
        </w:r>
        <w:r w:rsidR="00486A86">
          <w:rPr>
            <w:noProof/>
            <w:webHidden/>
          </w:rPr>
          <w:t>30</w:t>
        </w:r>
        <w:r w:rsidR="00AA4213">
          <w:rPr>
            <w:noProof/>
            <w:webHidden/>
          </w:rPr>
          <w:fldChar w:fldCharType="end"/>
        </w:r>
      </w:hyperlink>
    </w:p>
    <w:p w:rsidR="00AA4213" w:rsidRDefault="00B238FB">
      <w:pPr>
        <w:pStyle w:val="TOC2"/>
        <w:tabs>
          <w:tab w:val="right" w:leader="dot" w:pos="9016"/>
        </w:tabs>
        <w:rPr>
          <w:rFonts w:eastAsiaTheme="minorEastAsia"/>
          <w:noProof/>
          <w:szCs w:val="20"/>
          <w:lang w:eastAsia="zh-TW" w:bidi="hi-IN"/>
        </w:rPr>
      </w:pPr>
      <w:hyperlink w:anchor="_Toc487206061" w:history="1">
        <w:r w:rsidR="00AA4213" w:rsidRPr="00657D5D">
          <w:rPr>
            <w:rStyle w:val="Hyperlink"/>
            <w:noProof/>
          </w:rPr>
          <w:t>Lower-income households spend a larger proportion of their income on communications services</w:t>
        </w:r>
        <w:r w:rsidR="00AA4213">
          <w:rPr>
            <w:noProof/>
            <w:webHidden/>
          </w:rPr>
          <w:tab/>
        </w:r>
        <w:r w:rsidR="00AA4213">
          <w:rPr>
            <w:noProof/>
            <w:webHidden/>
          </w:rPr>
          <w:fldChar w:fldCharType="begin"/>
        </w:r>
        <w:r w:rsidR="00AA4213">
          <w:rPr>
            <w:noProof/>
            <w:webHidden/>
          </w:rPr>
          <w:instrText xml:space="preserve"> PAGEREF _Toc487206061 \h </w:instrText>
        </w:r>
        <w:r w:rsidR="00AA4213">
          <w:rPr>
            <w:noProof/>
            <w:webHidden/>
          </w:rPr>
        </w:r>
        <w:r w:rsidR="00AA4213">
          <w:rPr>
            <w:noProof/>
            <w:webHidden/>
          </w:rPr>
          <w:fldChar w:fldCharType="separate"/>
        </w:r>
        <w:r w:rsidR="00486A86">
          <w:rPr>
            <w:noProof/>
            <w:webHidden/>
          </w:rPr>
          <w:t>30</w:t>
        </w:r>
        <w:r w:rsidR="00AA4213">
          <w:rPr>
            <w:noProof/>
            <w:webHidden/>
          </w:rPr>
          <w:fldChar w:fldCharType="end"/>
        </w:r>
      </w:hyperlink>
    </w:p>
    <w:p w:rsidR="00AA4213" w:rsidRDefault="00B238FB">
      <w:pPr>
        <w:pStyle w:val="TOC1"/>
        <w:tabs>
          <w:tab w:val="right" w:leader="dot" w:pos="9016"/>
        </w:tabs>
        <w:rPr>
          <w:rFonts w:eastAsiaTheme="minorEastAsia"/>
          <w:b w:val="0"/>
          <w:noProof/>
          <w:color w:val="auto"/>
          <w:sz w:val="22"/>
          <w:szCs w:val="20"/>
          <w:lang w:eastAsia="zh-TW" w:bidi="hi-IN"/>
        </w:rPr>
      </w:pPr>
      <w:hyperlink w:anchor="_Toc487206062" w:history="1">
        <w:r w:rsidR="00AA4213" w:rsidRPr="00657D5D">
          <w:rPr>
            <w:rStyle w:val="Hyperlink"/>
            <w:noProof/>
          </w:rPr>
          <w:t>International comparisons</w:t>
        </w:r>
        <w:r w:rsidR="00AA4213">
          <w:rPr>
            <w:noProof/>
            <w:webHidden/>
          </w:rPr>
          <w:tab/>
        </w:r>
        <w:r w:rsidR="00AA4213">
          <w:rPr>
            <w:noProof/>
            <w:webHidden/>
          </w:rPr>
          <w:fldChar w:fldCharType="begin"/>
        </w:r>
        <w:r w:rsidR="00AA4213">
          <w:rPr>
            <w:noProof/>
            <w:webHidden/>
          </w:rPr>
          <w:instrText xml:space="preserve"> PAGEREF _Toc487206062 \h </w:instrText>
        </w:r>
        <w:r w:rsidR="00AA4213">
          <w:rPr>
            <w:noProof/>
            <w:webHidden/>
          </w:rPr>
        </w:r>
        <w:r w:rsidR="00AA4213">
          <w:rPr>
            <w:noProof/>
            <w:webHidden/>
          </w:rPr>
          <w:fldChar w:fldCharType="separate"/>
        </w:r>
        <w:r w:rsidR="00486A86">
          <w:rPr>
            <w:noProof/>
            <w:webHidden/>
          </w:rPr>
          <w:t>34</w:t>
        </w:r>
        <w:r w:rsidR="00AA4213">
          <w:rPr>
            <w:noProof/>
            <w:webHidden/>
          </w:rPr>
          <w:fldChar w:fldCharType="end"/>
        </w:r>
      </w:hyperlink>
    </w:p>
    <w:p w:rsidR="00AA4213" w:rsidRDefault="00B238FB">
      <w:pPr>
        <w:pStyle w:val="TOC1"/>
        <w:tabs>
          <w:tab w:val="right" w:leader="dot" w:pos="9016"/>
        </w:tabs>
        <w:rPr>
          <w:rFonts w:eastAsiaTheme="minorEastAsia"/>
          <w:b w:val="0"/>
          <w:noProof/>
          <w:color w:val="auto"/>
          <w:sz w:val="22"/>
          <w:szCs w:val="20"/>
          <w:lang w:eastAsia="zh-TW" w:bidi="hi-IN"/>
        </w:rPr>
      </w:pPr>
      <w:hyperlink w:anchor="_Toc487206063" w:history="1">
        <w:r w:rsidR="00AA4213" w:rsidRPr="00657D5D">
          <w:rPr>
            <w:rStyle w:val="Hyperlink"/>
            <w:noProof/>
          </w:rPr>
          <w:t>Outlook for affordability</w:t>
        </w:r>
        <w:r w:rsidR="00AA4213">
          <w:rPr>
            <w:noProof/>
            <w:webHidden/>
          </w:rPr>
          <w:tab/>
        </w:r>
        <w:r w:rsidR="00AA4213">
          <w:rPr>
            <w:noProof/>
            <w:webHidden/>
          </w:rPr>
          <w:fldChar w:fldCharType="begin"/>
        </w:r>
        <w:r w:rsidR="00AA4213">
          <w:rPr>
            <w:noProof/>
            <w:webHidden/>
          </w:rPr>
          <w:instrText xml:space="preserve"> PAGEREF _Toc487206063 \h </w:instrText>
        </w:r>
        <w:r w:rsidR="00AA4213">
          <w:rPr>
            <w:noProof/>
            <w:webHidden/>
          </w:rPr>
        </w:r>
        <w:r w:rsidR="00AA4213">
          <w:rPr>
            <w:noProof/>
            <w:webHidden/>
          </w:rPr>
          <w:fldChar w:fldCharType="separate"/>
        </w:r>
        <w:r w:rsidR="00486A86">
          <w:rPr>
            <w:noProof/>
            <w:webHidden/>
          </w:rPr>
          <w:t>34</w:t>
        </w:r>
        <w:r w:rsidR="00AA4213">
          <w:rPr>
            <w:noProof/>
            <w:webHidden/>
          </w:rPr>
          <w:fldChar w:fldCharType="end"/>
        </w:r>
      </w:hyperlink>
    </w:p>
    <w:p w:rsidR="00AA4213" w:rsidRDefault="00B238FB" w:rsidP="00ED2C03">
      <w:pPr>
        <w:pStyle w:val="TOC1"/>
        <w:tabs>
          <w:tab w:val="right" w:leader="dot" w:pos="9016"/>
        </w:tabs>
        <w:rPr>
          <w:rFonts w:eastAsiaTheme="minorEastAsia"/>
          <w:noProof/>
          <w:szCs w:val="20"/>
          <w:lang w:eastAsia="zh-TW" w:bidi="hi-IN"/>
        </w:rPr>
      </w:pPr>
      <w:hyperlink w:anchor="_Toc487206064" w:history="1">
        <w:r w:rsidR="009E52E3">
          <w:rPr>
            <w:rStyle w:val="Hyperlink"/>
            <w:noProof/>
          </w:rPr>
          <w:t>Appendix</w:t>
        </w:r>
        <w:r w:rsidR="00AA4213" w:rsidRPr="00657D5D">
          <w:rPr>
            <w:rStyle w:val="Hyperlink"/>
            <w:noProof/>
          </w:rPr>
          <w:t>. Price collection methodology</w:t>
        </w:r>
        <w:r w:rsidR="00AA4213">
          <w:rPr>
            <w:noProof/>
            <w:webHidden/>
          </w:rPr>
          <w:tab/>
        </w:r>
        <w:r w:rsidR="00AA4213">
          <w:rPr>
            <w:noProof/>
            <w:webHidden/>
          </w:rPr>
          <w:fldChar w:fldCharType="begin"/>
        </w:r>
        <w:r w:rsidR="00AA4213">
          <w:rPr>
            <w:noProof/>
            <w:webHidden/>
          </w:rPr>
          <w:instrText xml:space="preserve"> PAGEREF _Toc487206064 \h </w:instrText>
        </w:r>
        <w:r w:rsidR="00AA4213">
          <w:rPr>
            <w:noProof/>
            <w:webHidden/>
          </w:rPr>
        </w:r>
        <w:r w:rsidR="00AA4213">
          <w:rPr>
            <w:noProof/>
            <w:webHidden/>
          </w:rPr>
          <w:fldChar w:fldCharType="separate"/>
        </w:r>
        <w:r w:rsidR="00486A86">
          <w:rPr>
            <w:noProof/>
            <w:webHidden/>
          </w:rPr>
          <w:t>35</w:t>
        </w:r>
        <w:r w:rsidR="00AA4213">
          <w:rPr>
            <w:noProof/>
            <w:webHidden/>
          </w:rPr>
          <w:fldChar w:fldCharType="end"/>
        </w:r>
      </w:hyperlink>
    </w:p>
    <w:p w:rsidR="00AA4213" w:rsidRDefault="00B238FB">
      <w:pPr>
        <w:pStyle w:val="TOC1"/>
        <w:tabs>
          <w:tab w:val="right" w:leader="dot" w:pos="9016"/>
        </w:tabs>
        <w:rPr>
          <w:rFonts w:eastAsiaTheme="minorEastAsia"/>
          <w:b w:val="0"/>
          <w:noProof/>
          <w:color w:val="auto"/>
          <w:sz w:val="22"/>
          <w:szCs w:val="20"/>
          <w:lang w:eastAsia="zh-TW" w:bidi="hi-IN"/>
        </w:rPr>
      </w:pPr>
      <w:hyperlink w:anchor="_Toc487206087" w:history="1">
        <w:r w:rsidR="009E52E3">
          <w:rPr>
            <w:rStyle w:val="Hyperlink"/>
            <w:noProof/>
          </w:rPr>
          <w:t>Endnotes</w:t>
        </w:r>
        <w:r w:rsidR="00AA4213">
          <w:rPr>
            <w:noProof/>
            <w:webHidden/>
          </w:rPr>
          <w:tab/>
        </w:r>
        <w:r w:rsidR="00AA4213">
          <w:rPr>
            <w:noProof/>
            <w:webHidden/>
          </w:rPr>
          <w:fldChar w:fldCharType="begin"/>
        </w:r>
        <w:r w:rsidR="00AA4213">
          <w:rPr>
            <w:noProof/>
            <w:webHidden/>
          </w:rPr>
          <w:instrText xml:space="preserve"> PAGEREF _Toc487206087 \h </w:instrText>
        </w:r>
        <w:r w:rsidR="00AA4213">
          <w:rPr>
            <w:noProof/>
            <w:webHidden/>
          </w:rPr>
        </w:r>
        <w:r w:rsidR="00AA4213">
          <w:rPr>
            <w:noProof/>
            <w:webHidden/>
          </w:rPr>
          <w:fldChar w:fldCharType="separate"/>
        </w:r>
        <w:r w:rsidR="00486A86">
          <w:rPr>
            <w:noProof/>
            <w:webHidden/>
          </w:rPr>
          <w:t>40</w:t>
        </w:r>
        <w:r w:rsidR="00AA4213">
          <w:rPr>
            <w:noProof/>
            <w:webHidden/>
          </w:rPr>
          <w:fldChar w:fldCharType="end"/>
        </w:r>
      </w:hyperlink>
    </w:p>
    <w:p w:rsidR="005700B7" w:rsidRPr="00AE73E3" w:rsidRDefault="00540B2F" w:rsidP="000C30DA">
      <w:r>
        <w:rPr>
          <w:color w:val="07478C"/>
          <w:sz w:val="24"/>
        </w:rPr>
        <w:fldChar w:fldCharType="end"/>
      </w:r>
      <w:bookmarkStart w:id="5" w:name="_Toc471208850"/>
    </w:p>
    <w:p w:rsidR="005700B7" w:rsidRPr="00AE73E3" w:rsidRDefault="005700B7" w:rsidP="005700B7">
      <w:r w:rsidRPr="00AE73E3">
        <w:br w:type="page"/>
      </w:r>
    </w:p>
    <w:p w:rsidR="005700B7" w:rsidRDefault="005700B7" w:rsidP="001061E5">
      <w:pPr>
        <w:pStyle w:val="Heading2-notshowingincontentsindocument"/>
      </w:pPr>
      <w:bookmarkStart w:id="6" w:name="_Toc486261291"/>
      <w:r w:rsidRPr="00AE73E3">
        <w:lastRenderedPageBreak/>
        <w:t>List of figures</w:t>
      </w:r>
      <w:bookmarkEnd w:id="6"/>
    </w:p>
    <w:p w:rsidR="00AA4213" w:rsidRDefault="005700B7">
      <w:pPr>
        <w:pStyle w:val="TableofFigures"/>
        <w:tabs>
          <w:tab w:val="right" w:leader="dot" w:pos="9016"/>
        </w:tabs>
        <w:rPr>
          <w:rFonts w:asciiTheme="minorHAnsi" w:eastAsiaTheme="minorEastAsia" w:hAnsiTheme="minorHAnsi"/>
          <w:noProof/>
          <w:szCs w:val="20"/>
          <w:lang w:eastAsia="zh-TW" w:bidi="hi-IN"/>
        </w:rPr>
      </w:pPr>
      <w:r w:rsidRPr="00AE73E3">
        <w:fldChar w:fldCharType="begin"/>
      </w:r>
      <w:r w:rsidRPr="00AE73E3">
        <w:instrText xml:space="preserve"> TOC \h \z \c "Figure" </w:instrText>
      </w:r>
      <w:r w:rsidRPr="00AE73E3">
        <w:fldChar w:fldCharType="separate"/>
      </w:r>
      <w:hyperlink w:anchor="_Toc487206088" w:history="1">
        <w:r w:rsidR="00AA4213" w:rsidRPr="00F0130B">
          <w:rPr>
            <w:rStyle w:val="Hyperlink"/>
            <w:noProof/>
          </w:rPr>
          <w:t>Figure 1. Average share of household disposable income spent on mobile and fixed-line telephone rent, calls and internet charges</w:t>
        </w:r>
        <w:r w:rsidR="00AA4213">
          <w:rPr>
            <w:noProof/>
            <w:webHidden/>
          </w:rPr>
          <w:tab/>
        </w:r>
        <w:r w:rsidR="00AA4213">
          <w:rPr>
            <w:noProof/>
            <w:webHidden/>
          </w:rPr>
          <w:fldChar w:fldCharType="begin"/>
        </w:r>
        <w:r w:rsidR="00AA4213">
          <w:rPr>
            <w:noProof/>
            <w:webHidden/>
          </w:rPr>
          <w:instrText xml:space="preserve"> PAGEREF _Toc487206088 \h </w:instrText>
        </w:r>
        <w:r w:rsidR="00AA4213">
          <w:rPr>
            <w:noProof/>
            <w:webHidden/>
          </w:rPr>
        </w:r>
        <w:r w:rsidR="00AA4213">
          <w:rPr>
            <w:noProof/>
            <w:webHidden/>
          </w:rPr>
          <w:fldChar w:fldCharType="separate"/>
        </w:r>
        <w:r w:rsidR="008F2463">
          <w:rPr>
            <w:noProof/>
            <w:webHidden/>
          </w:rPr>
          <w:t>7</w:t>
        </w:r>
        <w:r w:rsidR="00AA4213">
          <w:rPr>
            <w:noProof/>
            <w:webHidden/>
          </w:rPr>
          <w:fldChar w:fldCharType="end"/>
        </w:r>
      </w:hyperlink>
    </w:p>
    <w:p w:rsidR="00AA4213" w:rsidRDefault="00B238FB">
      <w:pPr>
        <w:pStyle w:val="TableofFigures"/>
        <w:tabs>
          <w:tab w:val="right" w:leader="dot" w:pos="9016"/>
        </w:tabs>
        <w:rPr>
          <w:rFonts w:asciiTheme="minorHAnsi" w:eastAsiaTheme="minorEastAsia" w:hAnsiTheme="minorHAnsi"/>
          <w:noProof/>
          <w:szCs w:val="20"/>
          <w:lang w:eastAsia="zh-TW" w:bidi="hi-IN"/>
        </w:rPr>
      </w:pPr>
      <w:hyperlink w:anchor="_Toc487206089" w:history="1">
        <w:r w:rsidR="00AA4213" w:rsidRPr="00F0130B">
          <w:rPr>
            <w:rStyle w:val="Hyperlink"/>
            <w:noProof/>
          </w:rPr>
          <w:t>Figure 2. Average annual household expenditure on mobile and fixed-line telephone rent, calls and internet charges and average annual household disposable income</w:t>
        </w:r>
        <w:r w:rsidR="00AA4213">
          <w:rPr>
            <w:noProof/>
            <w:webHidden/>
          </w:rPr>
          <w:tab/>
        </w:r>
        <w:r w:rsidR="00AA4213">
          <w:rPr>
            <w:noProof/>
            <w:webHidden/>
          </w:rPr>
          <w:fldChar w:fldCharType="begin"/>
        </w:r>
        <w:r w:rsidR="00AA4213">
          <w:rPr>
            <w:noProof/>
            <w:webHidden/>
          </w:rPr>
          <w:instrText xml:space="preserve"> PAGEREF _Toc487206089 \h </w:instrText>
        </w:r>
        <w:r w:rsidR="00AA4213">
          <w:rPr>
            <w:noProof/>
            <w:webHidden/>
          </w:rPr>
        </w:r>
        <w:r w:rsidR="00AA4213">
          <w:rPr>
            <w:noProof/>
            <w:webHidden/>
          </w:rPr>
          <w:fldChar w:fldCharType="separate"/>
        </w:r>
        <w:r w:rsidR="008F2463">
          <w:rPr>
            <w:noProof/>
            <w:webHidden/>
          </w:rPr>
          <w:t>8</w:t>
        </w:r>
        <w:r w:rsidR="00AA4213">
          <w:rPr>
            <w:noProof/>
            <w:webHidden/>
          </w:rPr>
          <w:fldChar w:fldCharType="end"/>
        </w:r>
      </w:hyperlink>
    </w:p>
    <w:p w:rsidR="00AA4213" w:rsidRDefault="00B238FB">
      <w:pPr>
        <w:pStyle w:val="TableofFigures"/>
        <w:tabs>
          <w:tab w:val="right" w:leader="dot" w:pos="9016"/>
        </w:tabs>
        <w:rPr>
          <w:rFonts w:asciiTheme="minorHAnsi" w:eastAsiaTheme="minorEastAsia" w:hAnsiTheme="minorHAnsi"/>
          <w:noProof/>
          <w:szCs w:val="20"/>
          <w:lang w:eastAsia="zh-TW" w:bidi="hi-IN"/>
        </w:rPr>
      </w:pPr>
      <w:hyperlink w:anchor="_Toc487206090" w:history="1">
        <w:r w:rsidR="00AA4213" w:rsidRPr="00F0130B">
          <w:rPr>
            <w:rStyle w:val="Hyperlink"/>
            <w:noProof/>
          </w:rPr>
          <w:t>Figure 3. Growth in real household consumption of communications goods and services</w:t>
        </w:r>
        <w:r w:rsidR="00AA4213">
          <w:rPr>
            <w:noProof/>
            <w:webHidden/>
          </w:rPr>
          <w:tab/>
        </w:r>
        <w:r w:rsidR="00AA4213">
          <w:rPr>
            <w:noProof/>
            <w:webHidden/>
          </w:rPr>
          <w:fldChar w:fldCharType="begin"/>
        </w:r>
        <w:r w:rsidR="00AA4213">
          <w:rPr>
            <w:noProof/>
            <w:webHidden/>
          </w:rPr>
          <w:instrText xml:space="preserve"> PAGEREF _Toc487206090 \h </w:instrText>
        </w:r>
        <w:r w:rsidR="00AA4213">
          <w:rPr>
            <w:noProof/>
            <w:webHidden/>
          </w:rPr>
        </w:r>
        <w:r w:rsidR="00AA4213">
          <w:rPr>
            <w:noProof/>
            <w:webHidden/>
          </w:rPr>
          <w:fldChar w:fldCharType="separate"/>
        </w:r>
        <w:r w:rsidR="008F2463">
          <w:rPr>
            <w:noProof/>
            <w:webHidden/>
          </w:rPr>
          <w:t>9</w:t>
        </w:r>
        <w:r w:rsidR="00AA4213">
          <w:rPr>
            <w:noProof/>
            <w:webHidden/>
          </w:rPr>
          <w:fldChar w:fldCharType="end"/>
        </w:r>
      </w:hyperlink>
    </w:p>
    <w:p w:rsidR="00AA4213" w:rsidRDefault="00B238FB">
      <w:pPr>
        <w:pStyle w:val="TableofFigures"/>
        <w:tabs>
          <w:tab w:val="right" w:leader="dot" w:pos="9016"/>
        </w:tabs>
        <w:rPr>
          <w:rFonts w:asciiTheme="minorHAnsi" w:eastAsiaTheme="minorEastAsia" w:hAnsiTheme="minorHAnsi"/>
          <w:noProof/>
          <w:szCs w:val="20"/>
          <w:lang w:eastAsia="zh-TW" w:bidi="hi-IN"/>
        </w:rPr>
      </w:pPr>
      <w:hyperlink w:anchor="_Toc487206091" w:history="1">
        <w:r w:rsidR="00AA4213" w:rsidRPr="00F0130B">
          <w:rPr>
            <w:rStyle w:val="Hyperlink"/>
            <w:noProof/>
          </w:rPr>
          <w:t>Figure 4. Essential and non-essential communications services, 1970s to 2010s</w:t>
        </w:r>
        <w:r w:rsidR="00AA4213">
          <w:rPr>
            <w:noProof/>
            <w:webHidden/>
          </w:rPr>
          <w:tab/>
        </w:r>
        <w:r w:rsidR="00AA4213">
          <w:rPr>
            <w:noProof/>
            <w:webHidden/>
          </w:rPr>
          <w:fldChar w:fldCharType="begin"/>
        </w:r>
        <w:r w:rsidR="00AA4213">
          <w:rPr>
            <w:noProof/>
            <w:webHidden/>
          </w:rPr>
          <w:instrText xml:space="preserve"> PAGEREF _Toc487206091 \h </w:instrText>
        </w:r>
        <w:r w:rsidR="00AA4213">
          <w:rPr>
            <w:noProof/>
            <w:webHidden/>
          </w:rPr>
        </w:r>
        <w:r w:rsidR="00AA4213">
          <w:rPr>
            <w:noProof/>
            <w:webHidden/>
          </w:rPr>
          <w:fldChar w:fldCharType="separate"/>
        </w:r>
        <w:r w:rsidR="008F2463">
          <w:rPr>
            <w:noProof/>
            <w:webHidden/>
          </w:rPr>
          <w:t>9</w:t>
        </w:r>
        <w:r w:rsidR="00AA4213">
          <w:rPr>
            <w:noProof/>
            <w:webHidden/>
          </w:rPr>
          <w:fldChar w:fldCharType="end"/>
        </w:r>
      </w:hyperlink>
    </w:p>
    <w:p w:rsidR="00AA4213" w:rsidRDefault="00B238FB">
      <w:pPr>
        <w:pStyle w:val="TableofFigures"/>
        <w:tabs>
          <w:tab w:val="right" w:leader="dot" w:pos="9016"/>
        </w:tabs>
        <w:rPr>
          <w:rFonts w:asciiTheme="minorHAnsi" w:eastAsiaTheme="minorEastAsia" w:hAnsiTheme="minorHAnsi"/>
          <w:noProof/>
          <w:szCs w:val="20"/>
          <w:lang w:eastAsia="zh-TW" w:bidi="hi-IN"/>
        </w:rPr>
      </w:pPr>
      <w:hyperlink w:anchor="_Toc487206092" w:history="1">
        <w:r w:rsidR="00AA4213" w:rsidRPr="00F0130B">
          <w:rPr>
            <w:rStyle w:val="Hyperlink"/>
            <w:noProof/>
          </w:rPr>
          <w:t>Figure 5. Australians’ access to communications technologies, 2006 to 2016</w:t>
        </w:r>
        <w:r w:rsidR="00AA4213">
          <w:rPr>
            <w:noProof/>
            <w:webHidden/>
          </w:rPr>
          <w:tab/>
        </w:r>
        <w:r w:rsidR="00AA4213">
          <w:rPr>
            <w:noProof/>
            <w:webHidden/>
          </w:rPr>
          <w:fldChar w:fldCharType="begin"/>
        </w:r>
        <w:r w:rsidR="00AA4213">
          <w:rPr>
            <w:noProof/>
            <w:webHidden/>
          </w:rPr>
          <w:instrText xml:space="preserve"> PAGEREF _Toc487206092 \h </w:instrText>
        </w:r>
        <w:r w:rsidR="00AA4213">
          <w:rPr>
            <w:noProof/>
            <w:webHidden/>
          </w:rPr>
        </w:r>
        <w:r w:rsidR="00AA4213">
          <w:rPr>
            <w:noProof/>
            <w:webHidden/>
          </w:rPr>
          <w:fldChar w:fldCharType="separate"/>
        </w:r>
        <w:r w:rsidR="008F2463">
          <w:rPr>
            <w:noProof/>
            <w:webHidden/>
          </w:rPr>
          <w:t>10</w:t>
        </w:r>
        <w:r w:rsidR="00AA4213">
          <w:rPr>
            <w:noProof/>
            <w:webHidden/>
          </w:rPr>
          <w:fldChar w:fldCharType="end"/>
        </w:r>
      </w:hyperlink>
    </w:p>
    <w:p w:rsidR="00AA4213" w:rsidRDefault="00B238FB">
      <w:pPr>
        <w:pStyle w:val="TableofFigures"/>
        <w:tabs>
          <w:tab w:val="right" w:leader="dot" w:pos="9016"/>
        </w:tabs>
        <w:rPr>
          <w:rFonts w:asciiTheme="minorHAnsi" w:eastAsiaTheme="minorEastAsia" w:hAnsiTheme="minorHAnsi"/>
          <w:noProof/>
          <w:szCs w:val="20"/>
          <w:lang w:eastAsia="zh-TW" w:bidi="hi-IN"/>
        </w:rPr>
      </w:pPr>
      <w:hyperlink w:anchor="_Toc487206093" w:history="1">
        <w:r w:rsidR="00AA4213" w:rsidRPr="00F0130B">
          <w:rPr>
            <w:rStyle w:val="Hyperlink"/>
            <w:noProof/>
          </w:rPr>
          <w:t>Figure 6. Volume of data downloaded, Australia, December 2012–16</w:t>
        </w:r>
        <w:r w:rsidR="00AA4213">
          <w:rPr>
            <w:noProof/>
            <w:webHidden/>
          </w:rPr>
          <w:tab/>
        </w:r>
        <w:r w:rsidR="00AA4213">
          <w:rPr>
            <w:noProof/>
            <w:webHidden/>
          </w:rPr>
          <w:fldChar w:fldCharType="begin"/>
        </w:r>
        <w:r w:rsidR="00AA4213">
          <w:rPr>
            <w:noProof/>
            <w:webHidden/>
          </w:rPr>
          <w:instrText xml:space="preserve"> PAGEREF _Toc487206093 \h </w:instrText>
        </w:r>
        <w:r w:rsidR="00AA4213">
          <w:rPr>
            <w:noProof/>
            <w:webHidden/>
          </w:rPr>
        </w:r>
        <w:r w:rsidR="00AA4213">
          <w:rPr>
            <w:noProof/>
            <w:webHidden/>
          </w:rPr>
          <w:fldChar w:fldCharType="separate"/>
        </w:r>
        <w:r w:rsidR="008F2463">
          <w:rPr>
            <w:noProof/>
            <w:webHidden/>
          </w:rPr>
          <w:t>11</w:t>
        </w:r>
        <w:r w:rsidR="00AA4213">
          <w:rPr>
            <w:noProof/>
            <w:webHidden/>
          </w:rPr>
          <w:fldChar w:fldCharType="end"/>
        </w:r>
      </w:hyperlink>
    </w:p>
    <w:p w:rsidR="00AA4213" w:rsidRDefault="00B238FB">
      <w:pPr>
        <w:pStyle w:val="TableofFigures"/>
        <w:tabs>
          <w:tab w:val="right" w:leader="dot" w:pos="9016"/>
        </w:tabs>
        <w:rPr>
          <w:rFonts w:asciiTheme="minorHAnsi" w:eastAsiaTheme="minorEastAsia" w:hAnsiTheme="minorHAnsi"/>
          <w:noProof/>
          <w:szCs w:val="20"/>
          <w:lang w:eastAsia="zh-TW" w:bidi="hi-IN"/>
        </w:rPr>
      </w:pPr>
      <w:hyperlink w:anchor="_Toc487206094" w:history="1">
        <w:r w:rsidR="00AA4213" w:rsidRPr="00F0130B">
          <w:rPr>
            <w:rStyle w:val="Hyperlink"/>
            <w:noProof/>
          </w:rPr>
          <w:t>Figure 7. Telecommunications services price indices</w:t>
        </w:r>
        <w:r w:rsidR="00AA4213">
          <w:rPr>
            <w:noProof/>
            <w:webHidden/>
          </w:rPr>
          <w:tab/>
        </w:r>
        <w:r w:rsidR="00AA4213">
          <w:rPr>
            <w:noProof/>
            <w:webHidden/>
          </w:rPr>
          <w:fldChar w:fldCharType="begin"/>
        </w:r>
        <w:r w:rsidR="00AA4213">
          <w:rPr>
            <w:noProof/>
            <w:webHidden/>
          </w:rPr>
          <w:instrText xml:space="preserve"> PAGEREF _Toc487206094 \h </w:instrText>
        </w:r>
        <w:r w:rsidR="00AA4213">
          <w:rPr>
            <w:noProof/>
            <w:webHidden/>
          </w:rPr>
        </w:r>
        <w:r w:rsidR="00AA4213">
          <w:rPr>
            <w:noProof/>
            <w:webHidden/>
          </w:rPr>
          <w:fldChar w:fldCharType="separate"/>
        </w:r>
        <w:r w:rsidR="008F2463">
          <w:rPr>
            <w:noProof/>
            <w:webHidden/>
          </w:rPr>
          <w:t>12</w:t>
        </w:r>
        <w:r w:rsidR="00AA4213">
          <w:rPr>
            <w:noProof/>
            <w:webHidden/>
          </w:rPr>
          <w:fldChar w:fldCharType="end"/>
        </w:r>
      </w:hyperlink>
    </w:p>
    <w:p w:rsidR="00AA4213" w:rsidRDefault="00B238FB">
      <w:pPr>
        <w:pStyle w:val="TableofFigures"/>
        <w:tabs>
          <w:tab w:val="right" w:leader="dot" w:pos="9016"/>
        </w:tabs>
        <w:rPr>
          <w:rFonts w:asciiTheme="minorHAnsi" w:eastAsiaTheme="minorEastAsia" w:hAnsiTheme="minorHAnsi"/>
          <w:noProof/>
          <w:szCs w:val="20"/>
          <w:lang w:eastAsia="zh-TW" w:bidi="hi-IN"/>
        </w:rPr>
      </w:pPr>
      <w:hyperlink w:anchor="_Toc487206095" w:history="1">
        <w:r w:rsidR="00AA4213" w:rsidRPr="00F0130B">
          <w:rPr>
            <w:rStyle w:val="Hyperlink"/>
            <w:noProof/>
          </w:rPr>
          <w:t>Figure 8. Number of fixed broadband bundle plans at price points (selected providers) by technology, May 2017</w:t>
        </w:r>
        <w:r w:rsidR="00AA4213">
          <w:rPr>
            <w:noProof/>
            <w:webHidden/>
          </w:rPr>
          <w:tab/>
        </w:r>
        <w:r w:rsidR="00AA4213">
          <w:rPr>
            <w:noProof/>
            <w:webHidden/>
          </w:rPr>
          <w:fldChar w:fldCharType="begin"/>
        </w:r>
        <w:r w:rsidR="00AA4213">
          <w:rPr>
            <w:noProof/>
            <w:webHidden/>
          </w:rPr>
          <w:instrText xml:space="preserve"> PAGEREF _Toc487206095 \h </w:instrText>
        </w:r>
        <w:r w:rsidR="00AA4213">
          <w:rPr>
            <w:noProof/>
            <w:webHidden/>
          </w:rPr>
        </w:r>
        <w:r w:rsidR="00AA4213">
          <w:rPr>
            <w:noProof/>
            <w:webHidden/>
          </w:rPr>
          <w:fldChar w:fldCharType="separate"/>
        </w:r>
        <w:r w:rsidR="008F2463">
          <w:rPr>
            <w:noProof/>
            <w:webHidden/>
          </w:rPr>
          <w:t>13</w:t>
        </w:r>
        <w:r w:rsidR="00AA4213">
          <w:rPr>
            <w:noProof/>
            <w:webHidden/>
          </w:rPr>
          <w:fldChar w:fldCharType="end"/>
        </w:r>
      </w:hyperlink>
    </w:p>
    <w:p w:rsidR="00AA4213" w:rsidRDefault="00B238FB">
      <w:pPr>
        <w:pStyle w:val="TableofFigures"/>
        <w:tabs>
          <w:tab w:val="right" w:leader="dot" w:pos="9016"/>
        </w:tabs>
        <w:rPr>
          <w:rFonts w:asciiTheme="minorHAnsi" w:eastAsiaTheme="minorEastAsia" w:hAnsiTheme="minorHAnsi"/>
          <w:noProof/>
          <w:szCs w:val="20"/>
          <w:lang w:eastAsia="zh-TW" w:bidi="hi-IN"/>
        </w:rPr>
      </w:pPr>
      <w:hyperlink w:anchor="_Toc487206096" w:history="1">
        <w:r w:rsidR="00AA4213" w:rsidRPr="00F0130B">
          <w:rPr>
            <w:rStyle w:val="Hyperlink"/>
            <w:noProof/>
          </w:rPr>
          <w:t>Figure 9. ADSL connections by equipment, 2016</w:t>
        </w:r>
        <w:r w:rsidR="00AA4213">
          <w:rPr>
            <w:noProof/>
            <w:webHidden/>
          </w:rPr>
          <w:tab/>
        </w:r>
        <w:r w:rsidR="00AA4213">
          <w:rPr>
            <w:noProof/>
            <w:webHidden/>
          </w:rPr>
          <w:fldChar w:fldCharType="begin"/>
        </w:r>
        <w:r w:rsidR="00AA4213">
          <w:rPr>
            <w:noProof/>
            <w:webHidden/>
          </w:rPr>
          <w:instrText xml:space="preserve"> PAGEREF _Toc487206096 \h </w:instrText>
        </w:r>
        <w:r w:rsidR="00AA4213">
          <w:rPr>
            <w:noProof/>
            <w:webHidden/>
          </w:rPr>
        </w:r>
        <w:r w:rsidR="00AA4213">
          <w:rPr>
            <w:noProof/>
            <w:webHidden/>
          </w:rPr>
          <w:fldChar w:fldCharType="separate"/>
        </w:r>
        <w:r w:rsidR="008F2463">
          <w:rPr>
            <w:noProof/>
            <w:webHidden/>
          </w:rPr>
          <w:t>14</w:t>
        </w:r>
        <w:r w:rsidR="00AA4213">
          <w:rPr>
            <w:noProof/>
            <w:webHidden/>
          </w:rPr>
          <w:fldChar w:fldCharType="end"/>
        </w:r>
      </w:hyperlink>
    </w:p>
    <w:p w:rsidR="00AA4213" w:rsidRDefault="00B238FB">
      <w:pPr>
        <w:pStyle w:val="TableofFigures"/>
        <w:tabs>
          <w:tab w:val="right" w:leader="dot" w:pos="9016"/>
        </w:tabs>
        <w:rPr>
          <w:rFonts w:asciiTheme="minorHAnsi" w:eastAsiaTheme="minorEastAsia" w:hAnsiTheme="minorHAnsi"/>
          <w:noProof/>
          <w:szCs w:val="20"/>
          <w:lang w:eastAsia="zh-TW" w:bidi="hi-IN"/>
        </w:rPr>
      </w:pPr>
      <w:hyperlink w:anchor="_Toc487206097" w:history="1">
        <w:r w:rsidR="00AA4213" w:rsidRPr="00F0130B">
          <w:rPr>
            <w:rStyle w:val="Hyperlink"/>
            <w:noProof/>
          </w:rPr>
          <w:t>Figure 10. Distribution of fixed broadband bundle plans by price and included data for selected providers, May 2017</w:t>
        </w:r>
        <w:r w:rsidR="00AA4213">
          <w:rPr>
            <w:noProof/>
            <w:webHidden/>
          </w:rPr>
          <w:tab/>
        </w:r>
        <w:r w:rsidR="00AA4213">
          <w:rPr>
            <w:noProof/>
            <w:webHidden/>
          </w:rPr>
          <w:fldChar w:fldCharType="begin"/>
        </w:r>
        <w:r w:rsidR="00AA4213">
          <w:rPr>
            <w:noProof/>
            <w:webHidden/>
          </w:rPr>
          <w:instrText xml:space="preserve"> PAGEREF _Toc487206097 \h </w:instrText>
        </w:r>
        <w:r w:rsidR="00AA4213">
          <w:rPr>
            <w:noProof/>
            <w:webHidden/>
          </w:rPr>
        </w:r>
        <w:r w:rsidR="00AA4213">
          <w:rPr>
            <w:noProof/>
            <w:webHidden/>
          </w:rPr>
          <w:fldChar w:fldCharType="separate"/>
        </w:r>
        <w:r w:rsidR="008F2463">
          <w:rPr>
            <w:noProof/>
            <w:webHidden/>
          </w:rPr>
          <w:t>15</w:t>
        </w:r>
        <w:r w:rsidR="00AA4213">
          <w:rPr>
            <w:noProof/>
            <w:webHidden/>
          </w:rPr>
          <w:fldChar w:fldCharType="end"/>
        </w:r>
      </w:hyperlink>
    </w:p>
    <w:p w:rsidR="00AA4213" w:rsidRDefault="00B238FB">
      <w:pPr>
        <w:pStyle w:val="TableofFigures"/>
        <w:tabs>
          <w:tab w:val="right" w:leader="dot" w:pos="9016"/>
        </w:tabs>
        <w:rPr>
          <w:rFonts w:asciiTheme="minorHAnsi" w:eastAsiaTheme="minorEastAsia" w:hAnsiTheme="minorHAnsi"/>
          <w:noProof/>
          <w:szCs w:val="20"/>
          <w:lang w:eastAsia="zh-TW" w:bidi="hi-IN"/>
        </w:rPr>
      </w:pPr>
      <w:hyperlink w:anchor="_Toc487206098" w:history="1">
        <w:r w:rsidR="00AA4213" w:rsidRPr="00F0130B">
          <w:rPr>
            <w:rStyle w:val="Hyperlink"/>
            <w:noProof/>
          </w:rPr>
          <w:t>Figure 11. Distribution of NBN satellite plans and low data fixed NBN plans by price and included on-peak data allowance for selected providers, May 2017</w:t>
        </w:r>
        <w:r w:rsidR="00AA4213">
          <w:rPr>
            <w:noProof/>
            <w:webHidden/>
          </w:rPr>
          <w:tab/>
        </w:r>
        <w:r w:rsidR="00AA4213">
          <w:rPr>
            <w:noProof/>
            <w:webHidden/>
          </w:rPr>
          <w:fldChar w:fldCharType="begin"/>
        </w:r>
        <w:r w:rsidR="00AA4213">
          <w:rPr>
            <w:noProof/>
            <w:webHidden/>
          </w:rPr>
          <w:instrText xml:space="preserve"> PAGEREF _Toc487206098 \h </w:instrText>
        </w:r>
        <w:r w:rsidR="00AA4213">
          <w:rPr>
            <w:noProof/>
            <w:webHidden/>
          </w:rPr>
        </w:r>
        <w:r w:rsidR="00AA4213">
          <w:rPr>
            <w:noProof/>
            <w:webHidden/>
          </w:rPr>
          <w:fldChar w:fldCharType="separate"/>
        </w:r>
        <w:r w:rsidR="008F2463">
          <w:rPr>
            <w:noProof/>
            <w:webHidden/>
          </w:rPr>
          <w:t>16</w:t>
        </w:r>
        <w:r w:rsidR="00AA4213">
          <w:rPr>
            <w:noProof/>
            <w:webHidden/>
          </w:rPr>
          <w:fldChar w:fldCharType="end"/>
        </w:r>
      </w:hyperlink>
    </w:p>
    <w:p w:rsidR="00AA4213" w:rsidRDefault="00B238FB">
      <w:pPr>
        <w:pStyle w:val="TableofFigures"/>
        <w:tabs>
          <w:tab w:val="right" w:leader="dot" w:pos="9016"/>
        </w:tabs>
        <w:rPr>
          <w:rFonts w:asciiTheme="minorHAnsi" w:eastAsiaTheme="minorEastAsia" w:hAnsiTheme="minorHAnsi"/>
          <w:noProof/>
          <w:szCs w:val="20"/>
          <w:lang w:eastAsia="zh-TW" w:bidi="hi-IN"/>
        </w:rPr>
      </w:pPr>
      <w:hyperlink w:anchor="_Toc487206099" w:history="1">
        <w:r w:rsidR="00AA4213" w:rsidRPr="00F0130B">
          <w:rPr>
            <w:rStyle w:val="Hyperlink"/>
            <w:noProof/>
          </w:rPr>
          <w:t>Figure 12. Distribution of NBN satellite plans and off-net ADSL plans by price and included on-peak data allowance for selected providers May 2017</w:t>
        </w:r>
        <w:r w:rsidR="00AA4213">
          <w:rPr>
            <w:noProof/>
            <w:webHidden/>
          </w:rPr>
          <w:tab/>
        </w:r>
        <w:r w:rsidR="00AA4213">
          <w:rPr>
            <w:noProof/>
            <w:webHidden/>
          </w:rPr>
          <w:fldChar w:fldCharType="begin"/>
        </w:r>
        <w:r w:rsidR="00AA4213">
          <w:rPr>
            <w:noProof/>
            <w:webHidden/>
          </w:rPr>
          <w:instrText xml:space="preserve"> PAGEREF _Toc487206099 \h </w:instrText>
        </w:r>
        <w:r w:rsidR="00AA4213">
          <w:rPr>
            <w:noProof/>
            <w:webHidden/>
          </w:rPr>
        </w:r>
        <w:r w:rsidR="00AA4213">
          <w:rPr>
            <w:noProof/>
            <w:webHidden/>
          </w:rPr>
          <w:fldChar w:fldCharType="separate"/>
        </w:r>
        <w:r w:rsidR="008F2463">
          <w:rPr>
            <w:noProof/>
            <w:webHidden/>
          </w:rPr>
          <w:t>17</w:t>
        </w:r>
        <w:r w:rsidR="00AA4213">
          <w:rPr>
            <w:noProof/>
            <w:webHidden/>
          </w:rPr>
          <w:fldChar w:fldCharType="end"/>
        </w:r>
      </w:hyperlink>
    </w:p>
    <w:p w:rsidR="00AA4213" w:rsidRDefault="00B238FB">
      <w:pPr>
        <w:pStyle w:val="TableofFigures"/>
        <w:tabs>
          <w:tab w:val="right" w:leader="dot" w:pos="9016"/>
        </w:tabs>
        <w:rPr>
          <w:rFonts w:asciiTheme="minorHAnsi" w:eastAsiaTheme="minorEastAsia" w:hAnsiTheme="minorHAnsi"/>
          <w:noProof/>
          <w:szCs w:val="20"/>
          <w:lang w:eastAsia="zh-TW" w:bidi="hi-IN"/>
        </w:rPr>
      </w:pPr>
      <w:hyperlink w:anchor="_Toc487206100" w:history="1">
        <w:r w:rsidR="00AA4213" w:rsidRPr="00F0130B">
          <w:rPr>
            <w:rStyle w:val="Hyperlink"/>
            <w:noProof/>
          </w:rPr>
          <w:t>Figure 13. Average bundle prices for on-net ADSL, off-net ADSL and fixed NBN plans (selected providers) over the period June 2014 to June 2016</w:t>
        </w:r>
        <w:r w:rsidR="00AA4213">
          <w:rPr>
            <w:noProof/>
            <w:webHidden/>
          </w:rPr>
          <w:tab/>
        </w:r>
        <w:r w:rsidR="00AA4213">
          <w:rPr>
            <w:noProof/>
            <w:webHidden/>
          </w:rPr>
          <w:fldChar w:fldCharType="begin"/>
        </w:r>
        <w:r w:rsidR="00AA4213">
          <w:rPr>
            <w:noProof/>
            <w:webHidden/>
          </w:rPr>
          <w:instrText xml:space="preserve"> PAGEREF _Toc487206100 \h </w:instrText>
        </w:r>
        <w:r w:rsidR="00AA4213">
          <w:rPr>
            <w:noProof/>
            <w:webHidden/>
          </w:rPr>
        </w:r>
        <w:r w:rsidR="00AA4213">
          <w:rPr>
            <w:noProof/>
            <w:webHidden/>
          </w:rPr>
          <w:fldChar w:fldCharType="separate"/>
        </w:r>
        <w:r w:rsidR="008F2463">
          <w:rPr>
            <w:noProof/>
            <w:webHidden/>
          </w:rPr>
          <w:t>18</w:t>
        </w:r>
        <w:r w:rsidR="00AA4213">
          <w:rPr>
            <w:noProof/>
            <w:webHidden/>
          </w:rPr>
          <w:fldChar w:fldCharType="end"/>
        </w:r>
      </w:hyperlink>
    </w:p>
    <w:p w:rsidR="00AA4213" w:rsidRDefault="00B238FB">
      <w:pPr>
        <w:pStyle w:val="TableofFigures"/>
        <w:tabs>
          <w:tab w:val="right" w:leader="dot" w:pos="9016"/>
        </w:tabs>
        <w:rPr>
          <w:rFonts w:asciiTheme="minorHAnsi" w:eastAsiaTheme="minorEastAsia" w:hAnsiTheme="minorHAnsi"/>
          <w:noProof/>
          <w:szCs w:val="20"/>
          <w:lang w:eastAsia="zh-TW" w:bidi="hi-IN"/>
        </w:rPr>
      </w:pPr>
      <w:hyperlink w:anchor="_Toc487206101" w:history="1">
        <w:r w:rsidR="00AA4213" w:rsidRPr="00F0130B">
          <w:rPr>
            <w:rStyle w:val="Hyperlink"/>
            <w:noProof/>
          </w:rPr>
          <w:t>Figure 14. Average monthly data included with on-net ADSL, off-net ADSL and fixed NBN plans (selected providers) over the period June 2014 to June 2016</w:t>
        </w:r>
        <w:r w:rsidR="00AA4213">
          <w:rPr>
            <w:noProof/>
            <w:webHidden/>
          </w:rPr>
          <w:tab/>
        </w:r>
        <w:r w:rsidR="00AA4213">
          <w:rPr>
            <w:noProof/>
            <w:webHidden/>
          </w:rPr>
          <w:fldChar w:fldCharType="begin"/>
        </w:r>
        <w:r w:rsidR="00AA4213">
          <w:rPr>
            <w:noProof/>
            <w:webHidden/>
          </w:rPr>
          <w:instrText xml:space="preserve"> PAGEREF _Toc487206101 \h </w:instrText>
        </w:r>
        <w:r w:rsidR="00AA4213">
          <w:rPr>
            <w:noProof/>
            <w:webHidden/>
          </w:rPr>
        </w:r>
        <w:r w:rsidR="00AA4213">
          <w:rPr>
            <w:noProof/>
            <w:webHidden/>
          </w:rPr>
          <w:fldChar w:fldCharType="separate"/>
        </w:r>
        <w:r w:rsidR="008F2463">
          <w:rPr>
            <w:noProof/>
            <w:webHidden/>
          </w:rPr>
          <w:t>19</w:t>
        </w:r>
        <w:r w:rsidR="00AA4213">
          <w:rPr>
            <w:noProof/>
            <w:webHidden/>
          </w:rPr>
          <w:fldChar w:fldCharType="end"/>
        </w:r>
      </w:hyperlink>
    </w:p>
    <w:p w:rsidR="00AA4213" w:rsidRDefault="00B238FB">
      <w:pPr>
        <w:pStyle w:val="TableofFigures"/>
        <w:tabs>
          <w:tab w:val="right" w:leader="dot" w:pos="9016"/>
        </w:tabs>
        <w:rPr>
          <w:rFonts w:asciiTheme="minorHAnsi" w:eastAsiaTheme="minorEastAsia" w:hAnsiTheme="minorHAnsi"/>
          <w:noProof/>
          <w:szCs w:val="20"/>
          <w:lang w:eastAsia="zh-TW" w:bidi="hi-IN"/>
        </w:rPr>
      </w:pPr>
      <w:hyperlink w:anchor="_Toc487206102" w:history="1">
        <w:r w:rsidR="00AA4213" w:rsidRPr="00F0130B">
          <w:rPr>
            <w:rStyle w:val="Hyperlink"/>
            <w:noProof/>
          </w:rPr>
          <w:t>Figure 15. Proportion of advertised plans including more than 500GB per month (selected providers), by technology</w:t>
        </w:r>
        <w:r w:rsidR="00AA4213">
          <w:rPr>
            <w:noProof/>
            <w:webHidden/>
          </w:rPr>
          <w:tab/>
        </w:r>
        <w:r w:rsidR="00AA4213">
          <w:rPr>
            <w:noProof/>
            <w:webHidden/>
          </w:rPr>
          <w:fldChar w:fldCharType="begin"/>
        </w:r>
        <w:r w:rsidR="00AA4213">
          <w:rPr>
            <w:noProof/>
            <w:webHidden/>
          </w:rPr>
          <w:instrText xml:space="preserve"> PAGEREF _Toc487206102 \h </w:instrText>
        </w:r>
        <w:r w:rsidR="00AA4213">
          <w:rPr>
            <w:noProof/>
            <w:webHidden/>
          </w:rPr>
        </w:r>
        <w:r w:rsidR="00AA4213">
          <w:rPr>
            <w:noProof/>
            <w:webHidden/>
          </w:rPr>
          <w:fldChar w:fldCharType="separate"/>
        </w:r>
        <w:r w:rsidR="008F2463">
          <w:rPr>
            <w:noProof/>
            <w:webHidden/>
          </w:rPr>
          <w:t>20</w:t>
        </w:r>
        <w:r w:rsidR="00AA4213">
          <w:rPr>
            <w:noProof/>
            <w:webHidden/>
          </w:rPr>
          <w:fldChar w:fldCharType="end"/>
        </w:r>
      </w:hyperlink>
    </w:p>
    <w:p w:rsidR="00AA4213" w:rsidRDefault="00B238FB">
      <w:pPr>
        <w:pStyle w:val="TableofFigures"/>
        <w:tabs>
          <w:tab w:val="right" w:leader="dot" w:pos="9016"/>
        </w:tabs>
        <w:rPr>
          <w:rFonts w:asciiTheme="minorHAnsi" w:eastAsiaTheme="minorEastAsia" w:hAnsiTheme="minorHAnsi"/>
          <w:noProof/>
          <w:szCs w:val="20"/>
          <w:lang w:eastAsia="zh-TW" w:bidi="hi-IN"/>
        </w:rPr>
      </w:pPr>
      <w:hyperlink w:anchor="_Toc487206103" w:history="1">
        <w:r w:rsidR="00AA4213" w:rsidRPr="00F0130B">
          <w:rPr>
            <w:rStyle w:val="Hyperlink"/>
            <w:noProof/>
          </w:rPr>
          <w:t>Figure 16. Average price and price range for entry-level fixed broadband bundles (selected providers) over the period June 2014 to June 2016, by technology</w:t>
        </w:r>
        <w:r w:rsidR="00AA4213">
          <w:rPr>
            <w:noProof/>
            <w:webHidden/>
          </w:rPr>
          <w:tab/>
        </w:r>
        <w:r w:rsidR="00AA4213">
          <w:rPr>
            <w:noProof/>
            <w:webHidden/>
          </w:rPr>
          <w:fldChar w:fldCharType="begin"/>
        </w:r>
        <w:r w:rsidR="00AA4213">
          <w:rPr>
            <w:noProof/>
            <w:webHidden/>
          </w:rPr>
          <w:instrText xml:space="preserve"> PAGEREF _Toc487206103 \h </w:instrText>
        </w:r>
        <w:r w:rsidR="00AA4213">
          <w:rPr>
            <w:noProof/>
            <w:webHidden/>
          </w:rPr>
        </w:r>
        <w:r w:rsidR="00AA4213">
          <w:rPr>
            <w:noProof/>
            <w:webHidden/>
          </w:rPr>
          <w:fldChar w:fldCharType="separate"/>
        </w:r>
        <w:r w:rsidR="008F2463">
          <w:rPr>
            <w:noProof/>
            <w:webHidden/>
          </w:rPr>
          <w:t>21</w:t>
        </w:r>
        <w:r w:rsidR="00AA4213">
          <w:rPr>
            <w:noProof/>
            <w:webHidden/>
          </w:rPr>
          <w:fldChar w:fldCharType="end"/>
        </w:r>
      </w:hyperlink>
    </w:p>
    <w:p w:rsidR="00AA4213" w:rsidRDefault="00B238FB">
      <w:pPr>
        <w:pStyle w:val="TableofFigures"/>
        <w:tabs>
          <w:tab w:val="right" w:leader="dot" w:pos="9016"/>
        </w:tabs>
        <w:rPr>
          <w:rFonts w:asciiTheme="minorHAnsi" w:eastAsiaTheme="minorEastAsia" w:hAnsiTheme="minorHAnsi"/>
          <w:noProof/>
          <w:szCs w:val="20"/>
          <w:lang w:eastAsia="zh-TW" w:bidi="hi-IN"/>
        </w:rPr>
      </w:pPr>
      <w:hyperlink w:anchor="_Toc487206104" w:history="1">
        <w:r w:rsidR="00AA4213" w:rsidRPr="00F0130B">
          <w:rPr>
            <w:rStyle w:val="Hyperlink"/>
            <w:noProof/>
          </w:rPr>
          <w:t>Figure 17. Price vs included data, by limited or unlimited calls</w:t>
        </w:r>
        <w:r w:rsidR="00AA4213">
          <w:rPr>
            <w:noProof/>
            <w:webHidden/>
          </w:rPr>
          <w:tab/>
        </w:r>
        <w:r w:rsidR="00AA4213">
          <w:rPr>
            <w:noProof/>
            <w:webHidden/>
          </w:rPr>
          <w:fldChar w:fldCharType="begin"/>
        </w:r>
        <w:r w:rsidR="00AA4213">
          <w:rPr>
            <w:noProof/>
            <w:webHidden/>
          </w:rPr>
          <w:instrText xml:space="preserve"> PAGEREF _Toc487206104 \h </w:instrText>
        </w:r>
        <w:r w:rsidR="00AA4213">
          <w:rPr>
            <w:noProof/>
            <w:webHidden/>
          </w:rPr>
        </w:r>
        <w:r w:rsidR="00AA4213">
          <w:rPr>
            <w:noProof/>
            <w:webHidden/>
          </w:rPr>
          <w:fldChar w:fldCharType="separate"/>
        </w:r>
        <w:r w:rsidR="008F2463">
          <w:rPr>
            <w:noProof/>
            <w:webHidden/>
          </w:rPr>
          <w:t>22</w:t>
        </w:r>
        <w:r w:rsidR="00AA4213">
          <w:rPr>
            <w:noProof/>
            <w:webHidden/>
          </w:rPr>
          <w:fldChar w:fldCharType="end"/>
        </w:r>
      </w:hyperlink>
    </w:p>
    <w:p w:rsidR="00AA4213" w:rsidRDefault="00B238FB">
      <w:pPr>
        <w:pStyle w:val="TableofFigures"/>
        <w:tabs>
          <w:tab w:val="right" w:leader="dot" w:pos="9016"/>
        </w:tabs>
        <w:rPr>
          <w:rFonts w:asciiTheme="minorHAnsi" w:eastAsiaTheme="minorEastAsia" w:hAnsiTheme="minorHAnsi"/>
          <w:noProof/>
          <w:szCs w:val="20"/>
          <w:lang w:eastAsia="zh-TW" w:bidi="hi-IN"/>
        </w:rPr>
      </w:pPr>
      <w:hyperlink w:anchor="_Toc487206105" w:history="1">
        <w:r w:rsidR="00AA4213" w:rsidRPr="00F0130B">
          <w:rPr>
            <w:rStyle w:val="Hyperlink"/>
            <w:noProof/>
          </w:rPr>
          <w:t>Figure 18. Price vs Included data, by payment type</w:t>
        </w:r>
        <w:r w:rsidR="00AA4213">
          <w:rPr>
            <w:noProof/>
            <w:webHidden/>
          </w:rPr>
          <w:tab/>
        </w:r>
        <w:r w:rsidR="00AA4213">
          <w:rPr>
            <w:noProof/>
            <w:webHidden/>
          </w:rPr>
          <w:fldChar w:fldCharType="begin"/>
        </w:r>
        <w:r w:rsidR="00AA4213">
          <w:rPr>
            <w:noProof/>
            <w:webHidden/>
          </w:rPr>
          <w:instrText xml:space="preserve"> PAGEREF _Toc487206105 \h </w:instrText>
        </w:r>
        <w:r w:rsidR="00AA4213">
          <w:rPr>
            <w:noProof/>
            <w:webHidden/>
          </w:rPr>
        </w:r>
        <w:r w:rsidR="00AA4213">
          <w:rPr>
            <w:noProof/>
            <w:webHidden/>
          </w:rPr>
          <w:fldChar w:fldCharType="separate"/>
        </w:r>
        <w:r w:rsidR="008F2463">
          <w:rPr>
            <w:noProof/>
            <w:webHidden/>
          </w:rPr>
          <w:t>23</w:t>
        </w:r>
        <w:r w:rsidR="00AA4213">
          <w:rPr>
            <w:noProof/>
            <w:webHidden/>
          </w:rPr>
          <w:fldChar w:fldCharType="end"/>
        </w:r>
      </w:hyperlink>
    </w:p>
    <w:p w:rsidR="00AA4213" w:rsidRDefault="00B238FB">
      <w:pPr>
        <w:pStyle w:val="TableofFigures"/>
        <w:tabs>
          <w:tab w:val="right" w:leader="dot" w:pos="9016"/>
        </w:tabs>
        <w:rPr>
          <w:rFonts w:asciiTheme="minorHAnsi" w:eastAsiaTheme="minorEastAsia" w:hAnsiTheme="minorHAnsi"/>
          <w:noProof/>
          <w:szCs w:val="20"/>
          <w:lang w:eastAsia="zh-TW" w:bidi="hi-IN"/>
        </w:rPr>
      </w:pPr>
      <w:hyperlink w:anchor="_Toc487206106" w:history="1">
        <w:r w:rsidR="00AA4213" w:rsidRPr="00F0130B">
          <w:rPr>
            <w:rStyle w:val="Hyperlink"/>
            <w:noProof/>
          </w:rPr>
          <w:t>Figure 19. Price vs included data, by Telstra or non-Telstra network</w:t>
        </w:r>
        <w:r w:rsidR="00AA4213">
          <w:rPr>
            <w:noProof/>
            <w:webHidden/>
          </w:rPr>
          <w:tab/>
        </w:r>
        <w:r w:rsidR="00AA4213">
          <w:rPr>
            <w:noProof/>
            <w:webHidden/>
          </w:rPr>
          <w:fldChar w:fldCharType="begin"/>
        </w:r>
        <w:r w:rsidR="00AA4213">
          <w:rPr>
            <w:noProof/>
            <w:webHidden/>
          </w:rPr>
          <w:instrText xml:space="preserve"> PAGEREF _Toc487206106 \h </w:instrText>
        </w:r>
        <w:r w:rsidR="00AA4213">
          <w:rPr>
            <w:noProof/>
            <w:webHidden/>
          </w:rPr>
        </w:r>
        <w:r w:rsidR="00AA4213">
          <w:rPr>
            <w:noProof/>
            <w:webHidden/>
          </w:rPr>
          <w:fldChar w:fldCharType="separate"/>
        </w:r>
        <w:r w:rsidR="008F2463">
          <w:rPr>
            <w:noProof/>
            <w:webHidden/>
          </w:rPr>
          <w:t>25</w:t>
        </w:r>
        <w:r w:rsidR="00AA4213">
          <w:rPr>
            <w:noProof/>
            <w:webHidden/>
          </w:rPr>
          <w:fldChar w:fldCharType="end"/>
        </w:r>
      </w:hyperlink>
    </w:p>
    <w:p w:rsidR="00AA4213" w:rsidRDefault="00B238FB">
      <w:pPr>
        <w:pStyle w:val="TableofFigures"/>
        <w:tabs>
          <w:tab w:val="right" w:leader="dot" w:pos="9016"/>
        </w:tabs>
        <w:rPr>
          <w:rFonts w:asciiTheme="minorHAnsi" w:eastAsiaTheme="minorEastAsia" w:hAnsiTheme="minorHAnsi"/>
          <w:noProof/>
          <w:szCs w:val="20"/>
          <w:lang w:eastAsia="zh-TW" w:bidi="hi-IN"/>
        </w:rPr>
      </w:pPr>
      <w:hyperlink w:anchor="_Toc487206107" w:history="1">
        <w:r w:rsidR="00AA4213" w:rsidRPr="00F0130B">
          <w:rPr>
            <w:rStyle w:val="Hyperlink"/>
            <w:noProof/>
          </w:rPr>
          <w:t>Figure 20. Price vs included data for plans on the Telstra network, by Telstra or MVNOs</w:t>
        </w:r>
        <w:r w:rsidR="00AA4213">
          <w:rPr>
            <w:noProof/>
            <w:webHidden/>
          </w:rPr>
          <w:tab/>
        </w:r>
        <w:r w:rsidR="00AA4213">
          <w:rPr>
            <w:noProof/>
            <w:webHidden/>
          </w:rPr>
          <w:fldChar w:fldCharType="begin"/>
        </w:r>
        <w:r w:rsidR="00AA4213">
          <w:rPr>
            <w:noProof/>
            <w:webHidden/>
          </w:rPr>
          <w:instrText xml:space="preserve"> PAGEREF _Toc487206107 \h </w:instrText>
        </w:r>
        <w:r w:rsidR="00AA4213">
          <w:rPr>
            <w:noProof/>
            <w:webHidden/>
          </w:rPr>
        </w:r>
        <w:r w:rsidR="00AA4213">
          <w:rPr>
            <w:noProof/>
            <w:webHidden/>
          </w:rPr>
          <w:fldChar w:fldCharType="separate"/>
        </w:r>
        <w:r w:rsidR="008F2463">
          <w:rPr>
            <w:noProof/>
            <w:webHidden/>
          </w:rPr>
          <w:t>26</w:t>
        </w:r>
        <w:r w:rsidR="00AA4213">
          <w:rPr>
            <w:noProof/>
            <w:webHidden/>
          </w:rPr>
          <w:fldChar w:fldCharType="end"/>
        </w:r>
      </w:hyperlink>
    </w:p>
    <w:p w:rsidR="00AA4213" w:rsidRDefault="00B238FB">
      <w:pPr>
        <w:pStyle w:val="TableofFigures"/>
        <w:tabs>
          <w:tab w:val="right" w:leader="dot" w:pos="9016"/>
        </w:tabs>
        <w:rPr>
          <w:rFonts w:asciiTheme="minorHAnsi" w:eastAsiaTheme="minorEastAsia" w:hAnsiTheme="minorHAnsi"/>
          <w:noProof/>
          <w:szCs w:val="20"/>
          <w:lang w:eastAsia="zh-TW" w:bidi="hi-IN"/>
        </w:rPr>
      </w:pPr>
      <w:hyperlink w:anchor="_Toc487206108" w:history="1">
        <w:r w:rsidR="00AA4213" w:rsidRPr="00F0130B">
          <w:rPr>
            <w:rStyle w:val="Hyperlink"/>
            <w:noProof/>
          </w:rPr>
          <w:t>Figure 21. MNO post-paid plans, 2014–16</w:t>
        </w:r>
        <w:r w:rsidR="00AA4213">
          <w:rPr>
            <w:noProof/>
            <w:webHidden/>
          </w:rPr>
          <w:tab/>
        </w:r>
        <w:r w:rsidR="00AA4213">
          <w:rPr>
            <w:noProof/>
            <w:webHidden/>
          </w:rPr>
          <w:fldChar w:fldCharType="begin"/>
        </w:r>
        <w:r w:rsidR="00AA4213">
          <w:rPr>
            <w:noProof/>
            <w:webHidden/>
          </w:rPr>
          <w:instrText xml:space="preserve"> PAGEREF _Toc487206108 \h </w:instrText>
        </w:r>
        <w:r w:rsidR="00AA4213">
          <w:rPr>
            <w:noProof/>
            <w:webHidden/>
          </w:rPr>
        </w:r>
        <w:r w:rsidR="00AA4213">
          <w:rPr>
            <w:noProof/>
            <w:webHidden/>
          </w:rPr>
          <w:fldChar w:fldCharType="separate"/>
        </w:r>
        <w:r w:rsidR="008F2463">
          <w:rPr>
            <w:noProof/>
            <w:webHidden/>
          </w:rPr>
          <w:t>27</w:t>
        </w:r>
        <w:r w:rsidR="00AA4213">
          <w:rPr>
            <w:noProof/>
            <w:webHidden/>
          </w:rPr>
          <w:fldChar w:fldCharType="end"/>
        </w:r>
      </w:hyperlink>
    </w:p>
    <w:p w:rsidR="00AA4213" w:rsidRDefault="00B238FB">
      <w:pPr>
        <w:pStyle w:val="TableofFigures"/>
        <w:tabs>
          <w:tab w:val="right" w:leader="dot" w:pos="9016"/>
        </w:tabs>
        <w:rPr>
          <w:rFonts w:asciiTheme="minorHAnsi" w:eastAsiaTheme="minorEastAsia" w:hAnsiTheme="minorHAnsi"/>
          <w:noProof/>
          <w:szCs w:val="20"/>
          <w:lang w:eastAsia="zh-TW" w:bidi="hi-IN"/>
        </w:rPr>
      </w:pPr>
      <w:hyperlink w:anchor="_Toc487206109" w:history="1">
        <w:r w:rsidR="00AA4213" w:rsidRPr="00F0130B">
          <w:rPr>
            <w:rStyle w:val="Hyperlink"/>
            <w:noProof/>
          </w:rPr>
          <w:t>Figure 22. MNO prepaid plans, 2014–16</w:t>
        </w:r>
        <w:r w:rsidR="00AA4213">
          <w:rPr>
            <w:noProof/>
            <w:webHidden/>
          </w:rPr>
          <w:tab/>
        </w:r>
        <w:r w:rsidR="00AA4213">
          <w:rPr>
            <w:noProof/>
            <w:webHidden/>
          </w:rPr>
          <w:fldChar w:fldCharType="begin"/>
        </w:r>
        <w:r w:rsidR="00AA4213">
          <w:rPr>
            <w:noProof/>
            <w:webHidden/>
          </w:rPr>
          <w:instrText xml:space="preserve"> PAGEREF _Toc487206109 \h </w:instrText>
        </w:r>
        <w:r w:rsidR="00AA4213">
          <w:rPr>
            <w:noProof/>
            <w:webHidden/>
          </w:rPr>
        </w:r>
        <w:r w:rsidR="00AA4213">
          <w:rPr>
            <w:noProof/>
            <w:webHidden/>
          </w:rPr>
          <w:fldChar w:fldCharType="separate"/>
        </w:r>
        <w:r w:rsidR="008F2463">
          <w:rPr>
            <w:noProof/>
            <w:webHidden/>
          </w:rPr>
          <w:t>28</w:t>
        </w:r>
        <w:r w:rsidR="00AA4213">
          <w:rPr>
            <w:noProof/>
            <w:webHidden/>
          </w:rPr>
          <w:fldChar w:fldCharType="end"/>
        </w:r>
      </w:hyperlink>
    </w:p>
    <w:p w:rsidR="00AA4213" w:rsidRDefault="00B238FB">
      <w:pPr>
        <w:pStyle w:val="TableofFigures"/>
        <w:tabs>
          <w:tab w:val="right" w:leader="dot" w:pos="9016"/>
        </w:tabs>
        <w:rPr>
          <w:rFonts w:asciiTheme="minorHAnsi" w:eastAsiaTheme="minorEastAsia" w:hAnsiTheme="minorHAnsi"/>
          <w:noProof/>
          <w:szCs w:val="20"/>
          <w:lang w:eastAsia="zh-TW" w:bidi="hi-IN"/>
        </w:rPr>
      </w:pPr>
      <w:hyperlink w:anchor="_Toc487206110" w:history="1">
        <w:r w:rsidR="00AA4213" w:rsidRPr="00F0130B">
          <w:rPr>
            <w:rStyle w:val="Hyperlink"/>
            <w:noProof/>
          </w:rPr>
          <w:t>Figure 23. Mobile Wireless Broadband Price vs Included data, by payment type</w:t>
        </w:r>
        <w:r w:rsidR="00AA4213">
          <w:rPr>
            <w:noProof/>
            <w:webHidden/>
          </w:rPr>
          <w:tab/>
        </w:r>
        <w:r w:rsidR="00AA4213">
          <w:rPr>
            <w:noProof/>
            <w:webHidden/>
          </w:rPr>
          <w:fldChar w:fldCharType="begin"/>
        </w:r>
        <w:r w:rsidR="00AA4213">
          <w:rPr>
            <w:noProof/>
            <w:webHidden/>
          </w:rPr>
          <w:instrText xml:space="preserve"> PAGEREF _Toc487206110 \h </w:instrText>
        </w:r>
        <w:r w:rsidR="00AA4213">
          <w:rPr>
            <w:noProof/>
            <w:webHidden/>
          </w:rPr>
        </w:r>
        <w:r w:rsidR="00AA4213">
          <w:rPr>
            <w:noProof/>
            <w:webHidden/>
          </w:rPr>
          <w:fldChar w:fldCharType="separate"/>
        </w:r>
        <w:r w:rsidR="008F2463">
          <w:rPr>
            <w:noProof/>
            <w:webHidden/>
          </w:rPr>
          <w:t>29</w:t>
        </w:r>
        <w:r w:rsidR="00AA4213">
          <w:rPr>
            <w:noProof/>
            <w:webHidden/>
          </w:rPr>
          <w:fldChar w:fldCharType="end"/>
        </w:r>
      </w:hyperlink>
    </w:p>
    <w:p w:rsidR="00AA4213" w:rsidRDefault="00B238FB">
      <w:pPr>
        <w:pStyle w:val="TableofFigures"/>
        <w:tabs>
          <w:tab w:val="right" w:leader="dot" w:pos="9016"/>
        </w:tabs>
        <w:rPr>
          <w:rFonts w:asciiTheme="minorHAnsi" w:eastAsiaTheme="minorEastAsia" w:hAnsiTheme="minorHAnsi"/>
          <w:noProof/>
          <w:szCs w:val="20"/>
          <w:lang w:eastAsia="zh-TW" w:bidi="hi-IN"/>
        </w:rPr>
      </w:pPr>
      <w:hyperlink w:anchor="_Toc487206111" w:history="1">
        <w:r w:rsidR="00AA4213" w:rsidRPr="00F0130B">
          <w:rPr>
            <w:rStyle w:val="Hyperlink"/>
            <w:noProof/>
          </w:rPr>
          <w:t>Figure 24. Mobile Handset vs Mobile Wireless Broadband data downloaded per connection</w:t>
        </w:r>
        <w:r w:rsidR="00AA4213">
          <w:rPr>
            <w:noProof/>
            <w:webHidden/>
          </w:rPr>
          <w:tab/>
        </w:r>
        <w:r w:rsidR="00AA4213">
          <w:rPr>
            <w:noProof/>
            <w:webHidden/>
          </w:rPr>
          <w:fldChar w:fldCharType="begin"/>
        </w:r>
        <w:r w:rsidR="00AA4213">
          <w:rPr>
            <w:noProof/>
            <w:webHidden/>
          </w:rPr>
          <w:instrText xml:space="preserve"> PAGEREF _Toc487206111 \h </w:instrText>
        </w:r>
        <w:r w:rsidR="00AA4213">
          <w:rPr>
            <w:noProof/>
            <w:webHidden/>
          </w:rPr>
        </w:r>
        <w:r w:rsidR="00AA4213">
          <w:rPr>
            <w:noProof/>
            <w:webHidden/>
          </w:rPr>
          <w:fldChar w:fldCharType="separate"/>
        </w:r>
        <w:r w:rsidR="008F2463">
          <w:rPr>
            <w:noProof/>
            <w:webHidden/>
          </w:rPr>
          <w:t>30</w:t>
        </w:r>
        <w:r w:rsidR="00AA4213">
          <w:rPr>
            <w:noProof/>
            <w:webHidden/>
          </w:rPr>
          <w:fldChar w:fldCharType="end"/>
        </w:r>
      </w:hyperlink>
    </w:p>
    <w:p w:rsidR="00AA4213" w:rsidRDefault="00B238FB">
      <w:pPr>
        <w:pStyle w:val="TableofFigures"/>
        <w:tabs>
          <w:tab w:val="right" w:leader="dot" w:pos="9016"/>
        </w:tabs>
        <w:rPr>
          <w:rFonts w:asciiTheme="minorHAnsi" w:eastAsiaTheme="minorEastAsia" w:hAnsiTheme="minorHAnsi"/>
          <w:noProof/>
          <w:szCs w:val="20"/>
          <w:lang w:eastAsia="zh-TW" w:bidi="hi-IN"/>
        </w:rPr>
      </w:pPr>
      <w:hyperlink w:anchor="_Toc487206112" w:history="1">
        <w:r w:rsidR="00AA4213" w:rsidRPr="00F0130B">
          <w:rPr>
            <w:rStyle w:val="Hyperlink"/>
            <w:noProof/>
          </w:rPr>
          <w:t>Figure 25. Average share of household disposable income spent on mobile and fixed-line telephone rent, calls and internet charges, by household disposable income decile, 2015</w:t>
        </w:r>
        <w:r w:rsidR="00AA4213">
          <w:rPr>
            <w:noProof/>
            <w:webHidden/>
          </w:rPr>
          <w:tab/>
        </w:r>
        <w:r w:rsidR="00AA4213">
          <w:rPr>
            <w:noProof/>
            <w:webHidden/>
          </w:rPr>
          <w:fldChar w:fldCharType="begin"/>
        </w:r>
        <w:r w:rsidR="00AA4213">
          <w:rPr>
            <w:noProof/>
            <w:webHidden/>
          </w:rPr>
          <w:instrText xml:space="preserve"> PAGEREF _Toc487206112 \h </w:instrText>
        </w:r>
        <w:r w:rsidR="00AA4213">
          <w:rPr>
            <w:noProof/>
            <w:webHidden/>
          </w:rPr>
        </w:r>
        <w:r w:rsidR="00AA4213">
          <w:rPr>
            <w:noProof/>
            <w:webHidden/>
          </w:rPr>
          <w:fldChar w:fldCharType="separate"/>
        </w:r>
        <w:r w:rsidR="008F2463">
          <w:rPr>
            <w:noProof/>
            <w:webHidden/>
          </w:rPr>
          <w:t>31</w:t>
        </w:r>
        <w:r w:rsidR="00AA4213">
          <w:rPr>
            <w:noProof/>
            <w:webHidden/>
          </w:rPr>
          <w:fldChar w:fldCharType="end"/>
        </w:r>
      </w:hyperlink>
    </w:p>
    <w:p w:rsidR="00AA4213" w:rsidRDefault="00B238FB">
      <w:pPr>
        <w:pStyle w:val="TableofFigures"/>
        <w:tabs>
          <w:tab w:val="right" w:leader="dot" w:pos="9016"/>
        </w:tabs>
        <w:rPr>
          <w:rFonts w:asciiTheme="minorHAnsi" w:eastAsiaTheme="minorEastAsia" w:hAnsiTheme="minorHAnsi"/>
          <w:noProof/>
          <w:szCs w:val="20"/>
          <w:lang w:eastAsia="zh-TW" w:bidi="hi-IN"/>
        </w:rPr>
      </w:pPr>
      <w:hyperlink w:anchor="_Toc487206113" w:history="1">
        <w:r w:rsidR="00AA4213" w:rsidRPr="00F0130B">
          <w:rPr>
            <w:rStyle w:val="Hyperlink"/>
            <w:noProof/>
          </w:rPr>
          <w:t>Figure 26 and Figure 27. Average share of household disposable income spent on mobile and fixed-line telephone rent, calls and internet charges, by vulnerable groups and rural households over time</w:t>
        </w:r>
        <w:r w:rsidR="00AA4213">
          <w:rPr>
            <w:noProof/>
            <w:webHidden/>
          </w:rPr>
          <w:tab/>
        </w:r>
        <w:r w:rsidR="00AA4213">
          <w:rPr>
            <w:noProof/>
            <w:webHidden/>
          </w:rPr>
          <w:fldChar w:fldCharType="begin"/>
        </w:r>
        <w:r w:rsidR="00AA4213">
          <w:rPr>
            <w:noProof/>
            <w:webHidden/>
          </w:rPr>
          <w:instrText xml:space="preserve"> PAGEREF _Toc487206113 \h </w:instrText>
        </w:r>
        <w:r w:rsidR="00AA4213">
          <w:rPr>
            <w:noProof/>
            <w:webHidden/>
          </w:rPr>
        </w:r>
        <w:r w:rsidR="00AA4213">
          <w:rPr>
            <w:noProof/>
            <w:webHidden/>
          </w:rPr>
          <w:fldChar w:fldCharType="separate"/>
        </w:r>
        <w:r w:rsidR="008F2463">
          <w:rPr>
            <w:noProof/>
            <w:webHidden/>
          </w:rPr>
          <w:t>32</w:t>
        </w:r>
        <w:r w:rsidR="00AA4213">
          <w:rPr>
            <w:noProof/>
            <w:webHidden/>
          </w:rPr>
          <w:fldChar w:fldCharType="end"/>
        </w:r>
      </w:hyperlink>
    </w:p>
    <w:p w:rsidR="00AA4213" w:rsidRDefault="00B238FB">
      <w:pPr>
        <w:pStyle w:val="TableofFigures"/>
        <w:tabs>
          <w:tab w:val="right" w:leader="dot" w:pos="9016"/>
        </w:tabs>
        <w:rPr>
          <w:rFonts w:asciiTheme="minorHAnsi" w:eastAsiaTheme="minorEastAsia" w:hAnsiTheme="minorHAnsi"/>
          <w:noProof/>
          <w:szCs w:val="20"/>
          <w:lang w:eastAsia="zh-TW" w:bidi="hi-IN"/>
        </w:rPr>
      </w:pPr>
      <w:hyperlink w:anchor="_Toc487206114" w:history="1">
        <w:r w:rsidR="00AA4213" w:rsidRPr="00F0130B">
          <w:rPr>
            <w:rStyle w:val="Hyperlink"/>
            <w:noProof/>
          </w:rPr>
          <w:t xml:space="preserve">Figure 28 and Figure 29. Average annual household expenditure on mobile and fixed-line telephone rent, calls and internet charges, all </w:t>
        </w:r>
        <w:r w:rsidR="00AA4213" w:rsidRPr="00F0130B">
          <w:rPr>
            <w:rStyle w:val="Hyperlink"/>
            <w:noProof/>
          </w:rPr>
          <w:lastRenderedPageBreak/>
          <w:t>households and rural areas. Average annual household disposable income, all households and rural areas.</w:t>
        </w:r>
        <w:r w:rsidR="00AA4213">
          <w:rPr>
            <w:noProof/>
            <w:webHidden/>
          </w:rPr>
          <w:tab/>
        </w:r>
        <w:r w:rsidR="00AA4213">
          <w:rPr>
            <w:noProof/>
            <w:webHidden/>
          </w:rPr>
          <w:fldChar w:fldCharType="begin"/>
        </w:r>
        <w:r w:rsidR="00AA4213">
          <w:rPr>
            <w:noProof/>
            <w:webHidden/>
          </w:rPr>
          <w:instrText xml:space="preserve"> PAGEREF _Toc487206114 \h </w:instrText>
        </w:r>
        <w:r w:rsidR="00AA4213">
          <w:rPr>
            <w:noProof/>
            <w:webHidden/>
          </w:rPr>
        </w:r>
        <w:r w:rsidR="00AA4213">
          <w:rPr>
            <w:noProof/>
            <w:webHidden/>
          </w:rPr>
          <w:fldChar w:fldCharType="separate"/>
        </w:r>
        <w:r w:rsidR="008F2463">
          <w:rPr>
            <w:noProof/>
            <w:webHidden/>
          </w:rPr>
          <w:t>32</w:t>
        </w:r>
        <w:r w:rsidR="00AA4213">
          <w:rPr>
            <w:noProof/>
            <w:webHidden/>
          </w:rPr>
          <w:fldChar w:fldCharType="end"/>
        </w:r>
      </w:hyperlink>
    </w:p>
    <w:p w:rsidR="00AA4213" w:rsidRDefault="00B238FB">
      <w:pPr>
        <w:pStyle w:val="TableofFigures"/>
        <w:tabs>
          <w:tab w:val="right" w:leader="dot" w:pos="9016"/>
        </w:tabs>
        <w:rPr>
          <w:rFonts w:asciiTheme="minorHAnsi" w:eastAsiaTheme="minorEastAsia" w:hAnsiTheme="minorHAnsi"/>
          <w:noProof/>
          <w:szCs w:val="20"/>
          <w:lang w:eastAsia="zh-TW" w:bidi="hi-IN"/>
        </w:rPr>
      </w:pPr>
      <w:hyperlink w:anchor="_Toc487206115" w:history="1">
        <w:r w:rsidR="00AA4213" w:rsidRPr="00F0130B">
          <w:rPr>
            <w:rStyle w:val="Hyperlink"/>
            <w:noProof/>
          </w:rPr>
          <w:t>Figure 30 and Figure 31. Percentage of low-income and high spending households, vulnerable groups and rural households, 2006–2015</w:t>
        </w:r>
        <w:r w:rsidR="00AA4213">
          <w:rPr>
            <w:noProof/>
            <w:webHidden/>
          </w:rPr>
          <w:tab/>
        </w:r>
        <w:r w:rsidR="00AA4213">
          <w:rPr>
            <w:noProof/>
            <w:webHidden/>
          </w:rPr>
          <w:fldChar w:fldCharType="begin"/>
        </w:r>
        <w:r w:rsidR="00AA4213">
          <w:rPr>
            <w:noProof/>
            <w:webHidden/>
          </w:rPr>
          <w:instrText xml:space="preserve"> PAGEREF _Toc487206115 \h </w:instrText>
        </w:r>
        <w:r w:rsidR="00AA4213">
          <w:rPr>
            <w:noProof/>
            <w:webHidden/>
          </w:rPr>
        </w:r>
        <w:r w:rsidR="00AA4213">
          <w:rPr>
            <w:noProof/>
            <w:webHidden/>
          </w:rPr>
          <w:fldChar w:fldCharType="separate"/>
        </w:r>
        <w:r w:rsidR="008F2463">
          <w:rPr>
            <w:noProof/>
            <w:webHidden/>
          </w:rPr>
          <w:t>33</w:t>
        </w:r>
        <w:r w:rsidR="00AA4213">
          <w:rPr>
            <w:noProof/>
            <w:webHidden/>
          </w:rPr>
          <w:fldChar w:fldCharType="end"/>
        </w:r>
      </w:hyperlink>
    </w:p>
    <w:p w:rsidR="005D1423" w:rsidRDefault="005700B7" w:rsidP="00E44746">
      <w:pPr>
        <w:pStyle w:val="Heading2-notshowingincontentsindocument"/>
        <w:spacing w:before="240" w:after="120"/>
      </w:pPr>
      <w:r w:rsidRPr="00AE73E3">
        <w:fldChar w:fldCharType="end"/>
      </w:r>
      <w:bookmarkStart w:id="7" w:name="_Toc486261292"/>
      <w:r w:rsidRPr="00AE73E3">
        <w:t>List of tables</w:t>
      </w:r>
      <w:bookmarkEnd w:id="7"/>
    </w:p>
    <w:p w:rsidR="00AA4213" w:rsidRDefault="005700B7">
      <w:pPr>
        <w:pStyle w:val="TableofFigures"/>
        <w:tabs>
          <w:tab w:val="right" w:leader="dot" w:pos="9016"/>
        </w:tabs>
        <w:rPr>
          <w:rFonts w:asciiTheme="minorHAnsi" w:eastAsiaTheme="minorEastAsia" w:hAnsiTheme="minorHAnsi"/>
          <w:noProof/>
          <w:szCs w:val="20"/>
          <w:lang w:eastAsia="zh-TW" w:bidi="hi-IN"/>
        </w:rPr>
      </w:pPr>
      <w:r w:rsidRPr="00AE73E3">
        <w:fldChar w:fldCharType="begin"/>
      </w:r>
      <w:r w:rsidRPr="00AE73E3">
        <w:instrText xml:space="preserve"> TOC \h \z \c "Table" </w:instrText>
      </w:r>
      <w:r w:rsidRPr="00AE73E3">
        <w:fldChar w:fldCharType="separate"/>
      </w:r>
      <w:hyperlink w:anchor="_Toc487206116" w:history="1">
        <w:r w:rsidR="00AA4213" w:rsidRPr="00AD4225">
          <w:rPr>
            <w:rStyle w:val="Hyperlink"/>
            <w:noProof/>
          </w:rPr>
          <w:t>Table 1. Mobile coverage, percentage of the Australian population, 2016</w:t>
        </w:r>
        <w:r w:rsidR="00AA4213">
          <w:rPr>
            <w:noProof/>
            <w:webHidden/>
          </w:rPr>
          <w:tab/>
        </w:r>
        <w:r w:rsidR="00AA4213">
          <w:rPr>
            <w:noProof/>
            <w:webHidden/>
          </w:rPr>
          <w:fldChar w:fldCharType="begin"/>
        </w:r>
        <w:r w:rsidR="00AA4213">
          <w:rPr>
            <w:noProof/>
            <w:webHidden/>
          </w:rPr>
          <w:instrText xml:space="preserve"> PAGEREF _Toc487206116 \h </w:instrText>
        </w:r>
        <w:r w:rsidR="00AA4213">
          <w:rPr>
            <w:noProof/>
            <w:webHidden/>
          </w:rPr>
        </w:r>
        <w:r w:rsidR="00AA4213">
          <w:rPr>
            <w:noProof/>
            <w:webHidden/>
          </w:rPr>
          <w:fldChar w:fldCharType="separate"/>
        </w:r>
        <w:r w:rsidR="00AA4213">
          <w:rPr>
            <w:noProof/>
            <w:webHidden/>
          </w:rPr>
          <w:t>25</w:t>
        </w:r>
        <w:r w:rsidR="00AA4213">
          <w:rPr>
            <w:noProof/>
            <w:webHidden/>
          </w:rPr>
          <w:fldChar w:fldCharType="end"/>
        </w:r>
      </w:hyperlink>
    </w:p>
    <w:p w:rsidR="00AA4213" w:rsidRDefault="00B238FB">
      <w:pPr>
        <w:pStyle w:val="TableofFigures"/>
        <w:tabs>
          <w:tab w:val="right" w:leader="dot" w:pos="9016"/>
        </w:tabs>
        <w:rPr>
          <w:rFonts w:asciiTheme="minorHAnsi" w:eastAsiaTheme="minorEastAsia" w:hAnsiTheme="minorHAnsi"/>
          <w:noProof/>
          <w:szCs w:val="20"/>
          <w:lang w:eastAsia="zh-TW" w:bidi="hi-IN"/>
        </w:rPr>
      </w:pPr>
      <w:hyperlink w:anchor="_Toc487206117" w:history="1">
        <w:r w:rsidR="00AA4213" w:rsidRPr="00AD4225">
          <w:rPr>
            <w:rStyle w:val="Hyperlink"/>
            <w:noProof/>
          </w:rPr>
          <w:t>Table 2. Selected long-life prepaid plans, call and data costs, May 2017</w:t>
        </w:r>
        <w:r w:rsidR="00AA4213">
          <w:rPr>
            <w:noProof/>
            <w:webHidden/>
          </w:rPr>
          <w:tab/>
        </w:r>
        <w:r w:rsidR="00AA4213">
          <w:rPr>
            <w:noProof/>
            <w:webHidden/>
          </w:rPr>
          <w:fldChar w:fldCharType="begin"/>
        </w:r>
        <w:r w:rsidR="00AA4213">
          <w:rPr>
            <w:noProof/>
            <w:webHidden/>
          </w:rPr>
          <w:instrText xml:space="preserve"> PAGEREF _Toc487206117 \h </w:instrText>
        </w:r>
        <w:r w:rsidR="00AA4213">
          <w:rPr>
            <w:noProof/>
            <w:webHidden/>
          </w:rPr>
        </w:r>
        <w:r w:rsidR="00AA4213">
          <w:rPr>
            <w:noProof/>
            <w:webHidden/>
          </w:rPr>
          <w:fldChar w:fldCharType="separate"/>
        </w:r>
        <w:r w:rsidR="00AA4213">
          <w:rPr>
            <w:noProof/>
            <w:webHidden/>
          </w:rPr>
          <w:t>27</w:t>
        </w:r>
        <w:r w:rsidR="00AA4213">
          <w:rPr>
            <w:noProof/>
            <w:webHidden/>
          </w:rPr>
          <w:fldChar w:fldCharType="end"/>
        </w:r>
      </w:hyperlink>
    </w:p>
    <w:p w:rsidR="005700B7" w:rsidRPr="00AE73E3" w:rsidRDefault="005700B7" w:rsidP="005700B7">
      <w:pPr>
        <w:sectPr w:rsidR="005700B7" w:rsidRPr="00AE73E3" w:rsidSect="001061E5">
          <w:headerReference w:type="default" r:id="rId20"/>
          <w:footerReference w:type="default" r:id="rId21"/>
          <w:footnotePr>
            <w:numRestart w:val="eachPage"/>
          </w:footnotePr>
          <w:endnotePr>
            <w:numFmt w:val="decimal"/>
          </w:endnotePr>
          <w:type w:val="continuous"/>
          <w:pgSz w:w="11906" w:h="16838"/>
          <w:pgMar w:top="1440" w:right="1440" w:bottom="1276" w:left="1440" w:header="708" w:footer="328" w:gutter="0"/>
          <w:pgNumType w:fmt="lowerRoman" w:start="1"/>
          <w:cols w:space="708"/>
          <w:docGrid w:linePitch="360"/>
        </w:sectPr>
      </w:pPr>
      <w:r w:rsidRPr="00AE73E3">
        <w:fldChar w:fldCharType="end"/>
      </w:r>
    </w:p>
    <w:p w:rsidR="000C30DA" w:rsidRDefault="000C30DA" w:rsidP="000C30DA">
      <w:pPr>
        <w:pStyle w:val="Heading2"/>
        <w:rPr>
          <w:rFonts w:ascii="Cambria" w:hAnsi="Cambria"/>
          <w:b w:val="0"/>
          <w:bCs/>
        </w:rPr>
      </w:pPr>
      <w:bookmarkStart w:id="8" w:name="_Toc486867500"/>
      <w:bookmarkStart w:id="9" w:name="_Toc487206042"/>
      <w:r>
        <w:lastRenderedPageBreak/>
        <w:t>Introduction</w:t>
      </w:r>
      <w:bookmarkEnd w:id="8"/>
      <w:bookmarkEnd w:id="9"/>
    </w:p>
    <w:p w:rsidR="000C30DA" w:rsidRDefault="000C30DA" w:rsidP="000C30DA">
      <w:pPr>
        <w:pStyle w:val="Heading3"/>
      </w:pPr>
      <w:bookmarkStart w:id="10" w:name="_Toc482281078"/>
      <w:bookmarkStart w:id="11" w:name="_Toc482283304"/>
      <w:bookmarkStart w:id="12" w:name="_Toc482284168"/>
      <w:bookmarkStart w:id="13" w:name="_Toc482284609"/>
      <w:bookmarkStart w:id="14" w:name="_Toc482343404"/>
      <w:bookmarkStart w:id="15" w:name="_Toc482363840"/>
      <w:bookmarkStart w:id="16" w:name="_Toc482617438"/>
      <w:bookmarkStart w:id="17" w:name="_Toc482624077"/>
      <w:bookmarkStart w:id="18" w:name="_Toc482627904"/>
      <w:bookmarkStart w:id="19" w:name="_Toc482956626"/>
      <w:bookmarkStart w:id="20" w:name="_Toc486867501"/>
      <w:bookmarkStart w:id="21" w:name="_Toc487206043"/>
      <w:bookmarkStart w:id="22" w:name="_Toc472435977"/>
      <w:bookmarkStart w:id="23" w:name="_Toc472440226"/>
      <w:bookmarkStart w:id="24" w:name="_Toc472513496"/>
      <w:bookmarkStart w:id="25" w:name="_Toc472518477"/>
      <w:r>
        <w:t>Why look at affordability?</w:t>
      </w:r>
      <w:bookmarkEnd w:id="10"/>
      <w:bookmarkEnd w:id="11"/>
      <w:bookmarkEnd w:id="12"/>
      <w:bookmarkEnd w:id="13"/>
      <w:bookmarkEnd w:id="14"/>
      <w:bookmarkEnd w:id="15"/>
      <w:bookmarkEnd w:id="16"/>
      <w:bookmarkEnd w:id="17"/>
      <w:bookmarkEnd w:id="18"/>
      <w:bookmarkEnd w:id="19"/>
      <w:bookmarkEnd w:id="20"/>
      <w:bookmarkEnd w:id="21"/>
    </w:p>
    <w:p w:rsidR="000C30DA" w:rsidRPr="007259BF" w:rsidDel="00B83CC0" w:rsidRDefault="000C30DA" w:rsidP="000C30DA">
      <w:r w:rsidRPr="007259BF">
        <w:t xml:space="preserve">Communications services are </w:t>
      </w:r>
      <w:r>
        <w:t xml:space="preserve">increasingly </w:t>
      </w:r>
      <w:r w:rsidRPr="007259BF">
        <w:t xml:space="preserve">essential for household access </w:t>
      </w:r>
      <w:r>
        <w:t xml:space="preserve">to information, </w:t>
      </w:r>
      <w:r w:rsidRPr="007259BF">
        <w:t xml:space="preserve">employment, markets and </w:t>
      </w:r>
      <w:r>
        <w:t>key</w:t>
      </w:r>
      <w:r w:rsidRPr="007259BF">
        <w:t xml:space="preserve"> s</w:t>
      </w:r>
      <w:r>
        <w:t xml:space="preserve">ervices. </w:t>
      </w:r>
      <w:r w:rsidRPr="007259BF">
        <w:t>Consumer demand for communications services has grown rapidly</w:t>
      </w:r>
      <w:r>
        <w:t>.</w:t>
      </w:r>
      <w:r w:rsidDel="0093059F">
        <w:t xml:space="preserve"> </w:t>
      </w:r>
      <w:r>
        <w:t xml:space="preserve">In response, </w:t>
      </w:r>
      <w:r w:rsidRPr="007259BF">
        <w:t xml:space="preserve">competitive markets should be providing services that are affordable, </w:t>
      </w:r>
      <w:r>
        <w:t>including</w:t>
      </w:r>
      <w:r w:rsidRPr="007259BF">
        <w:t xml:space="preserve"> for vulnerable groups</w:t>
      </w:r>
      <w:r w:rsidRPr="007259BF" w:rsidDel="00B83CC0">
        <w:t>.</w:t>
      </w:r>
    </w:p>
    <w:p w:rsidR="000C30DA" w:rsidRDefault="000C30DA" w:rsidP="000C30DA">
      <w:r>
        <w:t>While t</w:t>
      </w:r>
      <w:r w:rsidRPr="0001402F">
        <w:t xml:space="preserve">he Productivity Commission </w:t>
      </w:r>
      <w:r>
        <w:t>looked at</w:t>
      </w:r>
      <w:r w:rsidRPr="0001402F">
        <w:t xml:space="preserve"> the affordability of communications services as part of </w:t>
      </w:r>
      <w:r>
        <w:t>its</w:t>
      </w:r>
      <w:r w:rsidRPr="0001402F">
        <w:t xml:space="preserve"> inquiry into the Telecommunications Universal Service Obligation</w:t>
      </w:r>
      <w:r>
        <w:t>, t</w:t>
      </w:r>
      <w:r w:rsidRPr="0001402F">
        <w:t xml:space="preserve">his paper </w:t>
      </w:r>
      <w:r>
        <w:t>provides a deeper and more targeted examination</w:t>
      </w:r>
      <w:r w:rsidRPr="0001402F">
        <w:t xml:space="preserve"> </w:t>
      </w:r>
      <w:r>
        <w:t>of</w:t>
      </w:r>
      <w:r w:rsidRPr="0001402F">
        <w:t xml:space="preserve"> trends in affordability for particular household types</w:t>
      </w:r>
      <w:r w:rsidDel="00126291">
        <w:t>,</w:t>
      </w:r>
      <w:r>
        <w:t xml:space="preserve"> focusing on mobile and internet services.</w:t>
      </w:r>
    </w:p>
    <w:p w:rsidR="000C30DA" w:rsidRDefault="000C30DA" w:rsidP="000C30DA">
      <w:r>
        <w:t>While this working paper examines pricing as part of the analysis, price itself does not provide a complete picture of the extent to which households are able to afford to access the communications services necessary to engage with society and the economy. Affordability, which takes into account incomes, prices and quantity consumed, is typically measured at the household level as the proportion of total household income spent on a good or service by all members of a household.</w:t>
      </w:r>
    </w:p>
    <w:p w:rsidR="000C30DA" w:rsidRDefault="000C30DA" w:rsidP="000C30DA">
      <w:r>
        <w:t xml:space="preserve">Average measures of affordability for all households are also useful to determine trends over time. However, these measures provide little information on outcomes of particular groups. This paper examines trends in affordability for all households, as well as for </w:t>
      </w:r>
      <w:r w:rsidRPr="00394DFD">
        <w:t>vulnerable groups</w:t>
      </w:r>
      <w:r>
        <w:t xml:space="preserve"> and those in rural and regional areas. Affordability in Australia relative to other countries is also assessed using a range of international metrics.</w:t>
      </w:r>
    </w:p>
    <w:p w:rsidR="000C30DA" w:rsidRDefault="000C30DA" w:rsidP="000C30DA">
      <w:pPr>
        <w:pStyle w:val="Heading3"/>
      </w:pPr>
      <w:bookmarkStart w:id="26" w:name="_Toc482281079"/>
      <w:bookmarkStart w:id="27" w:name="_Toc482283305"/>
      <w:bookmarkStart w:id="28" w:name="_Toc482284169"/>
      <w:bookmarkStart w:id="29" w:name="_Toc482284610"/>
      <w:bookmarkStart w:id="30" w:name="_Toc482343405"/>
      <w:bookmarkStart w:id="31" w:name="_Toc482363841"/>
      <w:bookmarkStart w:id="32" w:name="_Toc482617439"/>
      <w:bookmarkStart w:id="33" w:name="_Toc482624078"/>
      <w:bookmarkStart w:id="34" w:name="_Toc482627905"/>
      <w:bookmarkStart w:id="35" w:name="_Toc482956627"/>
      <w:bookmarkStart w:id="36" w:name="_Toc486867502"/>
      <w:bookmarkStart w:id="37" w:name="_Toc487206044"/>
      <w:r>
        <w:t>Key findings</w:t>
      </w:r>
      <w:bookmarkEnd w:id="26"/>
      <w:bookmarkEnd w:id="27"/>
      <w:bookmarkEnd w:id="28"/>
      <w:bookmarkEnd w:id="29"/>
      <w:bookmarkEnd w:id="30"/>
      <w:bookmarkEnd w:id="31"/>
      <w:bookmarkEnd w:id="32"/>
      <w:bookmarkEnd w:id="33"/>
      <w:bookmarkEnd w:id="34"/>
      <w:bookmarkEnd w:id="35"/>
      <w:bookmarkEnd w:id="36"/>
      <w:bookmarkEnd w:id="37"/>
    </w:p>
    <w:p w:rsidR="000C30DA" w:rsidRPr="00A6635F" w:rsidRDefault="000C30DA" w:rsidP="00870DD3">
      <w:pPr>
        <w:pStyle w:val="Bulletlevel1"/>
      </w:pPr>
      <w:r w:rsidRPr="00A6635F">
        <w:t>The affordability of communications services for households has improved in aggregate and for most vulnerable groups over recent years. Consumers are getting better value as prices stay the same or fall, while product inclusions (such as data) increase.</w:t>
      </w:r>
    </w:p>
    <w:p w:rsidR="000C30DA" w:rsidRPr="00A6635F" w:rsidRDefault="000C30DA" w:rsidP="00870DD3">
      <w:pPr>
        <w:pStyle w:val="Bulletlevel1"/>
      </w:pPr>
      <w:r w:rsidRPr="00A6635F">
        <w:t xml:space="preserve">Markets for communications services are responding to strong consumer demand and different tastes by providing greater choice </w:t>
      </w:r>
      <w:r w:rsidRPr="00A6635F">
        <w:lastRenderedPageBreak/>
        <w:t>and products at a range of price points. Mobile customers are generally well served with significant choice and options.</w:t>
      </w:r>
    </w:p>
    <w:p w:rsidR="000C30DA" w:rsidRPr="00A6635F" w:rsidRDefault="000C30DA" w:rsidP="00870DD3">
      <w:pPr>
        <w:pStyle w:val="Bulletlevel1"/>
      </w:pPr>
      <w:r w:rsidRPr="00A6635F">
        <w:t>For home broadband services, the roll out of the NBN is improving choice and reducing prices for regional consumers.</w:t>
      </w:r>
    </w:p>
    <w:p w:rsidR="000C30DA" w:rsidRPr="00A6635F" w:rsidRDefault="000C30DA" w:rsidP="00870DD3">
      <w:pPr>
        <w:pStyle w:val="Bulletlevel1"/>
      </w:pPr>
      <w:r w:rsidRPr="00A6635F">
        <w:t>Australia compares well internationally on affordability measures for mobile services and is improving for fixed broadband. However, better data and comparable methodology are needed for a robust cross-country comparison of the affordability of broadband services.</w:t>
      </w:r>
    </w:p>
    <w:p w:rsidR="000C30DA" w:rsidRPr="00A6635F" w:rsidRDefault="000C30DA" w:rsidP="00870DD3">
      <w:pPr>
        <w:pStyle w:val="Bulletlevel1"/>
      </w:pPr>
      <w:r w:rsidRPr="00A6635F">
        <w:t>Strong consumer demand for communications services is anticipated to continue well into the future. The outlook for affordability will depend on a number of factors including regulatory settings, competitive pressures and broader income growth.</w:t>
      </w:r>
    </w:p>
    <w:p w:rsidR="000C30DA" w:rsidRDefault="000C30DA" w:rsidP="000C30DA">
      <w:pPr>
        <w:pStyle w:val="Heading2"/>
      </w:pPr>
      <w:bookmarkStart w:id="38" w:name="_Toc482363842"/>
      <w:bookmarkStart w:id="39" w:name="_Toc482617441"/>
      <w:bookmarkStart w:id="40" w:name="_Toc482624080"/>
      <w:bookmarkStart w:id="41" w:name="_Toc482627907"/>
      <w:bookmarkStart w:id="42" w:name="_Toc482956628"/>
      <w:bookmarkStart w:id="43" w:name="_Toc486867503"/>
      <w:bookmarkStart w:id="44" w:name="_Toc487206045"/>
      <w:bookmarkStart w:id="45" w:name="_Toc482281080"/>
      <w:bookmarkStart w:id="46" w:name="_Toc482283306"/>
      <w:bookmarkStart w:id="47" w:name="_Toc482284170"/>
      <w:bookmarkStart w:id="48" w:name="_Toc482284611"/>
      <w:bookmarkStart w:id="49" w:name="_Toc482343406"/>
      <w:r>
        <w:t>Overall affordability has improved</w:t>
      </w:r>
      <w:bookmarkEnd w:id="38"/>
      <w:bookmarkEnd w:id="39"/>
      <w:bookmarkEnd w:id="40"/>
      <w:bookmarkEnd w:id="41"/>
      <w:bookmarkEnd w:id="42"/>
      <w:bookmarkEnd w:id="43"/>
      <w:bookmarkEnd w:id="44"/>
    </w:p>
    <w:bookmarkEnd w:id="45"/>
    <w:bookmarkEnd w:id="46"/>
    <w:bookmarkEnd w:id="47"/>
    <w:bookmarkEnd w:id="48"/>
    <w:bookmarkEnd w:id="49"/>
    <w:p w:rsidR="000C30DA" w:rsidRDefault="000C30DA" w:rsidP="000C30DA">
      <w:r>
        <w:t>Aggregate household affordability of communications services has improved since 2008. This indicates a healthy degree of competition in the market and suggests most households are able to benefit from the digital economy.</w:t>
      </w:r>
    </w:p>
    <w:p w:rsidR="000C30DA" w:rsidRPr="005F2286" w:rsidRDefault="000C30DA" w:rsidP="000C30DA">
      <w:pPr>
        <w:pStyle w:val="Heading3"/>
      </w:pPr>
      <w:bookmarkStart w:id="50" w:name="_Toc482363843"/>
      <w:bookmarkStart w:id="51" w:name="_Toc482617442"/>
      <w:bookmarkStart w:id="52" w:name="_Toc482624081"/>
      <w:bookmarkStart w:id="53" w:name="_Toc482627908"/>
      <w:bookmarkStart w:id="54" w:name="_Toc482956629"/>
      <w:bookmarkStart w:id="55" w:name="_Toc486867504"/>
      <w:bookmarkStart w:id="56" w:name="_Toc487206046"/>
      <w:r>
        <w:t>Households are spending less</w:t>
      </w:r>
      <w:bookmarkEnd w:id="50"/>
      <w:bookmarkEnd w:id="51"/>
      <w:bookmarkEnd w:id="52"/>
      <w:bookmarkEnd w:id="53"/>
      <w:bookmarkEnd w:id="54"/>
      <w:bookmarkEnd w:id="55"/>
      <w:bookmarkEnd w:id="56"/>
    </w:p>
    <w:p w:rsidR="000C30DA" w:rsidRDefault="000C30DA" w:rsidP="000C30DA">
      <w:r>
        <w:t xml:space="preserve">The average </w:t>
      </w:r>
      <w:r w:rsidR="000558B3">
        <w:t>household saw its</w:t>
      </w:r>
      <w:r>
        <w:t xml:space="preserve"> expenditure on communications services as a share of household disposable income fall in recent years. Average household expenditure on fixed-line telephone, mobile and internet services declined from 4.1 per cent of household disposable income in 2008 to 3.5 per cent in 2015 (</w:t>
      </w:r>
      <w:r w:rsidRPr="007E4674">
        <w:fldChar w:fldCharType="begin"/>
      </w:r>
      <w:r w:rsidRPr="007E4674">
        <w:instrText xml:space="preserve"> REF _Ref482350958 \h  \* MERGEFORMAT </w:instrText>
      </w:r>
      <w:r w:rsidRPr="007E4674">
        <w:fldChar w:fldCharType="separate"/>
      </w:r>
      <w:r w:rsidR="00BE637B" w:rsidRPr="00282561">
        <w:t xml:space="preserve">Figure </w:t>
      </w:r>
      <w:r w:rsidR="00BE637B">
        <w:rPr>
          <w:noProof/>
        </w:rPr>
        <w:t>1</w:t>
      </w:r>
      <w:r w:rsidRPr="007E4674">
        <w:fldChar w:fldCharType="end"/>
      </w:r>
      <w:r>
        <w:t xml:space="preserve">). </w:t>
      </w:r>
    </w:p>
    <w:p w:rsidR="000C30DA" w:rsidRPr="00282561" w:rsidRDefault="000C30DA" w:rsidP="00934C33">
      <w:pPr>
        <w:pStyle w:val="Tablefigureheading"/>
      </w:pPr>
      <w:bookmarkStart w:id="57" w:name="_Ref482350958"/>
      <w:bookmarkStart w:id="58" w:name="_Ref482350940"/>
      <w:bookmarkStart w:id="59" w:name="_Toc487206088"/>
      <w:r w:rsidRPr="00282561">
        <w:lastRenderedPageBreak/>
        <w:t xml:space="preserve">Figure </w:t>
      </w:r>
      <w:fldSimple w:instr=" SEQ Figure \* ARABIC ">
        <w:r w:rsidR="00BE637B">
          <w:rPr>
            <w:noProof/>
          </w:rPr>
          <w:t>1</w:t>
        </w:r>
      </w:fldSimple>
      <w:bookmarkEnd w:id="57"/>
      <w:r w:rsidRPr="00282561">
        <w:t xml:space="preserve">. </w:t>
      </w:r>
      <w:bookmarkEnd w:id="58"/>
      <w:r w:rsidR="00C56734" w:rsidRPr="00C56734">
        <w:t>Average share of household disposable income spent on mobile and fixed-line telephone rent, calls and internet charges</w:t>
      </w:r>
      <w:bookmarkEnd w:id="59"/>
    </w:p>
    <w:p w:rsidR="000C30DA" w:rsidRDefault="002B4402" w:rsidP="000C30DA">
      <w:r>
        <w:rPr>
          <w:noProof/>
          <w:lang w:eastAsia="en-AU"/>
        </w:rPr>
        <w:drawing>
          <wp:inline distT="0" distB="0" distL="0" distR="0" wp14:anchorId="46D9B485" wp14:editId="4925CFAF">
            <wp:extent cx="5736590" cy="3225165"/>
            <wp:effectExtent l="0" t="0" r="0" b="0"/>
            <wp:docPr id="8" name="Picture 8" descr="This is a line chart. The y axis shows the average share of household disposable income spent on communications services (telephone and internet). The x axis shows time from 2006 to 2015. Shows the share of household disposable income spent on communications services (telephone and internet) averages just under 4 per cent, and has tended to fall since 2008." title="Figure 1. Average share of household disposable income spent on mobile and fixed-line telephone rent, calls and internet char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6590" cy="3225165"/>
                    </a:xfrm>
                    <a:prstGeom prst="rect">
                      <a:avLst/>
                    </a:prstGeom>
                    <a:noFill/>
                  </pic:spPr>
                </pic:pic>
              </a:graphicData>
            </a:graphic>
          </wp:inline>
        </w:drawing>
      </w:r>
    </w:p>
    <w:p w:rsidR="000C30DA" w:rsidRPr="00934C33" w:rsidRDefault="000C30DA" w:rsidP="00934C33">
      <w:pPr>
        <w:pStyle w:val="NoteSource"/>
      </w:pPr>
      <w:r w:rsidRPr="00934C33">
        <w:t>Source. The Household Income and Labour Dynamics in Australia (HILDA) Survey</w:t>
      </w:r>
      <w:r w:rsidR="00A77A99">
        <w:t>, Release 15</w:t>
      </w:r>
      <w:r w:rsidRPr="00934C33">
        <w:t>.</w:t>
      </w:r>
      <w:r w:rsidR="000E35DC">
        <w:rPr>
          <w:rStyle w:val="EndnoteReference"/>
        </w:rPr>
        <w:endnoteReference w:id="2"/>
      </w:r>
      <w:r w:rsidRPr="00934C33">
        <w:t xml:space="preserve"> </w:t>
      </w:r>
    </w:p>
    <w:p w:rsidR="000C30DA" w:rsidRPr="00934C33" w:rsidRDefault="000C30DA" w:rsidP="00934C33">
      <w:pPr>
        <w:pStyle w:val="NoteSource"/>
      </w:pPr>
      <w:r w:rsidRPr="00934C33">
        <w:t>Notes. Telephone rent and calls includes rent and charges on both fixed-line and mobile phones including the cost of buying a mobile handset that is included in a service bundle (but excluding the cost of buying a handset outright). Internet charges capture both fixed and mobile internet expenses. This data series tracks expenditure share by the average household. While households vary in size, average household size in Australia has remained constant at 2.6 people per household between 2006 and 2011, and is projected to stay between 2.5 and 2.6 people per household in 2036.</w:t>
      </w:r>
      <w:r w:rsidRPr="008F2463">
        <w:rPr>
          <w:rStyle w:val="EndnoteReference"/>
        </w:rPr>
        <w:endnoteReference w:id="3"/>
      </w:r>
      <w:r w:rsidRPr="008F2463">
        <w:rPr>
          <w:rStyle w:val="EndnoteReference"/>
        </w:rPr>
        <w:t xml:space="preserve"> </w:t>
      </w:r>
      <w:r w:rsidRPr="00934C33">
        <w:t>Household disposable (regular) income is equal to the sum of regular private income, Australian Government public transfers, other regular public transfers and foreign pensions minus estimated taxes on regular income. A small number of households with an expenditure share equal to zero or</w:t>
      </w:r>
      <w:r w:rsidR="000558B3">
        <w:t xml:space="preserve"> equal to 100 per cent</w:t>
      </w:r>
      <w:r w:rsidRPr="00934C33">
        <w:t xml:space="preserve"> or greater have been excluded from the analysis. Figures have not been adjusted for inflation.</w:t>
      </w:r>
    </w:p>
    <w:p w:rsidR="000C30DA" w:rsidRDefault="000C30DA" w:rsidP="000C30DA">
      <w:r>
        <w:t xml:space="preserve">This has largely resulted from increases in disposable income rather than reduced expenditure on communications services, which has been relatively flat (at approximately $2000 a year, </w:t>
      </w:r>
      <w:r w:rsidRPr="003C3590">
        <w:fldChar w:fldCharType="begin"/>
      </w:r>
      <w:r w:rsidRPr="00C126CC">
        <w:instrText xml:space="preserve"> REF _Ref482350977 \h </w:instrText>
      </w:r>
      <w:r w:rsidRPr="00F96B32">
        <w:instrText xml:space="preserve"> \* MERGEFORMAT </w:instrText>
      </w:r>
      <w:r w:rsidRPr="003C3590">
        <w:fldChar w:fldCharType="separate"/>
      </w:r>
      <w:r w:rsidR="00BE637B" w:rsidRPr="00282561">
        <w:t xml:space="preserve">Figure </w:t>
      </w:r>
      <w:r w:rsidR="00BE637B">
        <w:rPr>
          <w:noProof/>
        </w:rPr>
        <w:t>2</w:t>
      </w:r>
      <w:r w:rsidRPr="003C3590">
        <w:fldChar w:fldCharType="end"/>
      </w:r>
      <w:r w:rsidRPr="00A06DBB">
        <w:t>)</w:t>
      </w:r>
      <w:r>
        <w:t>. The net result is a decline in communications services share in spending.</w:t>
      </w:r>
    </w:p>
    <w:p w:rsidR="000C30DA" w:rsidRDefault="000C30DA" w:rsidP="00934C33">
      <w:pPr>
        <w:pStyle w:val="Tablefigureheading"/>
      </w:pPr>
      <w:bookmarkStart w:id="60" w:name="_Ref482350977"/>
      <w:bookmarkStart w:id="61" w:name="_Toc487206089"/>
      <w:r w:rsidRPr="00282561">
        <w:lastRenderedPageBreak/>
        <w:t xml:space="preserve">Figure </w:t>
      </w:r>
      <w:fldSimple w:instr=" SEQ Figure \* ARABIC ">
        <w:r w:rsidR="00BE637B">
          <w:rPr>
            <w:noProof/>
          </w:rPr>
          <w:t>2</w:t>
        </w:r>
      </w:fldSimple>
      <w:bookmarkEnd w:id="60"/>
      <w:r w:rsidRPr="00282561">
        <w:t>. Average annual household expenditure on mobile and fixed-line telephone rent, calls and internet charges and average annual household disposable income</w:t>
      </w:r>
      <w:bookmarkEnd w:id="61"/>
    </w:p>
    <w:p w:rsidR="000C30DA" w:rsidRPr="00B02DBF" w:rsidRDefault="004320C1" w:rsidP="000C30DA">
      <w:r>
        <w:rPr>
          <w:noProof/>
          <w:lang w:eastAsia="en-AU"/>
        </w:rPr>
        <w:drawing>
          <wp:inline distT="0" distB="0" distL="0" distR="0" wp14:anchorId="076A3175" wp14:editId="0103BA34">
            <wp:extent cx="5736590" cy="3225165"/>
            <wp:effectExtent l="0" t="0" r="0" b="0"/>
            <wp:docPr id="9" name="Picture 9" descr="This is a line chart. The left y axis shows average household disposable income. The right y axis shows average household expenditure on communication services (telephone and internet). The x axis shows time from 2006 to 2015. Shows average household disposable income has risen since 2006, while average household expenditure on communication services has been relatively flat." title="Figure 2. Average annual household expenditure on mobile and fixed-line telephone rent, calls and internet charges and average annual household disposable inc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6590" cy="3225165"/>
                    </a:xfrm>
                    <a:prstGeom prst="rect">
                      <a:avLst/>
                    </a:prstGeom>
                    <a:noFill/>
                  </pic:spPr>
                </pic:pic>
              </a:graphicData>
            </a:graphic>
          </wp:inline>
        </w:drawing>
      </w:r>
    </w:p>
    <w:p w:rsidR="000C30DA" w:rsidRDefault="000C30DA" w:rsidP="000C30DA">
      <w:pPr>
        <w:pStyle w:val="NoteSource"/>
      </w:pPr>
      <w:r>
        <w:t>Source. The Household Income and Labour Dynamics in Australia (HILDA) Survey</w:t>
      </w:r>
      <w:r w:rsidR="00A77A99">
        <w:t>, Release 15</w:t>
      </w:r>
      <w:r>
        <w:t xml:space="preserve">. </w:t>
      </w:r>
    </w:p>
    <w:p w:rsidR="000C30DA" w:rsidRDefault="000C30DA" w:rsidP="000C30DA">
      <w:pPr>
        <w:pStyle w:val="NoteSource"/>
        <w:spacing w:before="0" w:after="240"/>
      </w:pPr>
      <w:r>
        <w:t xml:space="preserve">Notes. </w:t>
      </w:r>
      <w:r w:rsidRPr="005D5C46">
        <w:t xml:space="preserve">Telephone rent and calls includes rent and </w:t>
      </w:r>
      <w:r w:rsidRPr="00E26B8E">
        <w:t>charges on both fixed-line and mobile phones</w:t>
      </w:r>
      <w:r w:rsidRPr="005D5C46">
        <w:t xml:space="preserve"> including</w:t>
      </w:r>
      <w:r>
        <w:t xml:space="preserve"> the cost of buying a mobile handset that is included in a service bundle (but excluding the cost of buying a handset outright). Internet charges capture both fixed and mobile internet expenses. This data series tracks expenditure share by the average household. While households vary in size, average household size in Australia has remained constant at 2.6 people per household between 2006 and 2011, and is projected to stay between 2.5 and 2.6 people per household in 2036.</w:t>
      </w:r>
      <w:r>
        <w:rPr>
          <w:rStyle w:val="EndnoteReference"/>
        </w:rPr>
        <w:endnoteReference w:id="4"/>
      </w:r>
      <w:r>
        <w:t xml:space="preserve"> Household disposable (regular) income is equal to the sum of regular private income, Australian Government public transfers, other regular public transfers and foreign pensions minus estimated taxes on regular income. A small number of households with an expenditure shar</w:t>
      </w:r>
      <w:r w:rsidR="000558B3">
        <w:t>e equal to zero or equal to 100 per cent</w:t>
      </w:r>
      <w:r>
        <w:t xml:space="preserve"> or greater have been excluded from the analysis. Figures have not been adjusted for inflation.</w:t>
      </w:r>
    </w:p>
    <w:p w:rsidR="000C30DA" w:rsidRDefault="000C30DA" w:rsidP="000C30DA">
      <w:bookmarkStart w:id="62" w:name="_Toc482281081"/>
      <w:r>
        <w:t>In addition, once quality is taken into account, households are getting better value for money from communications services. Data suggests that as well as benefiting from falling real prices for communications services, the quantity consumed has grown robustly in line with strong demand for these services and increased product inclusions (largely data allowances).</w:t>
      </w:r>
    </w:p>
    <w:p w:rsidR="000C30DA" w:rsidRDefault="000C30DA" w:rsidP="000C30DA">
      <w:pPr>
        <w:pStyle w:val="Heading3"/>
      </w:pPr>
      <w:bookmarkStart w:id="63" w:name="_Toc482617443"/>
      <w:bookmarkStart w:id="64" w:name="_Toc482624082"/>
      <w:bookmarkStart w:id="65" w:name="_Toc482627909"/>
      <w:bookmarkStart w:id="66" w:name="_Toc482956630"/>
      <w:bookmarkStart w:id="67" w:name="_Toc486867505"/>
      <w:bookmarkStart w:id="68" w:name="_Toc487206047"/>
      <w:bookmarkEnd w:id="62"/>
      <w:r>
        <w:lastRenderedPageBreak/>
        <w:t>…and are accessing more services</w:t>
      </w:r>
      <w:bookmarkEnd w:id="63"/>
      <w:bookmarkEnd w:id="64"/>
      <w:bookmarkEnd w:id="65"/>
      <w:bookmarkEnd w:id="66"/>
      <w:bookmarkEnd w:id="67"/>
      <w:bookmarkEnd w:id="68"/>
    </w:p>
    <w:p w:rsidR="000C30DA" w:rsidRDefault="000C30DA" w:rsidP="000C30DA">
      <w:r>
        <w:t>Households have ramped up their consumption of communications services to take advantage of greater connectivity, mobility and choice of content. Demand for communications goods and services is growing faster than that of other goods and services in the economy (</w:t>
      </w:r>
      <w:r>
        <w:fldChar w:fldCharType="begin"/>
      </w:r>
      <w:r>
        <w:instrText xml:space="preserve"> REF _Ref482603793 \h  \* MERGEFORMAT </w:instrText>
      </w:r>
      <w:r>
        <w:fldChar w:fldCharType="separate"/>
      </w:r>
      <w:r w:rsidR="00BE637B" w:rsidRPr="00D7182D" w:rsidDel="00577ACC">
        <w:t xml:space="preserve">Figure </w:t>
      </w:r>
      <w:r w:rsidR="00BE637B">
        <w:rPr>
          <w:noProof/>
        </w:rPr>
        <w:t>3</w:t>
      </w:r>
      <w:r>
        <w:fldChar w:fldCharType="end"/>
      </w:r>
      <w:r>
        <w:t>).</w:t>
      </w:r>
    </w:p>
    <w:p w:rsidR="000C30DA" w:rsidRDefault="000C30DA" w:rsidP="00934C33">
      <w:pPr>
        <w:pStyle w:val="Tablefigureheading"/>
      </w:pPr>
      <w:bookmarkStart w:id="69" w:name="_Ref482603793"/>
      <w:bookmarkStart w:id="70" w:name="_Toc487206090"/>
      <w:r w:rsidRPr="00D7182D" w:rsidDel="00577ACC">
        <w:t xml:space="preserve">Figure </w:t>
      </w:r>
      <w:bookmarkStart w:id="71" w:name="_Ref482351360"/>
      <w:r w:rsidRPr="007E4674">
        <w:fldChar w:fldCharType="begin"/>
      </w:r>
      <w:r w:rsidRPr="007E4674">
        <w:instrText xml:space="preserve"> SEQ Figure \* ARABIC </w:instrText>
      </w:r>
      <w:r w:rsidRPr="007E4674">
        <w:fldChar w:fldCharType="separate"/>
      </w:r>
      <w:r w:rsidR="00BE637B">
        <w:rPr>
          <w:noProof/>
        </w:rPr>
        <w:t>3</w:t>
      </w:r>
      <w:r w:rsidRPr="007E4674">
        <w:fldChar w:fldCharType="end"/>
      </w:r>
      <w:bookmarkEnd w:id="69"/>
      <w:bookmarkEnd w:id="71"/>
      <w:r w:rsidRPr="007E4674">
        <w:t>. Growth in real household consumption of communications goods and services</w:t>
      </w:r>
      <w:bookmarkEnd w:id="70"/>
    </w:p>
    <w:p w:rsidR="000C30DA" w:rsidRPr="00B02DBF" w:rsidRDefault="00C930AD" w:rsidP="000C30DA">
      <w:r>
        <w:rPr>
          <w:noProof/>
          <w:lang w:eastAsia="en-AU"/>
        </w:rPr>
        <w:drawing>
          <wp:inline distT="0" distB="0" distL="0" distR="0" wp14:anchorId="6566B32F" wp14:editId="57E9D92A">
            <wp:extent cx="5736590" cy="3328670"/>
            <wp:effectExtent l="0" t="0" r="0" b="5080"/>
            <wp:docPr id="10" name="Picture 10" descr="This is a line chart. The y axis shows percentage change year-on-year. The x axis shows time from March 1997 to March 2017. Shows real household consumption of communications goods and services has frequently grown faster than real household consumption of other goods and services in the economy." title="Figure 3. Growth in real household consumption of communications goods and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6590" cy="3328670"/>
                    </a:xfrm>
                    <a:prstGeom prst="rect">
                      <a:avLst/>
                    </a:prstGeom>
                    <a:noFill/>
                  </pic:spPr>
                </pic:pic>
              </a:graphicData>
            </a:graphic>
          </wp:inline>
        </w:drawing>
      </w:r>
    </w:p>
    <w:p w:rsidR="00A77A99" w:rsidRDefault="000C30DA" w:rsidP="000C30DA">
      <w:pPr>
        <w:pStyle w:val="NoteSource"/>
        <w:keepNext w:val="0"/>
        <w:spacing w:before="0" w:after="240"/>
        <w:rPr>
          <w:szCs w:val="16"/>
        </w:rPr>
      </w:pPr>
      <w:r>
        <w:rPr>
          <w:szCs w:val="16"/>
        </w:rPr>
        <w:t>Source. ABS (201</w:t>
      </w:r>
      <w:r w:rsidR="00A77A99">
        <w:rPr>
          <w:szCs w:val="16"/>
        </w:rPr>
        <w:t>7</w:t>
      </w:r>
      <w:r>
        <w:rPr>
          <w:szCs w:val="16"/>
        </w:rPr>
        <w:t>), 5206.</w:t>
      </w:r>
      <w:r w:rsidR="00A77A99">
        <w:rPr>
          <w:szCs w:val="16"/>
        </w:rPr>
        <w:t>0</w:t>
      </w:r>
      <w:r w:rsidR="00DA4FBA">
        <w:rPr>
          <w:szCs w:val="16"/>
        </w:rPr>
        <w:t>—</w:t>
      </w:r>
      <w:r w:rsidR="00A77A99">
        <w:rPr>
          <w:szCs w:val="16"/>
        </w:rPr>
        <w:t>Australian National Accounts: National Income, Expenditure and Product, Mar 2017.</w:t>
      </w:r>
    </w:p>
    <w:p w:rsidR="000C30DA" w:rsidRPr="00BE7EFB" w:rsidRDefault="00A77A99" w:rsidP="000C30DA">
      <w:pPr>
        <w:pStyle w:val="NoteSource"/>
        <w:keepNext w:val="0"/>
        <w:spacing w:before="0" w:after="240"/>
        <w:rPr>
          <w:szCs w:val="16"/>
        </w:rPr>
      </w:pPr>
      <w:r>
        <w:rPr>
          <w:szCs w:val="16"/>
        </w:rPr>
        <w:t>Note:</w:t>
      </w:r>
      <w:r w:rsidR="000C30DA">
        <w:rPr>
          <w:szCs w:val="16"/>
        </w:rPr>
        <w:t xml:space="preserve"> Communications goods and services include </w:t>
      </w:r>
      <w:r w:rsidR="000C30DA" w:rsidRPr="00672177">
        <w:rPr>
          <w:szCs w:val="16"/>
        </w:rPr>
        <w:t>telecommunication equipment and services and postal services.</w:t>
      </w:r>
    </w:p>
    <w:p w:rsidR="000C30DA" w:rsidRDefault="000C30DA" w:rsidP="000C30DA">
      <w:r>
        <w:t>Consumers’ preferences for different types of communications services have also changed rapidly with the emergence of new technologies. Services once viewed as luxuries, for example mobile phones, are increasingly considered essential (</w:t>
      </w:r>
      <w:r w:rsidRPr="00363202">
        <w:fldChar w:fldCharType="begin"/>
      </w:r>
      <w:r w:rsidRPr="00363202">
        <w:instrText xml:space="preserve"> REF _Ref482351190 \h  \* MERGEFORMAT </w:instrText>
      </w:r>
      <w:r w:rsidRPr="00363202">
        <w:fldChar w:fldCharType="separate"/>
      </w:r>
      <w:r w:rsidR="00BE637B" w:rsidRPr="007E4674">
        <w:t xml:space="preserve">Figure </w:t>
      </w:r>
      <w:r w:rsidR="00BE637B">
        <w:rPr>
          <w:noProof/>
        </w:rPr>
        <w:t>4</w:t>
      </w:r>
      <w:r w:rsidRPr="00363202">
        <w:fldChar w:fldCharType="end"/>
      </w:r>
      <w:r>
        <w:t>).</w:t>
      </w:r>
    </w:p>
    <w:p w:rsidR="000C30DA" w:rsidRPr="007E4674" w:rsidRDefault="000C30DA" w:rsidP="00934C33">
      <w:pPr>
        <w:pStyle w:val="Tablefigureheading"/>
      </w:pPr>
      <w:bookmarkStart w:id="72" w:name="_Ref482351190"/>
      <w:bookmarkStart w:id="73" w:name="_Toc487206091"/>
      <w:r w:rsidRPr="007E4674">
        <w:lastRenderedPageBreak/>
        <w:t xml:space="preserve">Figure </w:t>
      </w:r>
      <w:fldSimple w:instr=" SEQ Figure \* ARABIC ">
        <w:r w:rsidR="00BE637B">
          <w:rPr>
            <w:noProof/>
          </w:rPr>
          <w:t>4</w:t>
        </w:r>
      </w:fldSimple>
      <w:bookmarkEnd w:id="72"/>
      <w:r w:rsidRPr="007E4674">
        <w:t>. Essential and non-essential communications services, 1970s to 2010s</w:t>
      </w:r>
      <w:bookmarkEnd w:id="73"/>
    </w:p>
    <w:p w:rsidR="000C30DA" w:rsidRPr="00F31A4A" w:rsidRDefault="000C30DA" w:rsidP="00C02E34">
      <w:pPr>
        <w:keepNext/>
      </w:pPr>
      <w:r w:rsidRPr="004E7A09">
        <w:rPr>
          <w:noProof/>
          <w:lang w:eastAsia="en-AU"/>
        </w:rPr>
        <w:drawing>
          <wp:inline distT="0" distB="0" distL="0" distR="0" wp14:anchorId="743ADC4E" wp14:editId="609726CC">
            <wp:extent cx="3780000" cy="2835000"/>
            <wp:effectExtent l="0" t="0" r="0" b="3810"/>
            <wp:docPr id="39" name="Picture 39" descr="This is a plot map. The y axis is a scale of essential to non-essential. The x axis shows time periods from the 1970s to the 2010s. Shows that some services once considered non-essential, such as mobile phones, are increasingly considered essential. Shows that some services once considered essential, such as fixed-line voice services, are becoming less essential." title="Figure 4. Essential and non-essential communications services, 1970s to 2010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jean\AppData\Local\Microsoft\Windows\INetCache\Content.Outlook\36CNBS2Y\essential services infographic.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780000" cy="2835000"/>
                    </a:xfrm>
                    <a:prstGeom prst="rect">
                      <a:avLst/>
                    </a:prstGeom>
                    <a:noFill/>
                    <a:ln>
                      <a:noFill/>
                    </a:ln>
                  </pic:spPr>
                </pic:pic>
              </a:graphicData>
            </a:graphic>
          </wp:inline>
        </w:drawing>
      </w:r>
    </w:p>
    <w:p w:rsidR="000C30DA" w:rsidRPr="002F5D66" w:rsidRDefault="000C30DA" w:rsidP="002F5D66">
      <w:pPr>
        <w:pStyle w:val="NoteSource"/>
        <w:keepNext w:val="0"/>
        <w:spacing w:before="0" w:after="240"/>
        <w:rPr>
          <w:szCs w:val="16"/>
        </w:rPr>
      </w:pPr>
      <w:r w:rsidRPr="002F5D66">
        <w:rPr>
          <w:szCs w:val="16"/>
        </w:rPr>
        <w:t>Source. BCAR (2017)</w:t>
      </w:r>
    </w:p>
    <w:p w:rsidR="000C30DA" w:rsidRDefault="000C30DA" w:rsidP="00C02E34">
      <w:pPr>
        <w:keepLines/>
      </w:pPr>
      <w:r>
        <w:t>As a consequence consumers are using</w:t>
      </w:r>
      <w:r w:rsidRPr="00E41BE0">
        <w:t xml:space="preserve"> more communicat</w:t>
      </w:r>
      <w:r>
        <w:t>ions services than ever before, with more than half</w:t>
      </w:r>
      <w:r w:rsidRPr="00E41BE0">
        <w:t xml:space="preserve"> </w:t>
      </w:r>
      <w:r>
        <w:t xml:space="preserve">of Australians </w:t>
      </w:r>
      <w:r w:rsidRPr="00E41BE0">
        <w:t xml:space="preserve">(58 per cent) </w:t>
      </w:r>
      <w:r>
        <w:t>using</w:t>
      </w:r>
      <w:r w:rsidRPr="00E41BE0">
        <w:t xml:space="preserve"> five or more different types of communications services in the six months to </w:t>
      </w:r>
      <w:r>
        <w:t>June</w:t>
      </w:r>
      <w:r w:rsidRPr="00E41BE0">
        <w:t xml:space="preserve"> 2016.</w:t>
      </w:r>
      <w:r w:rsidRPr="00E41BE0">
        <w:rPr>
          <w:vertAlign w:val="superscript"/>
        </w:rPr>
        <w:endnoteReference w:id="5"/>
      </w:r>
      <w:r>
        <w:t xml:space="preserve"> In particular, a home broadband connection and internet-enabled mobile service are now used by the majority of Australians. Australians’ access to internet-enabled mobile phones has grown rapidly, from 8 per cent in 2006 to 76 per cent in 2016 (</w:t>
      </w:r>
      <w:r>
        <w:fldChar w:fldCharType="begin"/>
      </w:r>
      <w:r>
        <w:instrText xml:space="preserve"> REF _Ref482603764 \h  \* MERGEFORMAT </w:instrText>
      </w:r>
      <w:r>
        <w:fldChar w:fldCharType="separate"/>
      </w:r>
      <w:r w:rsidR="00BE637B" w:rsidRPr="00F96B32">
        <w:t xml:space="preserve">Figure </w:t>
      </w:r>
      <w:r w:rsidR="00BE637B">
        <w:rPr>
          <w:noProof/>
        </w:rPr>
        <w:t>5</w:t>
      </w:r>
      <w:r>
        <w:fldChar w:fldCharType="end"/>
      </w:r>
      <w:r>
        <w:t xml:space="preserve">). </w:t>
      </w:r>
    </w:p>
    <w:p w:rsidR="000C30DA" w:rsidRDefault="000C30DA" w:rsidP="00934C33">
      <w:pPr>
        <w:pStyle w:val="Tablefigureheading"/>
      </w:pPr>
      <w:bookmarkStart w:id="74" w:name="_Ref482603764"/>
      <w:bookmarkStart w:id="75" w:name="_Toc487206092"/>
      <w:r w:rsidRPr="00F96B32">
        <w:lastRenderedPageBreak/>
        <w:t xml:space="preserve">Figure </w:t>
      </w:r>
      <w:fldSimple w:instr=" SEQ Figure \* ARABIC ">
        <w:r w:rsidR="00BE637B">
          <w:rPr>
            <w:noProof/>
          </w:rPr>
          <w:t>5</w:t>
        </w:r>
      </w:fldSimple>
      <w:bookmarkEnd w:id="74"/>
      <w:r w:rsidRPr="00F96B32">
        <w:t xml:space="preserve">. </w:t>
      </w:r>
      <w:r w:rsidR="000558B3">
        <w:t>Percentage of Australians</w:t>
      </w:r>
      <w:r w:rsidRPr="00843539">
        <w:t xml:space="preserve"> access</w:t>
      </w:r>
      <w:r w:rsidR="000558B3">
        <w:t>ing</w:t>
      </w:r>
      <w:r w:rsidRPr="00843539">
        <w:t xml:space="preserve"> communications technologies, 2006 to 2016</w:t>
      </w:r>
      <w:bookmarkEnd w:id="75"/>
    </w:p>
    <w:p w:rsidR="000C30DA" w:rsidRPr="00B02DBF" w:rsidRDefault="00284BF2" w:rsidP="000C30DA">
      <w:r>
        <w:rPr>
          <w:noProof/>
          <w:lang w:eastAsia="en-AU"/>
        </w:rPr>
        <w:drawing>
          <wp:inline distT="0" distB="0" distL="0" distR="0" wp14:anchorId="7D94B464" wp14:editId="39E748B8">
            <wp:extent cx="5736590" cy="3249295"/>
            <wp:effectExtent l="0" t="0" r="0" b="8255"/>
            <wp:docPr id="11" name="Picture 11" descr="This is a bar chart. The y axis shows percentage of Australians with access to communications technologies. The x axis shows categories of communications technologies. Shows that Australians' access to most communications technologies has grown since 2006, in particular access to internet-enabled mobile phones. However, access to fixed-line home phones has declined." title="Figure 5. Australians’ access to communications technologies, 2006 to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6590" cy="3249295"/>
                    </a:xfrm>
                    <a:prstGeom prst="rect">
                      <a:avLst/>
                    </a:prstGeom>
                    <a:noFill/>
                  </pic:spPr>
                </pic:pic>
              </a:graphicData>
            </a:graphic>
          </wp:inline>
        </w:drawing>
      </w:r>
    </w:p>
    <w:p w:rsidR="000C30DA" w:rsidRDefault="000C30DA" w:rsidP="00934C33">
      <w:pPr>
        <w:pStyle w:val="NoteSource"/>
      </w:pPr>
      <w:r>
        <w:t>Source.</w:t>
      </w:r>
      <w:r w:rsidRPr="005552B1">
        <w:t xml:space="preserve"> ACMA (2016), Comm</w:t>
      </w:r>
      <w:r>
        <w:t>unications report 2015–16; 2005–</w:t>
      </w:r>
      <w:r w:rsidRPr="005552B1">
        <w:t>0</w:t>
      </w:r>
      <w:r>
        <w:t>6</w:t>
      </w:r>
    </w:p>
    <w:p w:rsidR="000C30DA" w:rsidRPr="005552B1" w:rsidRDefault="000C30DA" w:rsidP="00934C33">
      <w:pPr>
        <w:pStyle w:val="NoteSource"/>
      </w:pPr>
      <w:r>
        <w:t>Notes. Access to home internet and broadband connections is reported at the household level (</w:t>
      </w:r>
      <w:r w:rsidR="000558B3">
        <w:t>percentage</w:t>
      </w:r>
      <w:r>
        <w:t xml:space="preserve"> of Australian households) in 2005–06 (shaded bars) and at the population level (</w:t>
      </w:r>
      <w:r w:rsidR="000558B3">
        <w:t>percentage</w:t>
      </w:r>
      <w:r>
        <w:t xml:space="preserve"> of Australians) in 2015–16</w:t>
      </w:r>
      <w:r w:rsidRPr="005552B1">
        <w:t>.</w:t>
      </w:r>
      <w:r>
        <w:t xml:space="preserve"> In 2005–06 the ACMA reported that around 90 per cent of Australians had a </w:t>
      </w:r>
      <w:r w:rsidDel="00D70AE8">
        <w:t>fixed</w:t>
      </w:r>
      <w:r>
        <w:t xml:space="preserve">-line home phone. In 2015–16 the </w:t>
      </w:r>
      <w:r w:rsidDel="00D70AE8">
        <w:t>fixed</w:t>
      </w:r>
      <w:r>
        <w:t>-line home phone category includes managed VoIP services.</w:t>
      </w:r>
    </w:p>
    <w:p w:rsidR="000C30DA" w:rsidRDefault="000C30DA" w:rsidP="000C30DA">
      <w:pPr>
        <w:rPr>
          <w:vertAlign w:val="superscript"/>
        </w:rPr>
      </w:pPr>
      <w:r>
        <w:t>Similarly, consumer demand for data in Australia has grown rapidly over the past four years (</w:t>
      </w:r>
      <w:r w:rsidRPr="00A06DBB">
        <w:rPr>
          <w:noProof/>
        </w:rPr>
        <w:fldChar w:fldCharType="begin"/>
      </w:r>
      <w:r w:rsidRPr="00C126CC">
        <w:instrText xml:space="preserve"> REF _Ref481757863 \h </w:instrText>
      </w:r>
      <w:r w:rsidRPr="00F96B32">
        <w:rPr>
          <w:noProof/>
        </w:rPr>
        <w:instrText xml:space="preserve"> \* MERGEFORMAT </w:instrText>
      </w:r>
      <w:r w:rsidRPr="00A06DBB">
        <w:rPr>
          <w:noProof/>
        </w:rPr>
      </w:r>
      <w:r w:rsidRPr="00A06DBB">
        <w:rPr>
          <w:noProof/>
        </w:rPr>
        <w:fldChar w:fldCharType="separate"/>
      </w:r>
      <w:r w:rsidR="00BE637B" w:rsidRPr="009056D0">
        <w:t xml:space="preserve">Figure </w:t>
      </w:r>
      <w:r w:rsidR="00BE637B">
        <w:rPr>
          <w:noProof/>
        </w:rPr>
        <w:t>6</w:t>
      </w:r>
      <w:r w:rsidRPr="00A06DBB">
        <w:rPr>
          <w:noProof/>
        </w:rPr>
        <w:fldChar w:fldCharType="end"/>
      </w:r>
      <w:r w:rsidRPr="00A212F5">
        <w:rPr>
          <w:noProof/>
        </w:rPr>
        <w:t>)</w:t>
      </w:r>
      <w:r>
        <w:t xml:space="preserve">. The </w:t>
      </w:r>
      <w:r w:rsidRPr="005F1105">
        <w:t xml:space="preserve">volume of </w:t>
      </w:r>
      <w:r>
        <w:t xml:space="preserve">broadband </w:t>
      </w:r>
      <w:r w:rsidRPr="005F1105">
        <w:t xml:space="preserve">data downloaded </w:t>
      </w:r>
      <w:r>
        <w:t xml:space="preserve">over the last quarter of </w:t>
      </w:r>
      <w:r w:rsidRPr="005F1105">
        <w:t>2016 exceeded 2.</w:t>
      </w:r>
      <w:r>
        <w:t>5</w:t>
      </w:r>
      <w:r w:rsidRPr="005F1105">
        <w:t xml:space="preserve"> million terabytes</w:t>
      </w:r>
      <w:r w:rsidR="000558B3">
        <w:t> </w:t>
      </w:r>
      <w:r>
        <w:t xml:space="preserve">(TB). This was </w:t>
      </w:r>
      <w:r w:rsidRPr="005F1105">
        <w:t>a 5</w:t>
      </w:r>
      <w:r>
        <w:t>1</w:t>
      </w:r>
      <w:r w:rsidRPr="005F1105">
        <w:t xml:space="preserve"> per cent </w:t>
      </w:r>
      <w:r>
        <w:t>higher than the 2015 December quarter, and 366</w:t>
      </w:r>
      <w:r w:rsidRPr="005F1105">
        <w:t xml:space="preserve"> per cent </w:t>
      </w:r>
      <w:r>
        <w:t>higher than for</w:t>
      </w:r>
      <w:r w:rsidRPr="005F1105">
        <w:t xml:space="preserve"> the same period in 201</w:t>
      </w:r>
      <w:r>
        <w:t>2</w:t>
      </w:r>
      <w:r w:rsidRPr="005F1105">
        <w:t>.</w:t>
      </w:r>
      <w:r w:rsidRPr="00663982">
        <w:rPr>
          <w:vertAlign w:val="superscript"/>
        </w:rPr>
        <w:endnoteReference w:id="6"/>
      </w:r>
      <w:r w:rsidRPr="00D7182D">
        <w:rPr>
          <w:vertAlign w:val="superscript"/>
        </w:rPr>
        <w:t xml:space="preserve"> </w:t>
      </w:r>
    </w:p>
    <w:p w:rsidR="000C30DA" w:rsidRDefault="000C30DA" w:rsidP="000C30DA">
      <w:pPr>
        <w:rPr>
          <w:noProof/>
        </w:rPr>
      </w:pPr>
      <w:r>
        <w:t xml:space="preserve">While demand for mobile handset data is much lower, it has grown at a much faster rate. Driven by the ubiquity of smart phones, </w:t>
      </w:r>
      <w:r w:rsidR="002B0381">
        <w:t>mobile handset data grew from 14</w:t>
      </w:r>
      <w:r>
        <w:t>,000TB to 146,000TB over the same four year period; an impressive tenfold increase</w:t>
      </w:r>
      <w:r>
        <w:rPr>
          <w:i/>
          <w:noProof/>
        </w:rPr>
        <w:t>.</w:t>
      </w:r>
    </w:p>
    <w:p w:rsidR="000C30DA" w:rsidRDefault="000C30DA" w:rsidP="00934C33">
      <w:pPr>
        <w:pStyle w:val="Tablefigureheading"/>
      </w:pPr>
      <w:bookmarkStart w:id="76" w:name="_Ref481757863"/>
      <w:bookmarkStart w:id="77" w:name="_Toc487206093"/>
      <w:r w:rsidRPr="009056D0">
        <w:lastRenderedPageBreak/>
        <w:t xml:space="preserve">Figure </w:t>
      </w:r>
      <w:fldSimple w:instr=" SEQ Figure \* ARABIC ">
        <w:r w:rsidR="00BE637B">
          <w:rPr>
            <w:noProof/>
          </w:rPr>
          <w:t>6</w:t>
        </w:r>
      </w:fldSimple>
      <w:bookmarkEnd w:id="76"/>
      <w:r w:rsidRPr="009056D0">
        <w:t xml:space="preserve">. Volume of data downloaded, Australia, </w:t>
      </w:r>
      <w:r>
        <w:t>December</w:t>
      </w:r>
      <w:r w:rsidRPr="009056D0">
        <w:t xml:space="preserve"> 2012</w:t>
      </w:r>
      <w:r>
        <w:t>–</w:t>
      </w:r>
      <w:r w:rsidRPr="009056D0">
        <w:t>16</w:t>
      </w:r>
      <w:bookmarkEnd w:id="77"/>
    </w:p>
    <w:p w:rsidR="000C30DA" w:rsidRPr="00B02DBF" w:rsidRDefault="003B2FBB" w:rsidP="00C02E34">
      <w:r>
        <w:rPr>
          <w:noProof/>
          <w:lang w:eastAsia="en-AU"/>
        </w:rPr>
        <w:drawing>
          <wp:inline distT="0" distB="0" distL="0" distR="0" wp14:anchorId="1442EE07" wp14:editId="171F408A">
            <wp:extent cx="5736590" cy="3225165"/>
            <wp:effectExtent l="0" t="0" r="0" b="0"/>
            <wp:docPr id="12" name="Picture 12" descr="This is a line chart. The y axis shows terabytes. The x axis shows time from December 2012 to December 2016. Shows that volume of data downloaded over broadband connections and mobile handsets has grown rapidly since December 2016. Shows that demand for broadband data is much higher than demand for mobile handset data." title="Figure 6. Volume of data downloaded, Australia, December 201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6590" cy="3225165"/>
                    </a:xfrm>
                    <a:prstGeom prst="rect">
                      <a:avLst/>
                    </a:prstGeom>
                    <a:noFill/>
                  </pic:spPr>
                </pic:pic>
              </a:graphicData>
            </a:graphic>
          </wp:inline>
        </w:drawing>
      </w:r>
    </w:p>
    <w:p w:rsidR="000C30DA" w:rsidRPr="00C02E34" w:rsidRDefault="000C30DA" w:rsidP="00C02E34">
      <w:pPr>
        <w:pStyle w:val="NoteSource"/>
      </w:pPr>
      <w:r w:rsidRPr="00C02E34">
        <w:t>Source. ABS (201</w:t>
      </w:r>
      <w:r w:rsidR="00206369" w:rsidRPr="00C02E34">
        <w:t>7</w:t>
      </w:r>
      <w:r w:rsidRPr="00C02E34">
        <w:t>), 8153.0</w:t>
      </w:r>
      <w:r w:rsidR="00DA4FBA">
        <w:t>—</w:t>
      </w:r>
      <w:r w:rsidRPr="00C02E34">
        <w:t>In</w:t>
      </w:r>
      <w:r w:rsidR="00C02E34" w:rsidRPr="00C02E34">
        <w:t>ternet Activity, December 2016.</w:t>
      </w:r>
    </w:p>
    <w:p w:rsidR="000C30DA" w:rsidRPr="00C02E34" w:rsidRDefault="000C30DA" w:rsidP="00C02E34">
      <w:pPr>
        <w:pStyle w:val="NoteSource"/>
      </w:pPr>
      <w:r w:rsidRPr="00C02E34">
        <w:t>Notes. Data downloaded is reported for the three month period prior to the reference date.</w:t>
      </w:r>
    </w:p>
    <w:p w:rsidR="000C30DA" w:rsidRDefault="000C30DA" w:rsidP="00C02E34">
      <w:bookmarkStart w:id="78" w:name="_Toc482343408"/>
      <w:r>
        <w:t>This means the</w:t>
      </w:r>
      <w:r w:rsidRPr="00253A8A">
        <w:t xml:space="preserve"> average mobile handset customer </w:t>
      </w:r>
      <w:r>
        <w:t>downloads</w:t>
      </w:r>
      <w:r w:rsidRPr="00253A8A">
        <w:t xml:space="preserve"> 1.9GB per month, compared with 2.9GB downloaded on dedicated wireless (fixed, mobile and satellite) connections and 117GB on </w:t>
      </w:r>
      <w:r w:rsidRPr="00253A8A" w:rsidDel="00D70AE8">
        <w:t>fixed</w:t>
      </w:r>
      <w:r>
        <w:t>-line</w:t>
      </w:r>
      <w:r w:rsidRPr="00253A8A">
        <w:t xml:space="preserve"> broadband connections.</w:t>
      </w:r>
      <w:r w:rsidRPr="00753B8F">
        <w:rPr>
          <w:vertAlign w:val="superscript"/>
        </w:rPr>
        <w:endnoteReference w:id="7"/>
      </w:r>
      <w:r w:rsidRPr="00253A8A">
        <w:t xml:space="preserve"> </w:t>
      </w:r>
      <w:r>
        <w:t>This has shown rapid growth compared in four years—</w:t>
      </w:r>
      <w:r w:rsidRPr="00253A8A">
        <w:t>in December 2012, these figures were 0.2GB, 1.5GB and 30.6GB respectively.</w:t>
      </w:r>
      <w:bookmarkEnd w:id="78"/>
    </w:p>
    <w:p w:rsidR="000C30DA" w:rsidRPr="00253A8A" w:rsidRDefault="000C30DA" w:rsidP="000C30DA">
      <w:pPr>
        <w:pStyle w:val="Heading3"/>
      </w:pPr>
      <w:bookmarkStart w:id="79" w:name="_Toc482281082"/>
      <w:bookmarkStart w:id="80" w:name="_Toc482283308"/>
      <w:bookmarkStart w:id="81" w:name="_Toc482284172"/>
      <w:bookmarkStart w:id="82" w:name="_Toc482284613"/>
      <w:bookmarkStart w:id="83" w:name="_Toc482343409"/>
      <w:bookmarkStart w:id="84" w:name="_Toc482363845"/>
      <w:bookmarkStart w:id="85" w:name="_Toc482617444"/>
      <w:bookmarkStart w:id="86" w:name="_Toc482624083"/>
      <w:bookmarkStart w:id="87" w:name="_Toc482956631"/>
      <w:bookmarkStart w:id="88" w:name="_Toc486867506"/>
      <w:bookmarkStart w:id="89" w:name="_Toc487206048"/>
      <w:r w:rsidRPr="00253A8A">
        <w:t xml:space="preserve">Households </w:t>
      </w:r>
      <w:r>
        <w:t>are getting better value</w:t>
      </w:r>
      <w:r w:rsidRPr="00253A8A">
        <w:t xml:space="preserve"> </w:t>
      </w:r>
      <w:bookmarkEnd w:id="79"/>
      <w:bookmarkEnd w:id="80"/>
      <w:bookmarkEnd w:id="81"/>
      <w:bookmarkEnd w:id="82"/>
      <w:bookmarkEnd w:id="83"/>
      <w:bookmarkEnd w:id="84"/>
      <w:r>
        <w:t>from lower prices and more data</w:t>
      </w:r>
      <w:bookmarkEnd w:id="85"/>
      <w:bookmarkEnd w:id="86"/>
      <w:bookmarkEnd w:id="87"/>
      <w:bookmarkEnd w:id="88"/>
      <w:bookmarkEnd w:id="89"/>
    </w:p>
    <w:p w:rsidR="000C30DA" w:rsidRDefault="000C30DA" w:rsidP="000C30DA">
      <w:r>
        <w:t xml:space="preserve">Real prices for mobile, internet and residential </w:t>
      </w:r>
      <w:r w:rsidDel="00D70AE8">
        <w:t>fixed</w:t>
      </w:r>
      <w:r>
        <w:t>-line voice services have fallen consistently over the past decade, most significantly for fixed-line voice services (</w:t>
      </w:r>
      <w:r>
        <w:fldChar w:fldCharType="begin"/>
      </w:r>
      <w:r>
        <w:instrText xml:space="preserve"> REF _Ref482603902 \h  \* MERGEFORMAT </w:instrText>
      </w:r>
      <w:r>
        <w:fldChar w:fldCharType="separate"/>
      </w:r>
      <w:r w:rsidR="00BE637B" w:rsidRPr="00D7182D">
        <w:t xml:space="preserve">Figure </w:t>
      </w:r>
      <w:r w:rsidR="00BE637B">
        <w:rPr>
          <w:noProof/>
        </w:rPr>
        <w:t>7</w:t>
      </w:r>
      <w:r>
        <w:fldChar w:fldCharType="end"/>
      </w:r>
      <w:r>
        <w:t>). For internet and mobile services, real prices have fallen since 2012–13, while nominal prices (that is, not adjusted for inflation) have largely remained stable.</w:t>
      </w:r>
    </w:p>
    <w:p w:rsidR="000C30DA" w:rsidRDefault="000C30DA" w:rsidP="00934C33">
      <w:pPr>
        <w:pStyle w:val="Tablefigureheading"/>
      </w:pPr>
      <w:bookmarkStart w:id="90" w:name="_Ref482603902"/>
      <w:bookmarkStart w:id="91" w:name="_Toc487206094"/>
      <w:r w:rsidRPr="00D7182D">
        <w:lastRenderedPageBreak/>
        <w:t xml:space="preserve">Figure </w:t>
      </w:r>
      <w:fldSimple w:instr=" SEQ Figure \* ARABIC ">
        <w:r w:rsidR="00BE637B">
          <w:rPr>
            <w:noProof/>
          </w:rPr>
          <w:t>7</w:t>
        </w:r>
      </w:fldSimple>
      <w:bookmarkEnd w:id="90"/>
      <w:r w:rsidRPr="00D7182D">
        <w:t>. Telecommunications services price indices</w:t>
      </w:r>
      <w:bookmarkEnd w:id="91"/>
    </w:p>
    <w:p w:rsidR="000C30DA" w:rsidRPr="00B02DBF" w:rsidRDefault="00FC508B" w:rsidP="000C30DA">
      <w:r>
        <w:rPr>
          <w:noProof/>
          <w:lang w:eastAsia="en-AU"/>
        </w:rPr>
        <w:drawing>
          <wp:inline distT="0" distB="0" distL="0" distR="0" wp14:anchorId="4CFAB697" wp14:editId="287E5F42">
            <wp:extent cx="5736590" cy="3225165"/>
            <wp:effectExtent l="0" t="0" r="0" b="0"/>
            <wp:docPr id="4" name="Picture 4" descr="This is a line chart. The y axis shows the index with 2006-07 = 100. The x axis shows time from 2006-07 to 2015-16. Shows that real prices for mobile, internet and residential fixed-line voice services have fallen consistently over the past decade, most significantly for fixed-line voice services." title="Figure 7. Telecommunications services price ind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6590" cy="3225165"/>
                    </a:xfrm>
                    <a:prstGeom prst="rect">
                      <a:avLst/>
                    </a:prstGeom>
                    <a:noFill/>
                  </pic:spPr>
                </pic:pic>
              </a:graphicData>
            </a:graphic>
          </wp:inline>
        </w:drawing>
      </w:r>
    </w:p>
    <w:p w:rsidR="000C30DA" w:rsidRDefault="000C30DA" w:rsidP="00934C33">
      <w:pPr>
        <w:pStyle w:val="NoteSource"/>
      </w:pPr>
      <w:r>
        <w:t xml:space="preserve">Source. </w:t>
      </w:r>
      <w:r w:rsidRPr="00A82B1E">
        <w:t>ACCC (2017), Competition in the Australian telecommunications sector: Price changes for telecommunications services in Australia,</w:t>
      </w:r>
      <w:r>
        <w:t xml:space="preserve"> p. 108, 110.</w:t>
      </w:r>
    </w:p>
    <w:p w:rsidR="000C30DA" w:rsidRPr="004B650F" w:rsidRDefault="000C30DA" w:rsidP="00934C33">
      <w:pPr>
        <w:pStyle w:val="NoteSource"/>
      </w:pPr>
      <w:r>
        <w:t xml:space="preserve">Notes. </w:t>
      </w:r>
      <w:r w:rsidRPr="004B650F">
        <w:t>These indices capture movements in the cost of plans and are adjusted by the ACCC for inflation using the Consumer Price Index. They do not directly account for changes in product inclusions such as data allowances for mobile and internet services.</w:t>
      </w:r>
      <w:r w:rsidRPr="00F96B32">
        <w:rPr>
          <w:vertAlign w:val="superscript"/>
        </w:rPr>
        <w:endnoteReference w:id="8"/>
      </w:r>
      <w:r>
        <w:t xml:space="preserve"> Fixed-line services do not include residential VOIP.</w:t>
      </w:r>
    </w:p>
    <w:p w:rsidR="000C30DA" w:rsidRDefault="000C30DA" w:rsidP="000C30DA">
      <w:r>
        <w:t xml:space="preserve">Since 2012–13, product inclusions have also increased significantly. For example: </w:t>
      </w:r>
    </w:p>
    <w:p w:rsidR="000C30DA" w:rsidRPr="00A6635F" w:rsidRDefault="000C30DA" w:rsidP="00870DD3">
      <w:pPr>
        <w:pStyle w:val="Bulletlevel1"/>
      </w:pPr>
      <w:r w:rsidRPr="00A6635F">
        <w:t>ADSL data quotas grew by 32 per cent during 2015–16 following a 73 per cent increase in 2014–15 and a 47 per cent increase in 2013–14.</w:t>
      </w:r>
      <w:r w:rsidRPr="00A6635F">
        <w:rPr>
          <w:rStyle w:val="EndnoteReference"/>
        </w:rPr>
        <w:endnoteReference w:id="9"/>
      </w:r>
      <w:r>
        <w:t>.</w:t>
      </w:r>
    </w:p>
    <w:p w:rsidR="000C30DA" w:rsidRPr="00A6635F" w:rsidRDefault="000C30DA" w:rsidP="00870DD3">
      <w:pPr>
        <w:pStyle w:val="Bulletlevel1"/>
      </w:pPr>
      <w:r w:rsidRPr="00A6635F">
        <w:t>Data quotas for post-paid mobile services increased by an average of 30 per cent during 2015–16, following significant increases of 119 per cent in 2014–15 and 78 per cent in 2013–14.</w:t>
      </w:r>
      <w:r w:rsidRPr="00A6635F">
        <w:rPr>
          <w:rStyle w:val="EndnoteReference"/>
        </w:rPr>
        <w:endnoteReference w:id="10"/>
      </w:r>
      <w:r>
        <w:t>.</w:t>
      </w:r>
    </w:p>
    <w:p w:rsidR="000C30DA" w:rsidRPr="00A6635F" w:rsidRDefault="000C30DA" w:rsidP="00870DD3">
      <w:pPr>
        <w:pStyle w:val="Bulletlevel1"/>
      </w:pPr>
      <w:r w:rsidRPr="00A6635F">
        <w:t>A number of internet and mobile service providers have also started bundling content and entertainment offers into their plans at a discounted rate or for free where access to specific content services is not included against data quotas.</w:t>
      </w:r>
    </w:p>
    <w:p w:rsidR="000C30DA" w:rsidRDefault="000C30DA" w:rsidP="000C30DA">
      <w:r w:rsidDel="00886498">
        <w:t xml:space="preserve">Once these inclusions are taken into account, </w:t>
      </w:r>
      <w:r>
        <w:t>consumers are getting significantly greater value from their communication services</w:t>
      </w:r>
      <w:r w:rsidDel="00886498">
        <w:t>.</w:t>
      </w:r>
    </w:p>
    <w:p w:rsidR="000C30DA" w:rsidRDefault="000C30DA" w:rsidP="000C30DA">
      <w:pPr>
        <w:pStyle w:val="Heading2"/>
      </w:pPr>
      <w:bookmarkStart w:id="92" w:name="_Toc482617445"/>
      <w:bookmarkStart w:id="93" w:name="_Toc482283309"/>
      <w:bookmarkStart w:id="94" w:name="_Toc482284173"/>
      <w:bookmarkStart w:id="95" w:name="_Toc482284614"/>
      <w:bookmarkStart w:id="96" w:name="_Toc482343410"/>
      <w:bookmarkStart w:id="97" w:name="_Toc482363846"/>
      <w:bookmarkStart w:id="98" w:name="_Toc482624084"/>
      <w:bookmarkStart w:id="99" w:name="_Toc482956632"/>
      <w:bookmarkStart w:id="100" w:name="_Toc486867507"/>
      <w:bookmarkStart w:id="101" w:name="_Toc487206049"/>
      <w:r>
        <w:lastRenderedPageBreak/>
        <w:t>Affordability of home broadband</w:t>
      </w:r>
      <w:bookmarkEnd w:id="92"/>
      <w:bookmarkEnd w:id="93"/>
      <w:bookmarkEnd w:id="94"/>
      <w:bookmarkEnd w:id="95"/>
      <w:bookmarkEnd w:id="96"/>
      <w:bookmarkEnd w:id="97"/>
      <w:bookmarkEnd w:id="98"/>
      <w:bookmarkEnd w:id="99"/>
      <w:bookmarkEnd w:id="100"/>
      <w:bookmarkEnd w:id="101"/>
    </w:p>
    <w:p w:rsidR="000C30DA" w:rsidRPr="00B159EB" w:rsidRDefault="000C30DA" w:rsidP="000C30DA">
      <w:pPr>
        <w:pStyle w:val="Heading3"/>
      </w:pPr>
      <w:bookmarkStart w:id="102" w:name="_Toc482343411"/>
      <w:bookmarkStart w:id="103" w:name="_Toc482363847"/>
      <w:bookmarkStart w:id="104" w:name="_Toc482617446"/>
      <w:bookmarkStart w:id="105" w:name="_Toc482624085"/>
      <w:bookmarkStart w:id="106" w:name="_Toc486867508"/>
      <w:bookmarkStart w:id="107" w:name="_Toc487206050"/>
      <w:bookmarkStart w:id="108" w:name="_Toc482281083"/>
      <w:bookmarkStart w:id="109" w:name="_Toc482283310"/>
      <w:bookmarkStart w:id="110" w:name="_Toc482284174"/>
      <w:bookmarkStart w:id="111" w:name="_Toc482284615"/>
      <w:bookmarkStart w:id="112" w:name="_Toc482956633"/>
      <w:r>
        <w:t>Regional ADSL customers will benefit from the NBN</w:t>
      </w:r>
      <w:bookmarkEnd w:id="102"/>
      <w:bookmarkEnd w:id="103"/>
      <w:bookmarkEnd w:id="104"/>
      <w:bookmarkEnd w:id="105"/>
      <w:bookmarkEnd w:id="106"/>
      <w:bookmarkEnd w:id="107"/>
      <w:r>
        <w:t xml:space="preserve"> </w:t>
      </w:r>
      <w:bookmarkEnd w:id="108"/>
      <w:bookmarkEnd w:id="109"/>
      <w:bookmarkEnd w:id="110"/>
      <w:bookmarkEnd w:id="111"/>
      <w:bookmarkEnd w:id="112"/>
    </w:p>
    <w:p w:rsidR="000C30DA" w:rsidRDefault="000C30DA" w:rsidP="000C30DA">
      <w:r>
        <w:t>The NBN rollout is increasing the range of products available and providing more affordable alternatives for some consumers, particularly in regional areas.</w:t>
      </w:r>
    </w:p>
    <w:p w:rsidR="000C30DA" w:rsidRDefault="000C30DA" w:rsidP="000C30DA">
      <w:r>
        <w:t>Based on currently advertised prices, regional ADSL customers switching to fixed-line and fixed wireless NBN will be able to access a similar level of service at lower prices and have access to a wider choice of plans. The BCAR compared fixed NBN plans (both fixed-line and fixed wireless NBN</w:t>
      </w:r>
      <w:r>
        <w:rPr>
          <w:rStyle w:val="EndnoteReference"/>
        </w:rPr>
        <w:endnoteReference w:id="11"/>
      </w:r>
      <w:r>
        <w:t>), as well as ADSL retail bundled plans, covering the advertised prices of select retail service providers representing approximately 90 per cent of the fixed broadband market.</w:t>
      </w:r>
      <w:r>
        <w:rPr>
          <w:rStyle w:val="EndnoteReference"/>
        </w:rPr>
        <w:endnoteReference w:id="12"/>
      </w:r>
    </w:p>
    <w:p w:rsidR="000C30DA" w:rsidRDefault="000C30DA" w:rsidP="000C30DA">
      <w:r w:rsidRPr="002F1B4B">
        <w:fldChar w:fldCharType="begin"/>
      </w:r>
      <w:r w:rsidRPr="00C126CC">
        <w:instrText xml:space="preserve"> REF _Ref481767011 \h </w:instrText>
      </w:r>
      <w:r w:rsidRPr="00F96B32">
        <w:instrText xml:space="preserve"> \* MERGEFORMAT </w:instrText>
      </w:r>
      <w:r w:rsidRPr="002F1B4B">
        <w:fldChar w:fldCharType="separate"/>
      </w:r>
      <w:r w:rsidR="00BE637B" w:rsidRPr="00D7182D">
        <w:t xml:space="preserve">Figure </w:t>
      </w:r>
      <w:r w:rsidR="00BE637B">
        <w:rPr>
          <w:noProof/>
        </w:rPr>
        <w:t>8</w:t>
      </w:r>
      <w:r w:rsidRPr="002F1B4B">
        <w:fldChar w:fldCharType="end"/>
      </w:r>
      <w:r>
        <w:t xml:space="preserve"> shows that bundled plans offered by service providers over Telstra’s wholesale ADSL network (off-net) are at higher price points than those offered by service providers on their own infrastructure (on</w:t>
      </w:r>
      <w:r>
        <w:noBreakHyphen/>
        <w:t>net) and fixed NBN plans.</w:t>
      </w:r>
      <w:r>
        <w:rPr>
          <w:rStyle w:val="EndnoteReference"/>
        </w:rPr>
        <w:endnoteReference w:id="13"/>
      </w:r>
      <w:r>
        <w:t xml:space="preserve"> In general, on-net plans are more widely available in metropolitan areas, while off-net plans are mostly available in regional areas (see Box 1).</w:t>
      </w:r>
    </w:p>
    <w:p w:rsidR="000C30DA" w:rsidRPr="00D7182D" w:rsidRDefault="000C30DA" w:rsidP="00934C33">
      <w:pPr>
        <w:pStyle w:val="Tablefigureheading"/>
      </w:pPr>
      <w:bookmarkStart w:id="113" w:name="_Ref481767011"/>
      <w:bookmarkStart w:id="114" w:name="_Ref481767002"/>
      <w:bookmarkStart w:id="115" w:name="_Toc487206095"/>
      <w:r w:rsidRPr="00D7182D">
        <w:lastRenderedPageBreak/>
        <w:t xml:space="preserve">Figure </w:t>
      </w:r>
      <w:fldSimple w:instr=" SEQ Figure \* ARABIC ">
        <w:r w:rsidR="00BE637B">
          <w:rPr>
            <w:noProof/>
          </w:rPr>
          <w:t>8</w:t>
        </w:r>
      </w:fldSimple>
      <w:bookmarkEnd w:id="113"/>
      <w:r w:rsidRPr="00D7182D">
        <w:t>. Number of fixed broadband bundle plans at price points (selected providers) by technology</w:t>
      </w:r>
      <w:r>
        <w:t>,</w:t>
      </w:r>
      <w:r w:rsidRPr="00D7182D">
        <w:t xml:space="preserve"> </w:t>
      </w:r>
      <w:r>
        <w:t>May</w:t>
      </w:r>
      <w:r w:rsidRPr="00D7182D">
        <w:t xml:space="preserve"> 2017</w:t>
      </w:r>
      <w:bookmarkEnd w:id="114"/>
      <w:bookmarkEnd w:id="115"/>
    </w:p>
    <w:p w:rsidR="000C30DA" w:rsidRDefault="008B0DF5" w:rsidP="000C30DA">
      <w:r w:rsidRPr="008B0DF5">
        <w:rPr>
          <w:noProof/>
          <w:lang w:eastAsia="en-AU"/>
        </w:rPr>
        <w:drawing>
          <wp:inline distT="0" distB="0" distL="0" distR="0" wp14:anchorId="194E2499" wp14:editId="4595359A">
            <wp:extent cx="5756910" cy="4323080"/>
            <wp:effectExtent l="0" t="0" r="0" b="1270"/>
            <wp:docPr id="13" name="Picture 13" descr="This is three individual bar charts. There is one bar chart for fixed NBN (12Mbps), off-net ADSL and on-net ADSL, respectively. The y axes show count of advertised fixed broadband bundle plans. The x axes show price per month. Shows that bundled plans offered by service providers over Telstra’s wholesale ADSL network (off-net) are at higher price points than those offered by service providers on their own infrastructure (on net) and fixed NBN plans." title="Figure 8. Number of fixed broadband bundle plans at price points (selected providers) by technology, May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pt.gov.au\DFS\Home\OMcCarthy\Desktop\Affordability_wave15\Final documents\Final Final\Final charts\Charts New2\PDFs\Figure 8.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56910" cy="4323080"/>
                    </a:xfrm>
                    <a:prstGeom prst="rect">
                      <a:avLst/>
                    </a:prstGeom>
                    <a:noFill/>
                    <a:ln>
                      <a:noFill/>
                    </a:ln>
                  </pic:spPr>
                </pic:pic>
              </a:graphicData>
            </a:graphic>
          </wp:inline>
        </w:drawing>
      </w:r>
    </w:p>
    <w:p w:rsidR="000C30DA" w:rsidRPr="00B268F7" w:rsidRDefault="000C30DA" w:rsidP="00934C33">
      <w:pPr>
        <w:pStyle w:val="NoteSource"/>
      </w:pPr>
      <w:r>
        <w:t xml:space="preserve">Source. BCAR </w:t>
      </w:r>
      <w:r w:rsidRPr="00B268F7">
        <w:t>survey of advertised ADSL and NBN bundle plans offered by Telstra, Optus, iiNet, Internode, iPrimus</w:t>
      </w:r>
      <w:r>
        <w:t>, Belong, TPG</w:t>
      </w:r>
      <w:r w:rsidRPr="00B268F7">
        <w:t xml:space="preserve"> and Dodo. </w:t>
      </w:r>
    </w:p>
    <w:p w:rsidR="000C30DA" w:rsidRDefault="000C30DA" w:rsidP="00934C33">
      <w:pPr>
        <w:pStyle w:val="NoteSource"/>
      </w:pPr>
      <w:r>
        <w:t xml:space="preserve">Notes. Includes plans advertised on provider websites as at 17 and 18 May 2017. Includes ADSL2+/fixed NBN broadband connections and bundles. Where an active phone line is required, $25.95 (price of Telstra Home Phone Basic) is added to the monthly price of the plan. Where contract length or bundled hardware affect the monthly connection fee, the option with the cheapest monthly fee is selected. Off-net plans identified using known Telstra-only addresses and details from Critical Information Summaries. It is unknown if providers vary pricing regionally (outside of technology type). </w:t>
      </w:r>
    </w:p>
    <w:p w:rsidR="000C30DA" w:rsidRDefault="000C30DA" w:rsidP="000C30DA">
      <w:pPr>
        <w:pStyle w:val="Heading3"/>
      </w:pPr>
      <w:bookmarkStart w:id="116" w:name="_Toc482617447"/>
      <w:bookmarkStart w:id="117" w:name="_Toc482624086"/>
      <w:bookmarkStart w:id="118" w:name="_Toc482956634"/>
      <w:r>
        <w:br w:type="page"/>
      </w:r>
    </w:p>
    <w:p w:rsidR="000C30DA" w:rsidRPr="008261D4" w:rsidRDefault="000C30DA" w:rsidP="000C30DA">
      <w:pPr>
        <w:pStyle w:val="Heading4"/>
      </w:pPr>
      <w:bookmarkStart w:id="119" w:name="_Toc487206051"/>
      <w:r>
        <w:lastRenderedPageBreak/>
        <w:t>Box 1. On-net and off-net ADSL services</w:t>
      </w:r>
      <w:bookmarkEnd w:id="116"/>
      <w:bookmarkEnd w:id="117"/>
      <w:bookmarkEnd w:id="118"/>
      <w:bookmarkEnd w:id="119"/>
    </w:p>
    <w:p w:rsidR="000C30DA" w:rsidRDefault="000C30DA" w:rsidP="00D26FB6">
      <w:pPr>
        <w:pBdr>
          <w:top w:val="single" w:sz="4" w:space="1" w:color="auto"/>
          <w:left w:val="single" w:sz="4" w:space="1" w:color="auto"/>
          <w:bottom w:val="single" w:sz="4" w:space="1" w:color="auto"/>
          <w:right w:val="single" w:sz="4" w:space="1" w:color="auto"/>
        </w:pBdr>
        <w:shd w:val="clear" w:color="auto" w:fill="E4E4E4"/>
        <w:rPr>
          <w:sz w:val="20"/>
          <w:szCs w:val="20"/>
        </w:rPr>
      </w:pPr>
      <w:r>
        <w:rPr>
          <w:sz w:val="20"/>
          <w:szCs w:val="20"/>
        </w:rPr>
        <w:t xml:space="preserve">ADSL connections require specialised networking equipment installed at the exchange. Internet service providers (ISPs) can purchase and install this equipment (an ‘on-net’ connection) or purchase wholesale ADSL connections from Telstra (an ‘off-net’ connection). On-net connections are common at larger exchanges, typically in metropolitan areas or regional centres. Elsewhere, most connections are off-net. </w:t>
      </w:r>
      <w:r>
        <w:rPr>
          <w:sz w:val="20"/>
          <w:szCs w:val="20"/>
        </w:rPr>
        <w:fldChar w:fldCharType="begin"/>
      </w:r>
      <w:r>
        <w:rPr>
          <w:sz w:val="20"/>
          <w:szCs w:val="20"/>
        </w:rPr>
        <w:instrText xml:space="preserve"> REF _Ref482273554 \h  \* MERGEFORMAT </w:instrText>
      </w:r>
      <w:r>
        <w:rPr>
          <w:sz w:val="20"/>
          <w:szCs w:val="20"/>
        </w:rPr>
      </w:r>
      <w:r>
        <w:rPr>
          <w:sz w:val="20"/>
          <w:szCs w:val="20"/>
        </w:rPr>
        <w:fldChar w:fldCharType="separate"/>
      </w:r>
      <w:r w:rsidR="00BE637B" w:rsidRPr="00BE637B">
        <w:rPr>
          <w:sz w:val="20"/>
          <w:szCs w:val="20"/>
        </w:rPr>
        <w:t>Figure 9</w:t>
      </w:r>
      <w:r>
        <w:rPr>
          <w:sz w:val="20"/>
          <w:szCs w:val="20"/>
        </w:rPr>
        <w:fldChar w:fldCharType="end"/>
      </w:r>
      <w:r>
        <w:rPr>
          <w:sz w:val="20"/>
          <w:szCs w:val="20"/>
        </w:rPr>
        <w:t xml:space="preserve"> shows that the vast majority of ADSL connections in exchanges located primarily in regional areas (Bands 3 and 4)</w:t>
      </w:r>
      <w:r w:rsidR="00DA4FBA">
        <w:rPr>
          <w:sz w:val="20"/>
          <w:szCs w:val="20"/>
        </w:rPr>
        <w:t>—</w:t>
      </w:r>
      <w:r>
        <w:rPr>
          <w:sz w:val="20"/>
          <w:szCs w:val="20"/>
        </w:rPr>
        <w:t xml:space="preserve">are provided using Telstra’s equipment, either by Telstra or off-net. In exchanges located primarily in metropolitan areas (in Bands 1 and 2), just over half of ADSL connections are provided using non-Telstra infrastructure (on-net). </w:t>
      </w:r>
    </w:p>
    <w:p w:rsidR="000C30DA" w:rsidRDefault="000C30DA" w:rsidP="00D26FB6">
      <w:pPr>
        <w:pBdr>
          <w:top w:val="single" w:sz="4" w:space="1" w:color="auto"/>
          <w:left w:val="single" w:sz="4" w:space="1" w:color="auto"/>
          <w:bottom w:val="single" w:sz="4" w:space="1" w:color="auto"/>
          <w:right w:val="single" w:sz="4" w:space="1" w:color="auto"/>
        </w:pBdr>
        <w:shd w:val="clear" w:color="auto" w:fill="E4E4E4"/>
        <w:rPr>
          <w:sz w:val="20"/>
          <w:szCs w:val="20"/>
        </w:rPr>
      </w:pPr>
      <w:r>
        <w:rPr>
          <w:sz w:val="20"/>
          <w:szCs w:val="20"/>
        </w:rPr>
        <w:t>ISPs offer different ADSL products to on-net and off-net customers. As a result, there are significant regional differences in the cost of ADSL.</w:t>
      </w:r>
    </w:p>
    <w:p w:rsidR="000C30DA" w:rsidRDefault="000C30DA" w:rsidP="00D26FB6">
      <w:pPr>
        <w:pStyle w:val="Tablefigureheading"/>
        <w:pBdr>
          <w:top w:val="single" w:sz="4" w:space="1" w:color="auto"/>
          <w:left w:val="single" w:sz="4" w:space="1" w:color="auto"/>
          <w:bottom w:val="single" w:sz="4" w:space="1" w:color="auto"/>
          <w:right w:val="single" w:sz="4" w:space="1" w:color="auto"/>
        </w:pBdr>
        <w:shd w:val="clear" w:color="auto" w:fill="E4E4E4"/>
      </w:pPr>
      <w:bookmarkStart w:id="120" w:name="_Ref482273554"/>
      <w:bookmarkStart w:id="121" w:name="_Toc487206096"/>
      <w:r w:rsidRPr="00D7182D">
        <w:t xml:space="preserve">Figure </w:t>
      </w:r>
      <w:fldSimple w:instr=" SEQ Figure \* ARABIC ">
        <w:r w:rsidR="00BE637B">
          <w:rPr>
            <w:noProof/>
          </w:rPr>
          <w:t>9</w:t>
        </w:r>
      </w:fldSimple>
      <w:bookmarkEnd w:id="120"/>
      <w:r>
        <w:t xml:space="preserve">. </w:t>
      </w:r>
      <w:r w:rsidRPr="00D7182D">
        <w:t>ADSL connections by equipment</w:t>
      </w:r>
      <w:r>
        <w:t xml:space="preserve">, </w:t>
      </w:r>
      <w:r w:rsidRPr="00D7182D">
        <w:t>2016</w:t>
      </w:r>
      <w:bookmarkEnd w:id="121"/>
    </w:p>
    <w:p w:rsidR="000C30DA" w:rsidRPr="00DA4FBA" w:rsidRDefault="00785F6D" w:rsidP="00D26FB6">
      <w:pPr>
        <w:pBdr>
          <w:top w:val="single" w:sz="4" w:space="1" w:color="auto"/>
          <w:left w:val="single" w:sz="4" w:space="1" w:color="auto"/>
          <w:bottom w:val="single" w:sz="4" w:space="1" w:color="auto"/>
          <w:right w:val="single" w:sz="4" w:space="1" w:color="auto"/>
        </w:pBdr>
        <w:shd w:val="clear" w:color="auto" w:fill="E4E4E4"/>
        <w:rPr>
          <w:b/>
          <w:sz w:val="18"/>
          <w:szCs w:val="18"/>
        </w:rPr>
      </w:pPr>
      <w:r>
        <w:rPr>
          <w:b/>
          <w:noProof/>
          <w:color w:val="5B9BD5" w:themeColor="accent1"/>
          <w:sz w:val="18"/>
          <w:szCs w:val="18"/>
          <w:lang w:eastAsia="en-AU"/>
        </w:rPr>
        <w:drawing>
          <wp:inline distT="0" distB="0" distL="0" distR="0" wp14:anchorId="2A7BF796" wp14:editId="5F3F004C">
            <wp:extent cx="5736590" cy="3127375"/>
            <wp:effectExtent l="0" t="0" r="0" b="0"/>
            <wp:docPr id="17" name="Picture 17" descr="This is a bar chart. The y axis shows percentage of ADSL connections by equipment. The x axis shows ADSL equipment categories. Shows that the vast majority of ADSL connections in exchanges located primarily in regional areas (Bands 3 and 4) are provided using Telstra's equipment, either by Telstra or off-net. In exchanges located primarily in metropolitan areas (Bands 1 and 2), just over half of ADSL connections are provided using non-Telstra infrastructure (on-net)." title="Figure 9. ADSL connections by equipment,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6590" cy="3127375"/>
                    </a:xfrm>
                    <a:prstGeom prst="rect">
                      <a:avLst/>
                    </a:prstGeom>
                    <a:noFill/>
                  </pic:spPr>
                </pic:pic>
              </a:graphicData>
            </a:graphic>
          </wp:inline>
        </w:drawing>
      </w:r>
    </w:p>
    <w:p w:rsidR="000C30DA" w:rsidRPr="0062531C" w:rsidRDefault="000C30DA" w:rsidP="00D26FB6">
      <w:pPr>
        <w:pStyle w:val="NoteSource"/>
        <w:pBdr>
          <w:top w:val="single" w:sz="4" w:space="1" w:color="auto"/>
          <w:left w:val="single" w:sz="4" w:space="1" w:color="auto"/>
          <w:bottom w:val="single" w:sz="4" w:space="1" w:color="auto"/>
          <w:right w:val="single" w:sz="4" w:space="1" w:color="auto"/>
        </w:pBdr>
        <w:shd w:val="clear" w:color="auto" w:fill="E4E4E4"/>
      </w:pPr>
      <w:r>
        <w:t>Source.</w:t>
      </w:r>
      <w:r w:rsidRPr="0062531C">
        <w:t xml:space="preserve"> ACCC (201</w:t>
      </w:r>
      <w:r>
        <w:t>6</w:t>
      </w:r>
      <w:r w:rsidRPr="0062531C">
        <w:t>), Wholesale ADSL service declaration inquiry</w:t>
      </w:r>
      <w:r w:rsidR="00DA4FBA">
        <w:t>—</w:t>
      </w:r>
      <w:r>
        <w:t>discussion paper, p. 22.</w:t>
      </w:r>
    </w:p>
    <w:p w:rsidR="00D26FB6" w:rsidRDefault="000C30DA" w:rsidP="00D26FB6">
      <w:pPr>
        <w:pStyle w:val="NoteSource"/>
        <w:pBdr>
          <w:top w:val="single" w:sz="4" w:space="1" w:color="auto"/>
          <w:left w:val="single" w:sz="4" w:space="1" w:color="auto"/>
          <w:bottom w:val="single" w:sz="4" w:space="1" w:color="auto"/>
          <w:right w:val="single" w:sz="4" w:space="1" w:color="auto"/>
        </w:pBdr>
        <w:shd w:val="clear" w:color="auto" w:fill="E4E4E4"/>
      </w:pPr>
      <w:r>
        <w:t>Notes.</w:t>
      </w:r>
      <w:r w:rsidRPr="0062531C">
        <w:t xml:space="preserve"> includes both wholesale and retail connections. Non-Telstra connections are predominantly retail, with the ACCC commenting that as at June </w:t>
      </w:r>
      <w:r w:rsidRPr="0062531C">
        <w:lastRenderedPageBreak/>
        <w:t>2015, ADSL resale competition was extremely limited. Precise figures are commercial-in-confidence.</w:t>
      </w:r>
    </w:p>
    <w:p w:rsidR="000C30DA" w:rsidRDefault="000C30DA" w:rsidP="00D26FB6">
      <w:pPr>
        <w:pStyle w:val="NoteSource"/>
        <w:pBdr>
          <w:top w:val="single" w:sz="4" w:space="1" w:color="auto"/>
          <w:left w:val="single" w:sz="4" w:space="1" w:color="auto"/>
          <w:bottom w:val="single" w:sz="4" w:space="1" w:color="auto"/>
          <w:right w:val="single" w:sz="4" w:space="1" w:color="auto"/>
        </w:pBdr>
        <w:shd w:val="clear" w:color="auto" w:fill="E4E4E4"/>
        <w:rPr>
          <w:noProof/>
          <w:lang w:eastAsia="en-AU"/>
        </w:rPr>
      </w:pPr>
      <w:r>
        <w:t>Off-net ADSL bundle plans are generally more expensive than on-net ADSL and NBN plans (excluding satellite) offering equivalent data allowances (</w:t>
      </w:r>
      <w:r w:rsidRPr="00F2486D">
        <w:fldChar w:fldCharType="begin"/>
      </w:r>
      <w:r w:rsidRPr="00F2486D">
        <w:instrText xml:space="preserve"> REF _Ref481758530 \h  \* MERGEFORMAT </w:instrText>
      </w:r>
      <w:r w:rsidRPr="00F2486D">
        <w:fldChar w:fldCharType="separate"/>
      </w:r>
      <w:r w:rsidR="00BE637B" w:rsidRPr="00D7182D">
        <w:t xml:space="preserve">Figure </w:t>
      </w:r>
      <w:r w:rsidR="00BE637B">
        <w:rPr>
          <w:noProof/>
        </w:rPr>
        <w:t>10</w:t>
      </w:r>
      <w:r w:rsidRPr="00F2486D">
        <w:fldChar w:fldCharType="end"/>
      </w:r>
      <w:r>
        <w:t xml:space="preserve">). </w:t>
      </w:r>
      <w:r w:rsidRPr="009C2DF5">
        <w:t>Off-peak data inclusions are essentially offered by one provider (TPG) on their ADSL plans</w:t>
      </w:r>
      <w:r>
        <w:t xml:space="preserve"> and</w:t>
      </w:r>
      <w:r w:rsidRPr="009C2DF5">
        <w:t xml:space="preserve"> have been excluded from the analysis.</w:t>
      </w:r>
      <w:r w:rsidRPr="001454DB">
        <w:rPr>
          <w:noProof/>
          <w:lang w:eastAsia="en-AU"/>
        </w:rPr>
        <w:t xml:space="preserve"> </w:t>
      </w:r>
    </w:p>
    <w:p w:rsidR="000C30DA" w:rsidRDefault="000C30DA" w:rsidP="000C30DA">
      <w:pPr>
        <w:rPr>
          <w:noProof/>
          <w:lang w:eastAsia="en-AU"/>
        </w:rPr>
      </w:pPr>
      <w:r>
        <w:rPr>
          <w:noProof/>
          <w:lang w:eastAsia="en-AU"/>
        </w:rPr>
        <w:br w:type="page"/>
      </w:r>
    </w:p>
    <w:p w:rsidR="000C30DA" w:rsidRDefault="000C30DA" w:rsidP="00934C33">
      <w:pPr>
        <w:pStyle w:val="Tablefigureheading"/>
      </w:pPr>
      <w:bookmarkStart w:id="122" w:name="_Ref481758530"/>
      <w:bookmarkStart w:id="123" w:name="_Toc487206097"/>
      <w:r w:rsidRPr="00D7182D">
        <w:lastRenderedPageBreak/>
        <w:t xml:space="preserve">Figure </w:t>
      </w:r>
      <w:fldSimple w:instr=" SEQ Figure \* ARABIC ">
        <w:r w:rsidR="00BE637B">
          <w:rPr>
            <w:noProof/>
          </w:rPr>
          <w:t>10</w:t>
        </w:r>
      </w:fldSimple>
      <w:bookmarkEnd w:id="122"/>
      <w:r w:rsidRPr="00D7182D">
        <w:t>. Distribution of fixed broadband bundle plans by price and included data for selected providers</w:t>
      </w:r>
      <w:r>
        <w:t>,</w:t>
      </w:r>
      <w:r w:rsidRPr="00D7182D">
        <w:t xml:space="preserve"> </w:t>
      </w:r>
      <w:r>
        <w:t>May</w:t>
      </w:r>
      <w:r w:rsidRPr="00D7182D">
        <w:t xml:space="preserve"> 2017</w:t>
      </w:r>
      <w:bookmarkEnd w:id="123"/>
    </w:p>
    <w:p w:rsidR="000C30DA" w:rsidRPr="00B02DBF" w:rsidRDefault="0075251C" w:rsidP="000C30DA">
      <w:r>
        <w:rPr>
          <w:noProof/>
          <w:lang w:eastAsia="en-AU"/>
        </w:rPr>
        <w:drawing>
          <wp:inline distT="0" distB="0" distL="0" distR="0" wp14:anchorId="3A549D6B" wp14:editId="03BC44E6">
            <wp:extent cx="5736590" cy="4322445"/>
            <wp:effectExtent l="0" t="0" r="0" b="1905"/>
            <wp:docPr id="18" name="Picture 18" descr="This is a scatter plot. The y axis shows price per month. The x axis shows on peak data per month. Shows that off-net ADSL bundle plans are generally more expensive than on-net ADSL and NBN plans (excluding satellite) offering equivalent data allowances." title="Figure 10. Distribution of fixed broadband bundle plans by price and included data for selected providers, May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6590" cy="4322445"/>
                    </a:xfrm>
                    <a:prstGeom prst="rect">
                      <a:avLst/>
                    </a:prstGeom>
                    <a:noFill/>
                  </pic:spPr>
                </pic:pic>
              </a:graphicData>
            </a:graphic>
          </wp:inline>
        </w:drawing>
      </w:r>
    </w:p>
    <w:p w:rsidR="000C30DA" w:rsidRPr="00B268F7" w:rsidRDefault="000C30DA" w:rsidP="00934C33">
      <w:pPr>
        <w:pStyle w:val="NoteSource"/>
      </w:pPr>
      <w:r>
        <w:t xml:space="preserve">Source. BCAR </w:t>
      </w:r>
      <w:r w:rsidRPr="00B268F7">
        <w:t>survey of advertised ADSL and NBN bundle plans offered by Telstra, Optus, iiNet, Internode, iPrimus</w:t>
      </w:r>
      <w:r>
        <w:t>, TPG, Belong</w:t>
      </w:r>
      <w:r w:rsidRPr="00B268F7">
        <w:t xml:space="preserve"> and Dodo. </w:t>
      </w:r>
    </w:p>
    <w:p w:rsidR="000C30DA" w:rsidRPr="00B268F7" w:rsidRDefault="000C30DA" w:rsidP="00934C33">
      <w:pPr>
        <w:pStyle w:val="NoteSource"/>
      </w:pPr>
      <w:r>
        <w:t>Notes.</w:t>
      </w:r>
      <w:r w:rsidRPr="00B268F7">
        <w:t xml:space="preserve"> </w:t>
      </w:r>
      <w:r>
        <w:t>Includes plans advertised on provider websites as of 17 and 18 May 2017. Includes ADSL2+/</w:t>
      </w:r>
      <w:r w:rsidDel="00D70AE8">
        <w:t>Fixed</w:t>
      </w:r>
      <w:r>
        <w:t>-line NBN broadband connections and bundles. Where an active phone line is required, $25.95 (price of Telstra Home Phone Basic) is added to the monthly price of the plan. Where contract length or bundled hardware affect the monthly connection fee, the option with the cheapest monthly fee is selected. Off</w:t>
      </w:r>
      <w:r>
        <w:noBreakHyphen/>
        <w:t>net plans identified using known Telstra-only addresses and details from Critical Information Summaries. It is unknown if providers vary pricing regionally (outside of technology type).</w:t>
      </w:r>
    </w:p>
    <w:p w:rsidR="000C30DA" w:rsidRPr="00C67D6D" w:rsidRDefault="000C30DA" w:rsidP="000C30DA">
      <w:r>
        <w:t>Metropolitan ADSL customers who switch to the NBN will be at least as well off, as the advertised prices of plans and included data are broadly comparable to those offered on the NBN at the basic speed tier (12/1 Mbps).</w:t>
      </w:r>
      <w:r>
        <w:rPr>
          <w:rStyle w:val="EndnoteReference"/>
        </w:rPr>
        <w:endnoteReference w:id="14"/>
      </w:r>
      <w:r>
        <w:t xml:space="preserve"> On-net ADSL and fixed NBN broadband connections and broadband-voice bundle plans are available at similar price points, and the price of plans appears to be similar when data allowances are taken into account.</w:t>
      </w:r>
    </w:p>
    <w:p w:rsidR="000C30DA" w:rsidRDefault="000C30DA" w:rsidP="000C30DA">
      <w:r>
        <w:lastRenderedPageBreak/>
        <w:t>NBN Co Limited (nbn)</w:t>
      </w:r>
      <w:r w:rsidRPr="00C2671B">
        <w:t xml:space="preserve"> aims to activate 8.1 million premises by 2020, with </w:t>
      </w:r>
      <w:r>
        <w:t>7.6 million of these premises (</w:t>
      </w:r>
      <w:r w:rsidRPr="00C2671B">
        <w:t>9</w:t>
      </w:r>
      <w:r>
        <w:t>3.8</w:t>
      </w:r>
      <w:r w:rsidRPr="00C2671B">
        <w:t xml:space="preserve"> per cent</w:t>
      </w:r>
      <w:r>
        <w:t>)</w:t>
      </w:r>
      <w:r w:rsidRPr="00C2671B">
        <w:t xml:space="preserve"> </w:t>
      </w:r>
      <w:r>
        <w:t xml:space="preserve">connected to the NBN using </w:t>
      </w:r>
      <w:r w:rsidRPr="00C2671B" w:rsidDel="00D70AE8">
        <w:t>fixed</w:t>
      </w:r>
      <w:r>
        <w:t>-line technology. A further 300,000 active premises (3.7 per cent) will have their broadband delivered on fixed wireless technology, with the remaining 200,000 premises (2.5 per cent) connected through the NBN satellite.</w:t>
      </w:r>
      <w:r>
        <w:rPr>
          <w:rStyle w:val="EndnoteReference"/>
        </w:rPr>
        <w:endnoteReference w:id="15"/>
      </w:r>
      <w:r>
        <w:t xml:space="preserve"> </w:t>
      </w:r>
    </w:p>
    <w:p w:rsidR="000C30DA" w:rsidRDefault="000C30DA" w:rsidP="000C30DA">
      <w:r>
        <w:t xml:space="preserve">For many households without access to fixed broadband, NBN satellite is able to provide access to high-speed broadband services with an on-peak data allowance of less than 40GB per month at a price that is only marginally more expensive than comparable </w:t>
      </w:r>
      <w:r w:rsidDel="00D70AE8">
        <w:t>fixed</w:t>
      </w:r>
      <w:r>
        <w:t xml:space="preserve">-line or fixed wireless </w:t>
      </w:r>
      <w:r w:rsidRPr="00050315">
        <w:t xml:space="preserve">NBN plans </w:t>
      </w:r>
      <w:r>
        <w:t>(</w:t>
      </w:r>
      <w:r w:rsidRPr="00050315">
        <w:fldChar w:fldCharType="begin"/>
      </w:r>
      <w:r w:rsidRPr="00C126CC">
        <w:instrText xml:space="preserve"> REF _Ref481762306 \h </w:instrText>
      </w:r>
      <w:r w:rsidRPr="00F96B32">
        <w:instrText xml:space="preserve"> \* MERGEFORMAT </w:instrText>
      </w:r>
      <w:r w:rsidRPr="00050315">
        <w:fldChar w:fldCharType="separate"/>
      </w:r>
      <w:r w:rsidR="00BE637B" w:rsidRPr="00D7182D">
        <w:t xml:space="preserve">Figure </w:t>
      </w:r>
      <w:r w:rsidR="00BE637B">
        <w:rPr>
          <w:noProof/>
        </w:rPr>
        <w:t>11</w:t>
      </w:r>
      <w:r w:rsidRPr="00050315">
        <w:fldChar w:fldCharType="end"/>
      </w:r>
      <w:r>
        <w:t>)</w:t>
      </w:r>
      <w:r w:rsidRPr="00050315">
        <w:t xml:space="preserve">. </w:t>
      </w:r>
      <w:r w:rsidRPr="00A45ED5">
        <w:t xml:space="preserve">Above 40GB per month, </w:t>
      </w:r>
      <w:r w:rsidR="006C049F">
        <w:t>however, ADSL and NBN</w:t>
      </w:r>
      <w:r>
        <w:t xml:space="preserve"> fixed-line and fixed wireless plans are cheaper than </w:t>
      </w:r>
      <w:r w:rsidR="006C049F">
        <w:t>NBN</w:t>
      </w:r>
      <w:r>
        <w:t xml:space="preserve"> satellite plans </w:t>
      </w:r>
      <w:r w:rsidRPr="00F96B32">
        <w:t>(</w:t>
      </w:r>
      <w:r w:rsidRPr="00050315">
        <w:fldChar w:fldCharType="begin"/>
      </w:r>
      <w:r w:rsidRPr="00C126CC">
        <w:instrText xml:space="preserve"> REF _Ref482604860 \h </w:instrText>
      </w:r>
      <w:r w:rsidRPr="00F96B32">
        <w:instrText xml:space="preserve"> \* MERGEFORMAT </w:instrText>
      </w:r>
      <w:r w:rsidRPr="00050315">
        <w:fldChar w:fldCharType="separate"/>
      </w:r>
      <w:r w:rsidR="00BE637B" w:rsidRPr="00503571">
        <w:t xml:space="preserve">Figure </w:t>
      </w:r>
      <w:r w:rsidR="00BE637B">
        <w:rPr>
          <w:noProof/>
        </w:rPr>
        <w:t>12</w:t>
      </w:r>
      <w:r w:rsidRPr="00050315">
        <w:fldChar w:fldCharType="end"/>
      </w:r>
      <w:r w:rsidRPr="00050315">
        <w:t>)</w:t>
      </w:r>
      <w:r>
        <w:t>. Notwithstanding this, prior to the rollout of the Sky Muster satellite, there were in practice no broadband options (such as ADSL) available</w:t>
      </w:r>
      <w:r w:rsidRPr="00C853E7">
        <w:t xml:space="preserve"> </w:t>
      </w:r>
      <w:r>
        <w:t xml:space="preserve">for some locations due to their remoteness. As such, caution should be taken when comparing ADSL affordability with the affordability of the satellite. In addition, there have been recent changes to the Sky Muster service that </w:t>
      </w:r>
      <w:r w:rsidR="009051B5">
        <w:t>should</w:t>
      </w:r>
      <w:r>
        <w:t xml:space="preserve"> improve the affordability of the satellite service</w:t>
      </w:r>
      <w:r w:rsidR="00DA4FBA">
        <w:t>—</w:t>
      </w:r>
      <w:r>
        <w:t xml:space="preserve">in particular nbn’s recent announcement that it has </w:t>
      </w:r>
      <w:r w:rsidR="009051B5">
        <w:t xml:space="preserve">changed its Fair Use Policy to increase the wholesale average peak download usage by 50 per cent and </w:t>
      </w:r>
      <w:r>
        <w:t xml:space="preserve">doubled the maximum </w:t>
      </w:r>
      <w:r w:rsidR="009051B5">
        <w:t xml:space="preserve">usage </w:t>
      </w:r>
      <w:r w:rsidR="004B3430">
        <w:t xml:space="preserve">allowed </w:t>
      </w:r>
      <w:r w:rsidR="009051B5">
        <w:t>per customer</w:t>
      </w:r>
      <w:r>
        <w:t>, and kept wholesale prices the same.</w:t>
      </w:r>
    </w:p>
    <w:p w:rsidR="000C30DA" w:rsidRDefault="000C30DA" w:rsidP="000C30DA">
      <w:r>
        <w:t>This analysis does not include satellite plans delivered as part of the ‘Sky Muster Education Port’ service, which provides existing satellite households with an additional 50GB per student using the internet as their primary means of education.</w:t>
      </w:r>
    </w:p>
    <w:p w:rsidR="000C30DA" w:rsidRDefault="000C30DA" w:rsidP="00934C33">
      <w:pPr>
        <w:pStyle w:val="Tablefigureheading"/>
      </w:pPr>
      <w:bookmarkStart w:id="124" w:name="_Ref481762306"/>
      <w:bookmarkStart w:id="125" w:name="_Toc487206098"/>
      <w:r w:rsidRPr="00D7182D">
        <w:lastRenderedPageBreak/>
        <w:t xml:space="preserve">Figure </w:t>
      </w:r>
      <w:fldSimple w:instr=" SEQ Figure \* ARABIC ">
        <w:r w:rsidR="00BE637B">
          <w:rPr>
            <w:noProof/>
          </w:rPr>
          <w:t>11</w:t>
        </w:r>
      </w:fldSimple>
      <w:bookmarkEnd w:id="124"/>
      <w:r w:rsidRPr="00D7182D">
        <w:t>. Distribution of NBN satellite plans</w:t>
      </w:r>
      <w:r>
        <w:t xml:space="preserve"> and low data fixed NBN plans</w:t>
      </w:r>
      <w:r w:rsidRPr="00D7182D">
        <w:t xml:space="preserve"> by price and included on-peak data allowance for selected providers, </w:t>
      </w:r>
      <w:r>
        <w:t>May 2017</w:t>
      </w:r>
      <w:bookmarkEnd w:id="125"/>
    </w:p>
    <w:p w:rsidR="000C30DA" w:rsidRPr="00B02DBF" w:rsidRDefault="00EA1D6A" w:rsidP="000C30DA">
      <w:r>
        <w:rPr>
          <w:noProof/>
          <w:lang w:eastAsia="en-AU"/>
        </w:rPr>
        <w:drawing>
          <wp:inline distT="0" distB="0" distL="0" distR="0" wp14:anchorId="53BFB753" wp14:editId="118315C6">
            <wp:extent cx="5736590" cy="4304030"/>
            <wp:effectExtent l="0" t="0" r="0" b="1270"/>
            <wp:docPr id="5" name="Picture 5" descr="This is a scatter plot. The y axis shows price per month. The x axis shows on-peak data per month. Shows that NBN satellite plans with an on-peak data allowance of less than 40GB per month are only marginally more expensive than comparable fixed-line or fixed wireless NBN plans." title="Figure 11. Distribution of NBN satellite plans and low data fixed NBN plans by price and included on-peak data allowance for selected providers, May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6590" cy="4304030"/>
                    </a:xfrm>
                    <a:prstGeom prst="rect">
                      <a:avLst/>
                    </a:prstGeom>
                    <a:noFill/>
                  </pic:spPr>
                </pic:pic>
              </a:graphicData>
            </a:graphic>
          </wp:inline>
        </w:drawing>
      </w:r>
    </w:p>
    <w:p w:rsidR="000C30DA" w:rsidRPr="00934C33" w:rsidRDefault="000C30DA" w:rsidP="00934C33">
      <w:pPr>
        <w:pStyle w:val="NoteSource"/>
      </w:pPr>
      <w:r w:rsidRPr="00934C33">
        <w:t>Source. BCAR survey of advertised NBN satellite plans offered by Activ8me, SkyMesh, Harbour ISP, IPSTAR, iiNet, reachnet, Ant Communications, BorderNET, Clear Networks; and fixed NBN bundle plans offered by Telstra, Optus, iiNet, Internode, iPrimus, TPG, Belong and Dodo (only those plans with a data allowance under 100GB charted).</w:t>
      </w:r>
    </w:p>
    <w:p w:rsidR="000C30DA" w:rsidRPr="00934C33" w:rsidRDefault="000C30DA" w:rsidP="000558B3">
      <w:pPr>
        <w:pStyle w:val="NoteSource"/>
        <w:keepNext w:val="0"/>
      </w:pPr>
      <w:r w:rsidRPr="00934C33">
        <w:t>Notes. Off-peak data has been excluded from the analysis. Satellite-voice bundles and ‘night-owl’ satellite plans, which combine small on-peak inclusions with larger off-peak inclusions, have also been excluded. Contract term for each of the advertised NBN satellite plans included in the analysis is one month or less. There is no connection fee associated with these plans, with the exception of iiNet plans which have a $99.95 activation fee (this fee is not applicable if consumers choose to sign-up for a 24 month contract term). NBN satellite connections are available at either a 12/1 Mbps or 25/5 Mbps speed tier. At the end of Q4 2016, two-thirds of NBN satellite services in operation (AVCs) were at the 25/5 speed tier with the remaining third at the 12/1 speed tier (NBN</w:t>
      </w:r>
      <w:r w:rsidR="000558B3">
        <w:t xml:space="preserve"> </w:t>
      </w:r>
      <w:r w:rsidRPr="00934C33">
        <w:t>Wholesale Market Indicators Report 31 December 2016). All of the providers surveyed charge an additional $5 per month to upgrade to the 25/5 Mbps speed tier.</w:t>
      </w:r>
    </w:p>
    <w:p w:rsidR="000C30DA" w:rsidRDefault="000C30DA" w:rsidP="00934C33">
      <w:pPr>
        <w:pStyle w:val="Tablefigureheading"/>
      </w:pPr>
      <w:bookmarkStart w:id="126" w:name="_Ref482604860"/>
      <w:bookmarkStart w:id="127" w:name="_Toc487206099"/>
      <w:r w:rsidRPr="00503571">
        <w:lastRenderedPageBreak/>
        <w:t xml:space="preserve">Figure </w:t>
      </w:r>
      <w:fldSimple w:instr=" SEQ Figure \* ARABIC ">
        <w:r w:rsidR="00BE637B">
          <w:rPr>
            <w:noProof/>
          </w:rPr>
          <w:t>12</w:t>
        </w:r>
      </w:fldSimple>
      <w:bookmarkEnd w:id="126"/>
      <w:r w:rsidRPr="00503571">
        <w:t>.</w:t>
      </w:r>
      <w:r>
        <w:t xml:space="preserve"> </w:t>
      </w:r>
      <w:r w:rsidRPr="00D7182D">
        <w:t>Distribution of NBN satellite plans</w:t>
      </w:r>
      <w:r>
        <w:t xml:space="preserve"> and off-net ADSL plans</w:t>
      </w:r>
      <w:r w:rsidRPr="00D7182D">
        <w:t xml:space="preserve"> by price and included on-peak data allowance for selected providers</w:t>
      </w:r>
      <w:r>
        <w:t xml:space="preserve"> May 2017</w:t>
      </w:r>
      <w:bookmarkEnd w:id="127"/>
    </w:p>
    <w:p w:rsidR="000C30DA" w:rsidRPr="00B02DBF" w:rsidRDefault="00157C8D" w:rsidP="000C30DA">
      <w:r>
        <w:rPr>
          <w:noProof/>
          <w:lang w:eastAsia="en-AU"/>
        </w:rPr>
        <w:drawing>
          <wp:inline distT="0" distB="0" distL="0" distR="0" wp14:anchorId="4A8FC656" wp14:editId="3FA18EB2">
            <wp:extent cx="5736590" cy="4304030"/>
            <wp:effectExtent l="0" t="0" r="0" b="1270"/>
            <wp:docPr id="15" name="Picture 15" descr="This is a scatter plot. The y axis shows price per month. The x axis shows on-peak data per month. Shows that off-net ADSL plans with an on-peak data allowance greater than 40GB per month are cheaper than comparable NBN satellite plans." title="Figure 12. Distribution of NBN satellite plans and off-net ADSL plans by price and included on-peak data allowance for selected providers May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6590" cy="4304030"/>
                    </a:xfrm>
                    <a:prstGeom prst="rect">
                      <a:avLst/>
                    </a:prstGeom>
                    <a:noFill/>
                  </pic:spPr>
                </pic:pic>
              </a:graphicData>
            </a:graphic>
          </wp:inline>
        </w:drawing>
      </w:r>
    </w:p>
    <w:p w:rsidR="000C30DA" w:rsidRPr="003E0CE9" w:rsidRDefault="000C30DA" w:rsidP="000C30DA">
      <w:pPr>
        <w:pStyle w:val="NoteSource"/>
      </w:pPr>
      <w:r>
        <w:t xml:space="preserve">Source. BCAR survey of advertised NBN satellite plans offered by Activ8me, SkyMesh, Harbour ISP, IPSTAR, iiNet, reachnet, Ant Communications, BorderNET, Clear Networks; and off-net bundle plans offered by </w:t>
      </w:r>
      <w:r w:rsidRPr="00B268F7">
        <w:rPr>
          <w:iCs w:val="0"/>
          <w:szCs w:val="16"/>
        </w:rPr>
        <w:t>Telstra, Optus, iiN</w:t>
      </w:r>
      <w:r>
        <w:rPr>
          <w:iCs w:val="0"/>
          <w:szCs w:val="16"/>
        </w:rPr>
        <w:t>et, Internode, iPrimus, TPG, Belong and Dodo.</w:t>
      </w:r>
    </w:p>
    <w:p w:rsidR="000C30DA" w:rsidRDefault="000C30DA" w:rsidP="000C30DA">
      <w:pPr>
        <w:pStyle w:val="NoteSource"/>
        <w:spacing w:before="0" w:after="240"/>
      </w:pPr>
      <w:r>
        <w:t xml:space="preserve">Notes. Off-peak data has been excluded from the analysis. Satellite-voice bundles and ‘night-owl’ satellite plans, which combine small on-peak inclusions with larger off-peak inclusions, have also been excluded. Contract term for each of the advertised NBN satellite plans included in the analysis is one month or less. There is no connection fee associated with these plans, with the exception of iiNet plans which have a $99.95 activation fee (this fee is not applicable if consumers choose to sign-up for a 24 month contract term). NBN satellite connections are available at either a 12/1 Mbps or 25/5 Mbps speed tier. At the end of Q4 2016, two-thirds of NBN satellite services in operation (AVCs) were at the 25/5 speed tier with the remaining third at the 12/1 speed tier (NBN Wholesale Market Indicators Report 31 December </w:t>
      </w:r>
      <w:r>
        <w:lastRenderedPageBreak/>
        <w:t>2016). All of the providers surveyed charge an additional $5 per month to upgrade to the 25/5 Mbps speed tier.</w:t>
      </w:r>
    </w:p>
    <w:p w:rsidR="000C30DA" w:rsidRDefault="000C30DA" w:rsidP="000C30DA">
      <w:r>
        <w:t>With home broadband increasingly regarded as an essential service, there is good news for households given real prices have fallen in recent years, including for some entry-level plans.</w:t>
      </w:r>
    </w:p>
    <w:p w:rsidR="000C30DA" w:rsidRDefault="000C30DA" w:rsidP="000C30DA">
      <w:r>
        <w:t>Data collected by the ACCC on the prices of broadband bundles including fixed bundles advertised on the websites of selected retail service providers (such as Telstra, Belong, Optus, iiNet and iPrimus) suggests that average prices for fixed-line and fixed wireless NBN, on-net ADSL and off-net ADSL bundles remained broadly constant between June 2014 and June 2016 (</w:t>
      </w:r>
      <w:r w:rsidRPr="00C47CEC">
        <w:fldChar w:fldCharType="begin"/>
      </w:r>
      <w:r w:rsidRPr="00FC7854">
        <w:instrText xml:space="preserve"> REF _Ref482274815 \h  \* MERGEFORMAT </w:instrText>
      </w:r>
      <w:r w:rsidRPr="00C47CEC">
        <w:fldChar w:fldCharType="separate"/>
      </w:r>
      <w:r w:rsidR="00BE637B" w:rsidRPr="00D7182D">
        <w:t xml:space="preserve">Figure </w:t>
      </w:r>
      <w:r w:rsidR="00BE637B">
        <w:t>13</w:t>
      </w:r>
      <w:r w:rsidRPr="00C47CEC">
        <w:fldChar w:fldCharType="end"/>
      </w:r>
      <w:r>
        <w:t>). Once accounting for the rate of inflation in the rest of the economy, the real price of fixed broadband bundles offered by the included providers has declined in recent years.</w:t>
      </w:r>
    </w:p>
    <w:p w:rsidR="000C30DA" w:rsidRDefault="000C30DA" w:rsidP="00934C33">
      <w:pPr>
        <w:pStyle w:val="Tablefigureheading"/>
      </w:pPr>
      <w:bookmarkStart w:id="128" w:name="_Ref482274815"/>
      <w:bookmarkStart w:id="129" w:name="_Toc487206100"/>
      <w:r w:rsidRPr="00D7182D">
        <w:t xml:space="preserve">Figure </w:t>
      </w:r>
      <w:fldSimple w:instr=" SEQ Figure \* ARABIC ">
        <w:r w:rsidR="00BE637B">
          <w:rPr>
            <w:noProof/>
          </w:rPr>
          <w:t>13</w:t>
        </w:r>
      </w:fldSimple>
      <w:bookmarkEnd w:id="128"/>
      <w:r w:rsidRPr="00D7182D">
        <w:t>. Average bundle prices for on-net ADSL, off-net ADSL and fixed NBN plans (selected providers) over the period June 2014 to June 2016</w:t>
      </w:r>
      <w:bookmarkEnd w:id="129"/>
    </w:p>
    <w:p w:rsidR="000C30DA" w:rsidRPr="00B02DBF" w:rsidRDefault="0068320E" w:rsidP="000C30DA">
      <w:r>
        <w:rPr>
          <w:noProof/>
          <w:lang w:eastAsia="en-AU"/>
        </w:rPr>
        <w:drawing>
          <wp:inline distT="0" distB="0" distL="0" distR="0" wp14:anchorId="1F139235" wp14:editId="4473290A">
            <wp:extent cx="5736590" cy="4304030"/>
            <wp:effectExtent l="0" t="0" r="0" b="1270"/>
            <wp:docPr id="3" name="Picture 3" descr="This is a line chart. The y axis shows average bundle price. The x axis shows time from June 2014 to June 2016. Shows that average nominal bundle prices for fixed-line and fixed wireless NBN, on-net ADSL and off-net ADSL bundles remained broadly constant between June 2014 and June 2016." title="Figure 13. Average bundle prices for on-net ADSL, off-net ADSL and fixed NBN plans (selected providers) over the period June 2014 to June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36590" cy="4304030"/>
                    </a:xfrm>
                    <a:prstGeom prst="rect">
                      <a:avLst/>
                    </a:prstGeom>
                    <a:noFill/>
                  </pic:spPr>
                </pic:pic>
              </a:graphicData>
            </a:graphic>
          </wp:inline>
        </w:drawing>
      </w:r>
    </w:p>
    <w:p w:rsidR="000C30DA" w:rsidRPr="003E0CE9" w:rsidRDefault="000C30DA" w:rsidP="000C30DA">
      <w:pPr>
        <w:pStyle w:val="NoteSource"/>
      </w:pPr>
      <w:r>
        <w:lastRenderedPageBreak/>
        <w:t>Source.</w:t>
      </w:r>
      <w:r w:rsidR="0092276A">
        <w:t xml:space="preserve"> </w:t>
      </w:r>
      <w:r>
        <w:t>Advertised service plan data compiled by the ACCC. Includes fixed bundles (phone and internet) advertised by the following retail service providers: Telstra, Belong, Optus, TPG, iiNet and iPrimus.</w:t>
      </w:r>
    </w:p>
    <w:p w:rsidR="000C30DA" w:rsidRDefault="000C30DA" w:rsidP="000C30DA">
      <w:pPr>
        <w:pStyle w:val="NoteSource"/>
      </w:pPr>
      <w:r>
        <w:t>Notes. Prices have not been adjusted for inflation. Off-net plans include connections at Zone 2 and 3 exchanges for Telstra and Belong. Some providers are not available on all types of connection.</w:t>
      </w:r>
    </w:p>
    <w:p w:rsidR="000C30DA" w:rsidRDefault="000C30DA" w:rsidP="000C30DA">
      <w:pPr>
        <w:pStyle w:val="Heading3"/>
      </w:pPr>
      <w:bookmarkStart w:id="130" w:name="_Toc482281085"/>
      <w:bookmarkStart w:id="131" w:name="_Toc482283312"/>
      <w:bookmarkStart w:id="132" w:name="_Toc482284176"/>
      <w:bookmarkStart w:id="133" w:name="_Toc482284617"/>
      <w:bookmarkStart w:id="134" w:name="_Toc482343412"/>
      <w:bookmarkStart w:id="135" w:name="_Toc482363848"/>
      <w:bookmarkStart w:id="136" w:name="_Toc482617448"/>
      <w:bookmarkStart w:id="137" w:name="_Toc482624087"/>
      <w:bookmarkStart w:id="138" w:name="_Toc482956635"/>
      <w:bookmarkStart w:id="139" w:name="_Toc486867509"/>
      <w:bookmarkStart w:id="140" w:name="_Toc487206052"/>
      <w:r>
        <w:t>…as data allowances increase</w:t>
      </w:r>
      <w:bookmarkEnd w:id="130"/>
      <w:bookmarkEnd w:id="131"/>
      <w:bookmarkEnd w:id="132"/>
      <w:bookmarkEnd w:id="133"/>
      <w:bookmarkEnd w:id="134"/>
      <w:bookmarkEnd w:id="135"/>
      <w:bookmarkEnd w:id="136"/>
      <w:bookmarkEnd w:id="137"/>
      <w:bookmarkEnd w:id="138"/>
      <w:bookmarkEnd w:id="139"/>
      <w:bookmarkEnd w:id="140"/>
    </w:p>
    <w:p w:rsidR="000C30DA" w:rsidRDefault="000C30DA" w:rsidP="000C30DA">
      <w:r>
        <w:t>Providers are increasing their data allowances in response to growing consumer demand. Between 2014 and 2016</w:t>
      </w:r>
      <w:r w:rsidDel="006836F5">
        <w:t xml:space="preserve"> </w:t>
      </w:r>
      <w:r>
        <w:t>the average amount of data included in plans increased significantly, particularly for fixed NBN and on-net ADSL plans (</w:t>
      </w:r>
      <w:r w:rsidRPr="00712C79">
        <w:fldChar w:fldCharType="begin"/>
      </w:r>
      <w:r w:rsidRPr="00FC7854">
        <w:instrText xml:space="preserve"> REF _Ref482274865 \h </w:instrText>
      </w:r>
      <w:r w:rsidRPr="00503571">
        <w:instrText xml:space="preserve"> \* MERGEFORMAT </w:instrText>
      </w:r>
      <w:r w:rsidRPr="00712C79">
        <w:fldChar w:fldCharType="separate"/>
      </w:r>
      <w:r w:rsidR="00BE637B" w:rsidRPr="00D7182D">
        <w:t xml:space="preserve">Figure </w:t>
      </w:r>
      <w:r w:rsidR="00BE637B">
        <w:rPr>
          <w:noProof/>
        </w:rPr>
        <w:t>14</w:t>
      </w:r>
      <w:r w:rsidRPr="00712C79">
        <w:fldChar w:fldCharType="end"/>
      </w:r>
      <w:r>
        <w:t>).</w:t>
      </w:r>
    </w:p>
    <w:p w:rsidR="000C30DA" w:rsidRDefault="000C30DA" w:rsidP="00934C33">
      <w:pPr>
        <w:pStyle w:val="Tablefigureheading"/>
      </w:pPr>
      <w:bookmarkStart w:id="141" w:name="_Ref482274865"/>
      <w:bookmarkStart w:id="142" w:name="_Toc487206101"/>
      <w:r w:rsidRPr="00D7182D">
        <w:t xml:space="preserve">Figure </w:t>
      </w:r>
      <w:fldSimple w:instr=" SEQ Figure \* ARABIC ">
        <w:r w:rsidR="00BE637B">
          <w:rPr>
            <w:noProof/>
          </w:rPr>
          <w:t>14</w:t>
        </w:r>
      </w:fldSimple>
      <w:bookmarkEnd w:id="141"/>
      <w:r w:rsidRPr="00D7182D">
        <w:t>. Average monthly data included with on-net ADSL, off-net ADSL and fixed NBN plans (selected providers) over the period June 2014 to June 2016</w:t>
      </w:r>
      <w:bookmarkEnd w:id="142"/>
    </w:p>
    <w:p w:rsidR="000C30DA" w:rsidRPr="00B02DBF" w:rsidRDefault="00C36F16" w:rsidP="000C30DA">
      <w:r>
        <w:rPr>
          <w:noProof/>
          <w:lang w:eastAsia="en-AU"/>
        </w:rPr>
        <w:drawing>
          <wp:inline distT="0" distB="0" distL="0" distR="0" wp14:anchorId="1521C0F3" wp14:editId="099B10CC">
            <wp:extent cx="5736590" cy="4304030"/>
            <wp:effectExtent l="0" t="0" r="0" b="1270"/>
            <wp:docPr id="7" name="Picture 7" descr="This is a line chart. The y axis shows average monthly data. The x axis shows time from June 2014 to June 2016. Shows that the average amount of data included in fixed-line and fixed wireless NBN, on-net ADSL and off-net ADSL plans increased significantly between June 2014 and June 2016, particularly for fixed NBN and on-net ADSL plans." title="Figure 14. Average monthly data included with on-net ADSL, off-net ADSL and fixed NBN plans (selected providers) over the period June 2014 to June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36590" cy="4304030"/>
                    </a:xfrm>
                    <a:prstGeom prst="rect">
                      <a:avLst/>
                    </a:prstGeom>
                    <a:noFill/>
                  </pic:spPr>
                </pic:pic>
              </a:graphicData>
            </a:graphic>
          </wp:inline>
        </w:drawing>
      </w:r>
    </w:p>
    <w:p w:rsidR="000C30DA" w:rsidRPr="003E0CE9" w:rsidRDefault="000C30DA" w:rsidP="000C30DA">
      <w:pPr>
        <w:pStyle w:val="NoteSource"/>
      </w:pPr>
      <w:r>
        <w:lastRenderedPageBreak/>
        <w:t>Source.</w:t>
      </w:r>
      <w:r w:rsidR="0092276A">
        <w:t xml:space="preserve"> </w:t>
      </w:r>
      <w:r>
        <w:t xml:space="preserve">Advertised service plan data compiled by the ACCC. Includes fixed bundles (phone and internet) advertised by the following retail service providers: Telstra, Belong, Optus, TPG, iiNet and iPrimus. </w:t>
      </w:r>
    </w:p>
    <w:p w:rsidR="000C30DA" w:rsidRDefault="000C30DA" w:rsidP="000C30DA">
      <w:pPr>
        <w:pStyle w:val="NoteSource"/>
        <w:spacing w:after="240"/>
      </w:pPr>
      <w:r>
        <w:t>Notes. Unlimited plans recorded as 1500GB. Off-net plans include connections at Zone 2 and 3 exchanges for Telstra and Belong. Off-peak data was excluded from the analysis. Some providers are not available on all types of connection.</w:t>
      </w:r>
    </w:p>
    <w:p w:rsidR="000C30DA" w:rsidRDefault="000C30DA" w:rsidP="000C30DA">
      <w:r>
        <w:t>In general, providers increasingly offered more plans with on-peak data inclusions in excess of 500GB per month, with only a marginal increase in monthly prices.</w:t>
      </w:r>
    </w:p>
    <w:p w:rsidR="000C30DA" w:rsidRPr="00050315" w:rsidRDefault="000C30DA" w:rsidP="000C30DA">
      <w:r>
        <w:t xml:space="preserve">This shift to plans with larger data allowances has contributed to the increase in average data downloads, as providers have removed smaller plans. However, increases to data </w:t>
      </w:r>
      <w:r w:rsidRPr="001B0A6A">
        <w:t xml:space="preserve">inclusions are not uniform across different retail service providers and market </w:t>
      </w:r>
      <w:r w:rsidRPr="00050315">
        <w:t>segments (</w:t>
      </w:r>
      <w:r w:rsidRPr="00050315">
        <w:fldChar w:fldCharType="begin"/>
      </w:r>
      <w:r w:rsidRPr="00C126CC">
        <w:instrText xml:space="preserve"> REF _Ref482605194 \h </w:instrText>
      </w:r>
      <w:r w:rsidRPr="00F96B32">
        <w:instrText xml:space="preserve"> \* MERGEFORMAT </w:instrText>
      </w:r>
      <w:r w:rsidRPr="00050315">
        <w:fldChar w:fldCharType="separate"/>
      </w:r>
      <w:r w:rsidR="00BE637B" w:rsidRPr="00D7182D">
        <w:t xml:space="preserve">Figure </w:t>
      </w:r>
      <w:r w:rsidR="00BE637B">
        <w:rPr>
          <w:noProof/>
        </w:rPr>
        <w:t>15</w:t>
      </w:r>
      <w:r w:rsidRPr="00050315">
        <w:fldChar w:fldCharType="end"/>
      </w:r>
      <w:r w:rsidRPr="00050315">
        <w:t>)</w:t>
      </w:r>
      <w:r>
        <w:t>.</w:t>
      </w:r>
    </w:p>
    <w:p w:rsidR="000C30DA" w:rsidRDefault="000C30DA" w:rsidP="000C30DA">
      <w:r>
        <w:br w:type="page"/>
      </w:r>
    </w:p>
    <w:p w:rsidR="000C30DA" w:rsidRDefault="000C30DA" w:rsidP="00934C33">
      <w:pPr>
        <w:pStyle w:val="Tablefigureheading"/>
      </w:pPr>
      <w:bookmarkStart w:id="143" w:name="_Ref482605194"/>
      <w:bookmarkStart w:id="144" w:name="_Toc487206102"/>
      <w:bookmarkStart w:id="145" w:name="OLE_LINK1"/>
      <w:r w:rsidRPr="00D7182D">
        <w:lastRenderedPageBreak/>
        <w:t xml:space="preserve">Figure </w:t>
      </w:r>
      <w:fldSimple w:instr=" SEQ Figure \* ARABIC ">
        <w:r w:rsidR="00BE637B">
          <w:rPr>
            <w:noProof/>
          </w:rPr>
          <w:t>15</w:t>
        </w:r>
      </w:fldSimple>
      <w:bookmarkEnd w:id="143"/>
      <w:r w:rsidRPr="00D7182D">
        <w:t>. Proportion of advertised plans including more than 500GB per month (selected providers), by technology</w:t>
      </w:r>
      <w:bookmarkEnd w:id="144"/>
    </w:p>
    <w:bookmarkEnd w:id="145"/>
    <w:p w:rsidR="00934C33" w:rsidRDefault="002C1C57" w:rsidP="00934C33">
      <w:r>
        <w:rPr>
          <w:noProof/>
          <w:lang w:eastAsia="en-AU"/>
        </w:rPr>
        <w:drawing>
          <wp:inline distT="0" distB="0" distL="0" distR="0" wp14:anchorId="38E66168" wp14:editId="40796401">
            <wp:extent cx="5261610" cy="1908175"/>
            <wp:effectExtent l="0" t="0" r="0" b="0"/>
            <wp:docPr id="16" name="Picture 16" descr="This is a bar chart. The y axis shows the proportion of advertised plans including more than 500GB per month of on-peak data. The x axis shows time from the last two quarters of 2014 to the first two quarters of 2016. Shows that the proportion of advertised fixed NBN plans including more than 500GB per month of on-peak data increased from the last two quarters of 2014 to the last two quarters of 2015." title="Figure 15. Proportion of advertised plans including more than 500GB per month (selected providers), fixed NB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61610" cy="1908175"/>
                    </a:xfrm>
                    <a:prstGeom prst="rect">
                      <a:avLst/>
                    </a:prstGeom>
                    <a:noFill/>
                  </pic:spPr>
                </pic:pic>
              </a:graphicData>
            </a:graphic>
          </wp:inline>
        </w:drawing>
      </w:r>
    </w:p>
    <w:p w:rsidR="00934C33" w:rsidRDefault="002C1C57" w:rsidP="00934C33">
      <w:r>
        <w:rPr>
          <w:noProof/>
          <w:lang w:eastAsia="en-AU"/>
        </w:rPr>
        <w:drawing>
          <wp:inline distT="0" distB="0" distL="0" distR="0" wp14:anchorId="6005C050" wp14:editId="0AC3083F">
            <wp:extent cx="5261610" cy="1914525"/>
            <wp:effectExtent l="0" t="0" r="0" b="9525"/>
            <wp:docPr id="19" name="Picture 19" descr="This is a bar chart. The y axis shows the proportion of advertised plans including more than 500GB per month of on-peak data. The x axis shows time from the last two quarters of 2014 to the first two quarters of 2016. Shows that the proportion of advertised on-net ADSL plans including more than 500GB per month of on-peak data has increased." title="Figure 15. Proportion of advertised plans including more than 500GB per month (selected providers), on-net ADS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61610" cy="1914525"/>
                    </a:xfrm>
                    <a:prstGeom prst="rect">
                      <a:avLst/>
                    </a:prstGeom>
                    <a:noFill/>
                  </pic:spPr>
                </pic:pic>
              </a:graphicData>
            </a:graphic>
          </wp:inline>
        </w:drawing>
      </w:r>
    </w:p>
    <w:p w:rsidR="00934C33" w:rsidRDefault="002C1C57" w:rsidP="00934C33">
      <w:r>
        <w:rPr>
          <w:noProof/>
          <w:lang w:eastAsia="en-AU"/>
        </w:rPr>
        <w:drawing>
          <wp:inline distT="0" distB="0" distL="0" distR="0" wp14:anchorId="2975DE92" wp14:editId="5849264C">
            <wp:extent cx="5261610" cy="2158365"/>
            <wp:effectExtent l="0" t="0" r="0" b="0"/>
            <wp:docPr id="22" name="Picture 22" descr="This is a bar chart. The y axis shows the proportion of advertised plans including more than 500GB per month of on-peak data. The x axis shows time from the last two quarters of 2014 to the first two quarters of 2016. Shows that the proportion of advertised off-net ADSL plans including more than 500GB per month of on-peak data has increased." title="Figure 15. Proportion of advertised plans including more than 500GB per month (selected providers), off-net ADS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61610" cy="2158365"/>
                    </a:xfrm>
                    <a:prstGeom prst="rect">
                      <a:avLst/>
                    </a:prstGeom>
                    <a:noFill/>
                  </pic:spPr>
                </pic:pic>
              </a:graphicData>
            </a:graphic>
          </wp:inline>
        </w:drawing>
      </w:r>
    </w:p>
    <w:p w:rsidR="000C30DA" w:rsidRPr="00147E42" w:rsidRDefault="000C30DA" w:rsidP="00934C33">
      <w:pPr>
        <w:pStyle w:val="NoteSource"/>
      </w:pPr>
      <w:r>
        <w:lastRenderedPageBreak/>
        <w:t>Source.</w:t>
      </w:r>
      <w:r w:rsidRPr="00FD43AD">
        <w:t xml:space="preserve"> </w:t>
      </w:r>
      <w:r>
        <w:t>Advertised service plan data compiled by the ACCC. Includes fixed bundles (phone and internet) advertised by the following retail service providers:</w:t>
      </w:r>
      <w:r w:rsidRPr="00FD43AD">
        <w:t xml:space="preserve"> Telstra, Belong, Optus, TPG, iiNet and iPrimus. </w:t>
      </w:r>
    </w:p>
    <w:p w:rsidR="000C30DA" w:rsidRDefault="000C30DA" w:rsidP="000C30DA">
      <w:pPr>
        <w:pStyle w:val="NoteSource"/>
        <w:spacing w:after="240"/>
      </w:pPr>
      <w:r>
        <w:t>Notes. Large plans included more than 500GB per month of on-peak data, or unlimited data. Off-net plans include price of Telstra connection at Zone 2 and 3 exchange. Some providers are not available on all types of connection.</w:t>
      </w:r>
    </w:p>
    <w:p w:rsidR="000C30DA" w:rsidRDefault="000C30DA" w:rsidP="000C30DA">
      <w:pPr>
        <w:pStyle w:val="Heading3"/>
      </w:pPr>
      <w:bookmarkStart w:id="146" w:name="_Toc482281086"/>
      <w:bookmarkStart w:id="147" w:name="_Toc482283313"/>
      <w:bookmarkStart w:id="148" w:name="_Toc482284177"/>
      <w:bookmarkStart w:id="149" w:name="_Toc482284618"/>
      <w:bookmarkStart w:id="150" w:name="_Toc482343413"/>
      <w:bookmarkStart w:id="151" w:name="_Toc482363849"/>
      <w:bookmarkStart w:id="152" w:name="_Toc482617449"/>
      <w:bookmarkStart w:id="153" w:name="_Toc482624088"/>
      <w:bookmarkStart w:id="154" w:name="_Toc482956636"/>
      <w:bookmarkStart w:id="155" w:name="_Toc486867510"/>
      <w:bookmarkStart w:id="156" w:name="_Toc487206053"/>
      <w:r>
        <w:t>Prices of entry-level broadband bundle plans are stable, but with increased data inclusions for some plans</w:t>
      </w:r>
      <w:bookmarkEnd w:id="146"/>
      <w:bookmarkEnd w:id="147"/>
      <w:bookmarkEnd w:id="148"/>
      <w:bookmarkEnd w:id="149"/>
      <w:bookmarkEnd w:id="150"/>
      <w:bookmarkEnd w:id="151"/>
      <w:bookmarkEnd w:id="152"/>
      <w:bookmarkEnd w:id="153"/>
      <w:bookmarkEnd w:id="154"/>
      <w:bookmarkEnd w:id="155"/>
      <w:bookmarkEnd w:id="156"/>
    </w:p>
    <w:p w:rsidR="000C30DA" w:rsidRDefault="000C30DA" w:rsidP="000C30DA">
      <w:r>
        <w:t>Low-income or low-demand consumers have seen the price of entry-level plans fall in real terms. Entry</w:t>
      </w:r>
      <w:r w:rsidR="0059220B">
        <w:noBreakHyphen/>
      </w:r>
      <w:r>
        <w:t>level broadband bundles are defined as the cheapest plan including at least 40GB per month offered by each provider included in the survey.</w:t>
      </w:r>
    </w:p>
    <w:p w:rsidR="000C30DA" w:rsidRDefault="000C30DA" w:rsidP="000C30DA">
      <w:r>
        <w:t>Monthly nominal prices for entry-level plans remained relatively constant over the period from June 2014 to June 2016 (</w:t>
      </w:r>
      <w:r w:rsidRPr="001F0930">
        <w:fldChar w:fldCharType="begin"/>
      </w:r>
      <w:r w:rsidRPr="001F0930">
        <w:instrText xml:space="preserve"> REF _Ref481766888 \h  \* MERGEFORMAT </w:instrText>
      </w:r>
      <w:r w:rsidRPr="001F0930">
        <w:fldChar w:fldCharType="separate"/>
      </w:r>
      <w:r w:rsidR="00BE637B" w:rsidRPr="001F0930">
        <w:t xml:space="preserve">Figure </w:t>
      </w:r>
      <w:r w:rsidR="00BE637B">
        <w:t>16</w:t>
      </w:r>
      <w:r w:rsidRPr="001F0930">
        <w:fldChar w:fldCharType="end"/>
      </w:r>
      <w:r>
        <w:t xml:space="preserve">), which means prices have declined when adjusted for inflation. In terms of data inclusions, some of these consumers are better off as some providers have increased data allowances for entry-level plans over the period. </w:t>
      </w:r>
    </w:p>
    <w:p w:rsidR="000C30DA" w:rsidRDefault="000C30DA" w:rsidP="000C30DA">
      <w:r>
        <w:t>Off-net ADSL entry-level plans were generally more expensive than on-net ADSL and fixed NBN plans over this period.</w:t>
      </w:r>
    </w:p>
    <w:p w:rsidR="000C30DA" w:rsidRDefault="000C30DA" w:rsidP="00934C33">
      <w:pPr>
        <w:pStyle w:val="Tablefigureheading"/>
      </w:pPr>
      <w:bookmarkStart w:id="157" w:name="_Ref481766888"/>
      <w:bookmarkStart w:id="158" w:name="_Toc487206103"/>
      <w:bookmarkStart w:id="159" w:name="OLE_LINK2"/>
      <w:r w:rsidRPr="001F0930">
        <w:t xml:space="preserve">Figure </w:t>
      </w:r>
      <w:fldSimple w:instr=" SEQ Figure \* ARABIC ">
        <w:r w:rsidR="00BE637B">
          <w:rPr>
            <w:noProof/>
          </w:rPr>
          <w:t>16</w:t>
        </w:r>
      </w:fldSimple>
      <w:bookmarkEnd w:id="157"/>
      <w:r w:rsidRPr="001F0930">
        <w:t>. Average price and price range for entry-level fixed broadband bundles (selected providers) over the period June 2014 to June 2016, by technology</w:t>
      </w:r>
      <w:bookmarkEnd w:id="158"/>
    </w:p>
    <w:bookmarkEnd w:id="159"/>
    <w:p w:rsidR="006A06F9" w:rsidRDefault="00604E4D" w:rsidP="006A06F9">
      <w:r>
        <w:rPr>
          <w:noProof/>
          <w:lang w:eastAsia="en-AU"/>
        </w:rPr>
        <w:drawing>
          <wp:inline distT="0" distB="0" distL="0" distR="0" wp14:anchorId="57F2D8E2" wp14:editId="69A20F5B">
            <wp:extent cx="5578475" cy="1713230"/>
            <wp:effectExtent l="0" t="0" r="3175" b="1270"/>
            <wp:docPr id="23" name="Picture 23" descr="This is a line chart. The y axis shows average price. The x axis shows time from June 2014 to June 2016. Shows that average monthly nominal prices for entry-level fixed NBN plans remained relatively constant over the period from June 2014 to June 2016." title="Figure 16. Average price and price range for entry-level fixed broadband bundles (selected providers) over the period June 2014 to June 2016, fixed NB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78475" cy="1713230"/>
                    </a:xfrm>
                    <a:prstGeom prst="rect">
                      <a:avLst/>
                    </a:prstGeom>
                    <a:noFill/>
                  </pic:spPr>
                </pic:pic>
              </a:graphicData>
            </a:graphic>
          </wp:inline>
        </w:drawing>
      </w:r>
    </w:p>
    <w:p w:rsidR="006A06F9" w:rsidRDefault="00604E4D" w:rsidP="006A06F9">
      <w:r>
        <w:rPr>
          <w:noProof/>
          <w:lang w:eastAsia="en-AU"/>
        </w:rPr>
        <w:lastRenderedPageBreak/>
        <w:drawing>
          <wp:inline distT="0" distB="0" distL="0" distR="0" wp14:anchorId="5582A314" wp14:editId="680762A6">
            <wp:extent cx="5578475" cy="1749425"/>
            <wp:effectExtent l="0" t="0" r="3175" b="3175"/>
            <wp:docPr id="24" name="Picture 24" descr="This is a line chart. The y axis shows average price. The x axis shows time from June 2014 to June 2016. Shows that average monthly nominal prices for entry-level on-net ADSL plans remained relatively constant over the period from June 2014 to June 2016." title="Figure 16. Average price and price range for entry-level fixed broadband bundles (selected providers) over the period June 2014 to June 2016, on-net ADS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78475" cy="1749425"/>
                    </a:xfrm>
                    <a:prstGeom prst="rect">
                      <a:avLst/>
                    </a:prstGeom>
                    <a:noFill/>
                  </pic:spPr>
                </pic:pic>
              </a:graphicData>
            </a:graphic>
          </wp:inline>
        </w:drawing>
      </w:r>
    </w:p>
    <w:p w:rsidR="006A06F9" w:rsidRPr="006A06F9" w:rsidRDefault="00604E4D" w:rsidP="006A06F9">
      <w:r>
        <w:rPr>
          <w:noProof/>
          <w:lang w:eastAsia="en-AU"/>
        </w:rPr>
        <w:drawing>
          <wp:inline distT="0" distB="0" distL="0" distR="0" wp14:anchorId="2E7FD191" wp14:editId="06162EE9">
            <wp:extent cx="5736590" cy="2304415"/>
            <wp:effectExtent l="0" t="0" r="0" b="635"/>
            <wp:docPr id="25" name="Picture 25" descr="This is a line chart. The y axis shows average price. The x axis shows time from June 2014 to June 2016. Shows that average monthly nominal prices for entry-level off-net ADSL plans remained relatively constant over the period from June 2014 to June 2016." title="Figure 16. Average price and price range for entry-level fixed broadband bundles (selected providers) over the period June 2014 to June 2016, off-net ADS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36590" cy="2304415"/>
                    </a:xfrm>
                    <a:prstGeom prst="rect">
                      <a:avLst/>
                    </a:prstGeom>
                    <a:noFill/>
                  </pic:spPr>
                </pic:pic>
              </a:graphicData>
            </a:graphic>
          </wp:inline>
        </w:drawing>
      </w:r>
    </w:p>
    <w:p w:rsidR="000C30DA" w:rsidRPr="003E0CE9" w:rsidRDefault="000C30DA" w:rsidP="000C30DA">
      <w:pPr>
        <w:pStyle w:val="NoteSource"/>
      </w:pPr>
      <w:r>
        <w:t>Source. Advertised service plan data compiled by the ACCC. Includes fixed bundles (phone and internet) advertised by the following retail service providers: Telstra, Belong,</w:t>
      </w:r>
      <w:r w:rsidR="00DA4FBA">
        <w:t xml:space="preserve"> Optus, TPG, iiNet and iPrimus.</w:t>
      </w:r>
    </w:p>
    <w:p w:rsidR="000C30DA" w:rsidRDefault="000C30DA" w:rsidP="000C30DA">
      <w:pPr>
        <w:pStyle w:val="NoteSource"/>
        <w:keepNext w:val="0"/>
        <w:spacing w:after="240"/>
      </w:pPr>
      <w:r>
        <w:t>Notes. Entry-level plans defined as the cheapest bundle including at least 40GB data per month of on-peak data for each provider. Prices have not been adjusted for inflation. Off-net plans include connections at Zone 2 and 3 exchanges for Telstra and Belong. Some providers are not available on all types of connection.</w:t>
      </w:r>
    </w:p>
    <w:p w:rsidR="000C30DA" w:rsidRDefault="000C30DA" w:rsidP="000C30DA">
      <w:pPr>
        <w:pStyle w:val="Heading2"/>
      </w:pPr>
      <w:bookmarkStart w:id="160" w:name="_Toc482283314"/>
      <w:bookmarkStart w:id="161" w:name="_Toc482284178"/>
      <w:bookmarkStart w:id="162" w:name="_Toc482284619"/>
      <w:bookmarkStart w:id="163" w:name="_Toc482343414"/>
      <w:bookmarkStart w:id="164" w:name="_Toc482363850"/>
      <w:bookmarkStart w:id="165" w:name="_Toc482617450"/>
      <w:bookmarkStart w:id="166" w:name="_Toc482624089"/>
      <w:bookmarkStart w:id="167" w:name="_Toc482956637"/>
      <w:bookmarkStart w:id="168" w:name="_Toc486867511"/>
      <w:bookmarkStart w:id="169" w:name="_Toc487206054"/>
      <w:bookmarkStart w:id="170" w:name="_Toc482281087"/>
      <w:r>
        <w:t>Affordability of mobile services</w:t>
      </w:r>
      <w:bookmarkEnd w:id="160"/>
      <w:bookmarkEnd w:id="161"/>
      <w:bookmarkEnd w:id="162"/>
      <w:bookmarkEnd w:id="163"/>
      <w:bookmarkEnd w:id="164"/>
      <w:bookmarkEnd w:id="165"/>
      <w:bookmarkEnd w:id="166"/>
      <w:bookmarkEnd w:id="167"/>
      <w:bookmarkEnd w:id="168"/>
      <w:bookmarkEnd w:id="169"/>
    </w:p>
    <w:p w:rsidR="000C30DA" w:rsidRDefault="000C30DA" w:rsidP="000C30DA">
      <w:pPr>
        <w:pStyle w:val="Heading3"/>
      </w:pPr>
      <w:bookmarkStart w:id="171" w:name="_Toc482283315"/>
      <w:bookmarkStart w:id="172" w:name="_Toc482617451"/>
      <w:bookmarkStart w:id="173" w:name="_Toc482284179"/>
      <w:bookmarkStart w:id="174" w:name="_Toc482284620"/>
      <w:bookmarkStart w:id="175" w:name="_Toc482343415"/>
      <w:bookmarkStart w:id="176" w:name="_Toc482363851"/>
      <w:bookmarkStart w:id="177" w:name="_Toc482624090"/>
      <w:bookmarkStart w:id="178" w:name="_Toc482956638"/>
      <w:bookmarkStart w:id="179" w:name="_Toc486867512"/>
      <w:bookmarkStart w:id="180" w:name="_Toc487206055"/>
      <w:r>
        <w:t>There is a wide range of options for mobile customers, including at lower price points</w:t>
      </w:r>
      <w:bookmarkEnd w:id="170"/>
      <w:bookmarkEnd w:id="171"/>
      <w:bookmarkEnd w:id="172"/>
      <w:bookmarkEnd w:id="173"/>
      <w:bookmarkEnd w:id="174"/>
      <w:bookmarkEnd w:id="175"/>
      <w:bookmarkEnd w:id="176"/>
      <w:bookmarkEnd w:id="177"/>
      <w:bookmarkEnd w:id="178"/>
      <w:bookmarkEnd w:id="179"/>
      <w:bookmarkEnd w:id="180"/>
    </w:p>
    <w:p w:rsidR="000C30DA" w:rsidRPr="00F2486D" w:rsidRDefault="000C30DA" w:rsidP="000C30DA">
      <w:r>
        <w:t>Most mobile customers enjoy substantial choice when selecting a mobile plan. As at May 2017, the range of mobile services included pre and post-paid plans, at various price points, and with a range of data and voice inclusions. Customers who can access services from multiple mobile networks are better placed to tailor their choice of plan to suit their particular data and call needs.</w:t>
      </w:r>
    </w:p>
    <w:p w:rsidR="000C30DA" w:rsidRPr="00253A8A" w:rsidRDefault="000C30DA" w:rsidP="000C30DA">
      <w:r>
        <w:lastRenderedPageBreak/>
        <w:t>The amount of data included in a plan tends to drive its price, with a strong positive relationship between price and data inclusions (</w:t>
      </w:r>
      <w:r w:rsidRPr="00712C79">
        <w:fldChar w:fldCharType="begin"/>
      </w:r>
      <w:r w:rsidRPr="00FC7854">
        <w:instrText xml:space="preserve"> REF _Ref482199897 \h </w:instrText>
      </w:r>
      <w:r w:rsidRPr="00503571">
        <w:instrText xml:space="preserve"> \* MERGEFORMAT </w:instrText>
      </w:r>
      <w:r w:rsidRPr="00712C79">
        <w:fldChar w:fldCharType="separate"/>
      </w:r>
      <w:r w:rsidR="00BE637B" w:rsidRPr="00D7182D">
        <w:t xml:space="preserve">Figure </w:t>
      </w:r>
      <w:r w:rsidR="00BE637B">
        <w:rPr>
          <w:noProof/>
        </w:rPr>
        <w:t>17</w:t>
      </w:r>
      <w:r w:rsidRPr="00712C79">
        <w:fldChar w:fldCharType="end"/>
      </w:r>
      <w:r>
        <w:t>). There is also a strong relationship between data inclusions and the number of plans available to consumers. For instance, consumers with average data requirements–around 2GB per month–have the greatest choice, with a number of products offered at lower price points.</w:t>
      </w:r>
      <w:r>
        <w:rPr>
          <w:rStyle w:val="EndnoteReference"/>
        </w:rPr>
        <w:endnoteReference w:id="16"/>
      </w:r>
      <w:r>
        <w:t xml:space="preserve"> L</w:t>
      </w:r>
      <w:r w:rsidRPr="008062A4">
        <w:t>arge data users have more limited choice</w:t>
      </w:r>
      <w:r>
        <w:t>, with fewer plans available providing more than 12GB per month.</w:t>
      </w:r>
    </w:p>
    <w:p w:rsidR="000C30DA" w:rsidRDefault="000C30DA" w:rsidP="006A06F9">
      <w:pPr>
        <w:rPr>
          <w:b/>
        </w:rPr>
      </w:pPr>
      <w:r w:rsidRPr="00253A8A">
        <w:t xml:space="preserve">The relationship between </w:t>
      </w:r>
      <w:r>
        <w:t xml:space="preserve">a plan’s </w:t>
      </w:r>
      <w:r w:rsidRPr="00253A8A">
        <w:t xml:space="preserve">monthly price and </w:t>
      </w:r>
      <w:r>
        <w:t xml:space="preserve">its </w:t>
      </w:r>
      <w:r w:rsidRPr="00253A8A">
        <w:t>call inclusions is less clear. Unlimited calls are common, being included in more than half of the plans surveyed. Unlimited calls are a standard feature of</w:t>
      </w:r>
      <w:r>
        <w:t xml:space="preserve"> </w:t>
      </w:r>
      <w:r w:rsidRPr="00253A8A">
        <w:t>plans with large data inclusions, but are also availabl</w:t>
      </w:r>
      <w:r>
        <w:t>e at low</w:t>
      </w:r>
      <w:r w:rsidR="006600CE">
        <w:t>er</w:t>
      </w:r>
      <w:r>
        <w:t xml:space="preserve"> monthly costs ($25</w:t>
      </w:r>
      <w:r w:rsidRPr="00253A8A">
        <w:t xml:space="preserve">) </w:t>
      </w:r>
      <w:r w:rsidRPr="000B6F42">
        <w:t>(</w:t>
      </w:r>
      <w:r w:rsidRPr="000B6F42">
        <w:rPr>
          <w:b/>
        </w:rPr>
        <w:fldChar w:fldCharType="begin"/>
      </w:r>
      <w:r w:rsidRPr="000B6F42">
        <w:instrText xml:space="preserve"> REF _Ref482199897 \h  \* MERGEFORMAT </w:instrText>
      </w:r>
      <w:r w:rsidRPr="000B6F42">
        <w:rPr>
          <w:b/>
        </w:rPr>
      </w:r>
      <w:r w:rsidRPr="000B6F42">
        <w:rPr>
          <w:b/>
        </w:rPr>
        <w:fldChar w:fldCharType="separate"/>
      </w:r>
      <w:r w:rsidR="00BE637B" w:rsidRPr="00D7182D">
        <w:t xml:space="preserve">Figure </w:t>
      </w:r>
      <w:r w:rsidR="00BE637B">
        <w:t>17</w:t>
      </w:r>
      <w:r w:rsidRPr="000B6F42">
        <w:rPr>
          <w:b/>
        </w:rPr>
        <w:fldChar w:fldCharType="end"/>
      </w:r>
      <w:r>
        <w:t xml:space="preserve">). </w:t>
      </w:r>
      <w:r w:rsidRPr="00253A8A">
        <w:t>This suggests customers can cheaply access unlimited calls, irrespective of their data use.</w:t>
      </w:r>
    </w:p>
    <w:p w:rsidR="000C30DA" w:rsidRDefault="000C30DA" w:rsidP="00934C33">
      <w:pPr>
        <w:pStyle w:val="Tablefigureheading"/>
      </w:pPr>
      <w:bookmarkStart w:id="181" w:name="_Ref482199897"/>
      <w:bookmarkStart w:id="182" w:name="_Ref482199881"/>
      <w:bookmarkStart w:id="183" w:name="_Toc487206104"/>
      <w:r w:rsidRPr="00D7182D">
        <w:t xml:space="preserve">Figure </w:t>
      </w:r>
      <w:fldSimple w:instr=" SEQ Figure \* ARABIC ">
        <w:r w:rsidR="00BE637B">
          <w:rPr>
            <w:noProof/>
          </w:rPr>
          <w:t>17</w:t>
        </w:r>
      </w:fldSimple>
      <w:bookmarkEnd w:id="181"/>
      <w:r w:rsidRPr="00D7182D">
        <w:t xml:space="preserve">. </w:t>
      </w:r>
      <w:r w:rsidRPr="007F50E4">
        <w:t>Price vs included data, by limited or unlimited calls</w:t>
      </w:r>
      <w:bookmarkEnd w:id="182"/>
      <w:bookmarkEnd w:id="183"/>
    </w:p>
    <w:p w:rsidR="000C30DA" w:rsidRPr="00B02DBF" w:rsidRDefault="006D125A" w:rsidP="000C30DA">
      <w:r>
        <w:rPr>
          <w:noProof/>
          <w:lang w:eastAsia="en-AU"/>
        </w:rPr>
        <w:drawing>
          <wp:inline distT="0" distB="0" distL="0" distR="0" wp14:anchorId="0A9D7C26" wp14:editId="7FE00743">
            <wp:extent cx="5395022" cy="3520440"/>
            <wp:effectExtent l="0" t="0" r="0" b="3810"/>
            <wp:docPr id="26" name="Picture 26" descr="This is a scatter plot. The y axis shows recharge or monthly price. The x axis shows included data per month. Shows that the amount of data included in a plan tends to drive its price, with a strong positive relationship between price and data inclusions. Shows that unlimited calls are a standard feature of plans with large data inclusions, but are also available at low monthly costs ($25)." title="Figure 17. Price vs included data, by limited or unlimited ca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65247" cy="3566264"/>
                    </a:xfrm>
                    <a:prstGeom prst="rect">
                      <a:avLst/>
                    </a:prstGeom>
                    <a:noFill/>
                  </pic:spPr>
                </pic:pic>
              </a:graphicData>
            </a:graphic>
          </wp:inline>
        </w:drawing>
      </w:r>
    </w:p>
    <w:p w:rsidR="000C30DA" w:rsidRPr="00141C0E" w:rsidRDefault="000C30DA" w:rsidP="006A06F9">
      <w:pPr>
        <w:pStyle w:val="NoteSource"/>
        <w:rPr>
          <w:b/>
        </w:rPr>
      </w:pPr>
      <w:r>
        <w:t>Source.</w:t>
      </w:r>
      <w:r w:rsidRPr="001F0930">
        <w:t xml:space="preserve"> BCAR survey of advertised </w:t>
      </w:r>
      <w:r>
        <w:t>mobile</w:t>
      </w:r>
      <w:r w:rsidRPr="001F0930">
        <w:t xml:space="preserve"> plans offered by </w:t>
      </w:r>
      <w:r w:rsidRPr="00D7182D">
        <w:t xml:space="preserve">Telstra, Optus, Vodafone, Amaysim, Virgin, Aldi, Boost, TPG. Excludes </w:t>
      </w:r>
      <w:r>
        <w:t>32</w:t>
      </w:r>
      <w:r w:rsidRPr="00D7182D">
        <w:t xml:space="preserve"> prepaid plans with an expiry period of more than 1 month.</w:t>
      </w:r>
    </w:p>
    <w:p w:rsidR="000C30DA" w:rsidRPr="00141C0E" w:rsidRDefault="000C30DA" w:rsidP="00DA4FBA">
      <w:pPr>
        <w:pStyle w:val="NoteSource"/>
        <w:keepNext w:val="0"/>
        <w:rPr>
          <w:b/>
        </w:rPr>
      </w:pPr>
      <w:r w:rsidRPr="00D7182D">
        <w:t>Note</w:t>
      </w:r>
      <w:r>
        <w:t>s.</w:t>
      </w:r>
      <w:r w:rsidRPr="00D7182D">
        <w:t xml:space="preserve"> Plans advertised</w:t>
      </w:r>
      <w:r>
        <w:t xml:space="preserve"> on provider websites</w:t>
      </w:r>
      <w:r w:rsidRPr="00D7182D">
        <w:t xml:space="preserve"> in </w:t>
      </w:r>
      <w:r>
        <w:t>May</w:t>
      </w:r>
      <w:r w:rsidRPr="00D7182D">
        <w:t xml:space="preserve">. Blue circles are plans that include unlimited calls, other plans are red circles. </w:t>
      </w:r>
      <w:r w:rsidR="00BC1902">
        <w:t xml:space="preserve">Darker circles indicate numerous plans at the same data point. </w:t>
      </w:r>
      <w:r w:rsidRPr="00D7182D">
        <w:t xml:space="preserve">Plans closest to the bottom of the </w:t>
      </w:r>
      <w:r w:rsidRPr="00D7182D">
        <w:lastRenderedPageBreak/>
        <w:t xml:space="preserve">chart are the cheapest option for each amount of included data. The vertical </w:t>
      </w:r>
      <w:r>
        <w:t>blue</w:t>
      </w:r>
      <w:r w:rsidRPr="00D7182D">
        <w:t xml:space="preserve"> line is the average Australian mobile consumption as at December 2016 (ABS 8153.0 Internet Activity, Australia, December 2016).</w:t>
      </w:r>
      <w:r>
        <w:t xml:space="preserve"> Excludes plans with bundled hardware, such as an included handset.</w:t>
      </w:r>
    </w:p>
    <w:p w:rsidR="000C30DA" w:rsidRDefault="000C30DA" w:rsidP="000C30DA">
      <w:r>
        <w:t>Both the price and availability of prepaid plans are crucial to the affordability of mobile services, as prepaid services are heavily used by more vulnerable groups. For example, prepaid plans are often favoured by low income customers,</w:t>
      </w:r>
      <w:r>
        <w:rPr>
          <w:rStyle w:val="EndnoteReference"/>
        </w:rPr>
        <w:endnoteReference w:id="17"/>
      </w:r>
      <w:r>
        <w:t xml:space="preserve"> often as a way to control their expenditure,</w:t>
      </w:r>
      <w:r>
        <w:rPr>
          <w:rStyle w:val="EndnoteReference"/>
        </w:rPr>
        <w:endnoteReference w:id="18"/>
      </w:r>
      <w:r>
        <w:t xml:space="preserve"> and are also accessible to customers with limited access to credit or banking services.</w:t>
      </w:r>
    </w:p>
    <w:p w:rsidR="000C30DA" w:rsidRDefault="000C30DA" w:rsidP="000C30DA">
      <w:r>
        <w:t>Consumers who require prepaid services are generally well served in terms of price and choice. In particular, prepaid products</w:t>
      </w:r>
      <w:r w:rsidRPr="009D1665">
        <w:t xml:space="preserve"> dominate the cheapest end of the market (less than $25 a month and </w:t>
      </w:r>
      <w:r>
        <w:t>2</w:t>
      </w:r>
      <w:r w:rsidRPr="009D1665">
        <w:t xml:space="preserve">GB of </w:t>
      </w:r>
      <w:r>
        <w:t xml:space="preserve">included </w:t>
      </w:r>
      <w:r w:rsidRPr="009D1665">
        <w:t>data), while post-paid offers are generally only available for $25 a month or more.</w:t>
      </w:r>
      <w:r>
        <w:t xml:space="preserve"> Consumers can also access unlimited calls on prepaid plans at a low</w:t>
      </w:r>
      <w:r w:rsidR="00B53B71">
        <w:t>er</w:t>
      </w:r>
      <w:r>
        <w:t xml:space="preserve"> monthly cost (around $30).</w:t>
      </w:r>
      <w:r w:rsidDel="00247C98">
        <w:t xml:space="preserve"> </w:t>
      </w:r>
    </w:p>
    <w:p w:rsidR="000C30DA" w:rsidRDefault="000C30DA" w:rsidP="000C30DA">
      <w:r>
        <w:t>Many prepaid plans are available with up to 12–15GB per month</w:t>
      </w:r>
      <w:r w:rsidR="00C02E34">
        <w:t xml:space="preserve"> </w:t>
      </w:r>
      <w:r>
        <w:t>(</w:t>
      </w:r>
      <w:r w:rsidRPr="00C02E34">
        <w:rPr>
          <w:rStyle w:val="Hyperlink"/>
        </w:rPr>
        <w:fldChar w:fldCharType="begin"/>
      </w:r>
      <w:r w:rsidRPr="00C02E34">
        <w:rPr>
          <w:rStyle w:val="Hyperlink"/>
        </w:rPr>
        <w:instrText xml:space="preserve"> REF _Ref482274938 \h  \* MERGEFORMAT </w:instrText>
      </w:r>
      <w:r w:rsidRPr="00C02E34">
        <w:rPr>
          <w:rStyle w:val="Hyperlink"/>
        </w:rPr>
      </w:r>
      <w:r w:rsidRPr="00C02E34">
        <w:rPr>
          <w:rStyle w:val="Hyperlink"/>
        </w:rPr>
        <w:fldChar w:fldCharType="separate"/>
      </w:r>
      <w:r w:rsidR="00BE637B" w:rsidRPr="00C02E34">
        <w:rPr>
          <w:rStyle w:val="Hyperlink"/>
        </w:rPr>
        <w:t>Figure 18</w:t>
      </w:r>
      <w:r w:rsidRPr="00C02E34">
        <w:rPr>
          <w:rStyle w:val="Hyperlink"/>
        </w:rPr>
        <w:fldChar w:fldCharType="end"/>
      </w:r>
      <w:r>
        <w:t>) at comparable prices to post-paid services. However, prepaid plans tend not to be available with large amounts of data (inclusions greater than 15GB). Large mobile data users are therefore limited to post-paid products.</w:t>
      </w:r>
    </w:p>
    <w:p w:rsidR="000C30DA" w:rsidRDefault="000C30DA" w:rsidP="000C30DA">
      <w:r>
        <w:t>A number of prepaid plans offered longer expiry periods (typically 12 months), but with more limited data and call inclusions</w:t>
      </w:r>
      <w:r w:rsidDel="00D70AE8">
        <w:t>.</w:t>
      </w:r>
      <w:r>
        <w:t xml:space="preserve"> Despite offering significantly worse value on a per-call or per-GB basis, these plans may represent a cost effective solution for extremely low use customers, as they can be used over an extended period. An analysis of some of these plans by car</w:t>
      </w:r>
      <w:r w:rsidR="00B53B71">
        <w:t>rier is at Table 2</w:t>
      </w:r>
      <w:r>
        <w:t>.</w:t>
      </w:r>
    </w:p>
    <w:p w:rsidR="000C30DA" w:rsidRDefault="000C30DA" w:rsidP="00934C33">
      <w:pPr>
        <w:pStyle w:val="Tablefigureheading"/>
      </w:pPr>
      <w:bookmarkStart w:id="184" w:name="_Ref482274938"/>
      <w:bookmarkStart w:id="185" w:name="_Toc487206105"/>
      <w:r w:rsidRPr="00D7182D">
        <w:lastRenderedPageBreak/>
        <w:t xml:space="preserve">Figure </w:t>
      </w:r>
      <w:fldSimple w:instr=" SEQ Figure \* ARABIC ">
        <w:r w:rsidR="00C02E34">
          <w:rPr>
            <w:noProof/>
          </w:rPr>
          <w:t>18</w:t>
        </w:r>
      </w:fldSimple>
      <w:bookmarkEnd w:id="184"/>
      <w:r w:rsidRPr="00D7182D">
        <w:t>. Price vs Included data, by payment type</w:t>
      </w:r>
      <w:bookmarkEnd w:id="185"/>
    </w:p>
    <w:p w:rsidR="000C30DA" w:rsidRPr="00B02DBF" w:rsidRDefault="00B20CA7" w:rsidP="000C30DA">
      <w:r>
        <w:rPr>
          <w:noProof/>
          <w:lang w:eastAsia="en-AU"/>
        </w:rPr>
        <w:drawing>
          <wp:inline distT="0" distB="0" distL="0" distR="0" wp14:anchorId="51A4D297" wp14:editId="40D83F78">
            <wp:extent cx="5736590" cy="3743325"/>
            <wp:effectExtent l="0" t="0" r="0" b="9525"/>
            <wp:docPr id="27" name="Picture 27" descr="This is a scatter plot. The y axis shows recharge or monthly price. The x axis shows included data per month. Shows that the amount of data included in a plan tends to drive its price, with a strong positive relationship between price and data inclusions. Shows that prepaid products dominate the cheapest end of the market (less than $25 a month and 2GB of included data), while post-paid offers are generally only available for $25 a month or more. Shows that many prepaid plans are available with up to 15GB per month, but prepaid plans tend not to be available with large amounts of data (inclusions greater than 15GB)." title="Figure 18. Price vs Included data, by payment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36590" cy="3743325"/>
                    </a:xfrm>
                    <a:prstGeom prst="rect">
                      <a:avLst/>
                    </a:prstGeom>
                    <a:noFill/>
                  </pic:spPr>
                </pic:pic>
              </a:graphicData>
            </a:graphic>
          </wp:inline>
        </w:drawing>
      </w:r>
    </w:p>
    <w:p w:rsidR="000C30DA" w:rsidRDefault="000C30DA" w:rsidP="00870DD3">
      <w:pPr>
        <w:pStyle w:val="NoteSource"/>
        <w:rPr>
          <w:b/>
        </w:rPr>
      </w:pPr>
      <w:r>
        <w:t>Source.</w:t>
      </w:r>
      <w:r w:rsidRPr="001F0930">
        <w:t xml:space="preserve"> BCAR survey of advertised </w:t>
      </w:r>
      <w:r>
        <w:t>mobile</w:t>
      </w:r>
      <w:r w:rsidRPr="001F0930">
        <w:t xml:space="preserve"> plans offered by </w:t>
      </w:r>
      <w:r w:rsidRPr="00D7182D">
        <w:t xml:space="preserve">Telstra, Optus, Vodafone, Amaysim, Virgin, Aldi, Boost, TPG. Excludes </w:t>
      </w:r>
      <w:r>
        <w:t>32</w:t>
      </w:r>
      <w:r w:rsidRPr="00D7182D">
        <w:t xml:space="preserve"> prepaid plans with an expiry period of more than 1 month.</w:t>
      </w:r>
    </w:p>
    <w:p w:rsidR="000C30DA" w:rsidRDefault="000C30DA" w:rsidP="00DA4FBA">
      <w:pPr>
        <w:pStyle w:val="NoteSource"/>
        <w:keepNext w:val="0"/>
      </w:pPr>
      <w:r>
        <w:t>Notes.</w:t>
      </w:r>
      <w:r w:rsidRPr="00D7182D">
        <w:t xml:space="preserve"> Plans advertised</w:t>
      </w:r>
      <w:r>
        <w:t xml:space="preserve"> on provider websites</w:t>
      </w:r>
      <w:r w:rsidRPr="00D7182D">
        <w:t xml:space="preserve"> in </w:t>
      </w:r>
      <w:r>
        <w:t>May</w:t>
      </w:r>
      <w:r w:rsidRPr="00D7182D">
        <w:t xml:space="preserve">. Blue circles are </w:t>
      </w:r>
      <w:r>
        <w:t>post-paid plans</w:t>
      </w:r>
      <w:r w:rsidRPr="00D7182D">
        <w:t xml:space="preserve">, </w:t>
      </w:r>
      <w:r>
        <w:t>prepaid</w:t>
      </w:r>
      <w:r w:rsidRPr="00D7182D">
        <w:t xml:space="preserve"> plans are red circles. </w:t>
      </w:r>
      <w:r w:rsidR="00BC1902">
        <w:t xml:space="preserve">Darker circles indicate numerous plans at the same data point. </w:t>
      </w:r>
      <w:r w:rsidRPr="00D7182D">
        <w:t xml:space="preserve">Plans closest to the bottom of the chart are the cheapest option for each amount </w:t>
      </w:r>
      <w:r>
        <w:t xml:space="preserve">of included data. The vertical blue </w:t>
      </w:r>
      <w:r w:rsidRPr="00D7182D">
        <w:t>line is the average Australian mobile consumption as at December 2016 (ABS 8153.0 Internet Activity, Australia, December 2016).</w:t>
      </w:r>
      <w:r>
        <w:t xml:space="preserve"> Excludes plans with bundled hardware, such as an included handset.</w:t>
      </w:r>
    </w:p>
    <w:p w:rsidR="000C30DA" w:rsidRDefault="000C30DA" w:rsidP="000C30DA">
      <w:pPr>
        <w:pStyle w:val="Heading3"/>
      </w:pPr>
      <w:bookmarkStart w:id="186" w:name="_Toc482283316"/>
      <w:bookmarkStart w:id="187" w:name="_Toc482284180"/>
      <w:bookmarkStart w:id="188" w:name="_Toc482284621"/>
      <w:bookmarkStart w:id="189" w:name="_Toc482343416"/>
      <w:bookmarkStart w:id="190" w:name="_Toc482363852"/>
      <w:bookmarkStart w:id="191" w:name="_Toc482617452"/>
      <w:bookmarkStart w:id="192" w:name="_Toc482624091"/>
      <w:bookmarkStart w:id="193" w:name="_Toc482956639"/>
      <w:bookmarkStart w:id="194" w:name="_Toc486867513"/>
      <w:bookmarkStart w:id="195" w:name="_Toc487206056"/>
      <w:r>
        <w:t>…</w:t>
      </w:r>
      <w:bookmarkEnd w:id="186"/>
      <w:bookmarkEnd w:id="187"/>
      <w:bookmarkEnd w:id="188"/>
      <w:bookmarkEnd w:id="189"/>
      <w:bookmarkEnd w:id="190"/>
      <w:r>
        <w:t>providing regional consumers with more choice</w:t>
      </w:r>
      <w:bookmarkEnd w:id="191"/>
      <w:bookmarkEnd w:id="192"/>
      <w:bookmarkEnd w:id="193"/>
      <w:bookmarkEnd w:id="194"/>
      <w:bookmarkEnd w:id="195"/>
    </w:p>
    <w:p w:rsidR="000C30DA" w:rsidRPr="00691207" w:rsidRDefault="000C30DA" w:rsidP="000C30DA">
      <w:r>
        <w:t>Although carriers apply nationally consistent pricing, the range of mobile products on offer varies across locations due to differences in the coverage of both m</w:t>
      </w:r>
      <w:r w:rsidRPr="00F2486D">
        <w:t xml:space="preserve">obile </w:t>
      </w:r>
      <w:r>
        <w:t>n</w:t>
      </w:r>
      <w:r w:rsidRPr="00F2486D">
        <w:t xml:space="preserve">etwork </w:t>
      </w:r>
      <w:r>
        <w:t>o</w:t>
      </w:r>
      <w:r w:rsidRPr="00F2486D">
        <w:t xml:space="preserve">perators </w:t>
      </w:r>
      <w:r>
        <w:t>(MNOs) and m</w:t>
      </w:r>
      <w:r w:rsidRPr="00F2486D">
        <w:t xml:space="preserve">obile </w:t>
      </w:r>
      <w:r>
        <w:t>v</w:t>
      </w:r>
      <w:r w:rsidRPr="00F2486D">
        <w:t xml:space="preserve">irtual </w:t>
      </w:r>
      <w:r>
        <w:t>n</w:t>
      </w:r>
      <w:r w:rsidRPr="00F2486D">
        <w:t xml:space="preserve">etwork </w:t>
      </w:r>
      <w:r>
        <w:t>o</w:t>
      </w:r>
      <w:r w:rsidRPr="00F2486D">
        <w:t>perators (MVNOs)</w:t>
      </w:r>
      <w:r>
        <w:t xml:space="preserve"> (Box 2). This variation can impact choice and affordability, particularly for regional and remote areas.</w:t>
      </w:r>
    </w:p>
    <w:p w:rsidR="000C30DA" w:rsidRDefault="000C30DA" w:rsidP="000C30DA">
      <w:r>
        <w:t xml:space="preserve">Telstra has the largest footprint of any mobile carrier, </w:t>
      </w:r>
      <w:r w:rsidRPr="00B52EF3">
        <w:t xml:space="preserve">both in terms of </w:t>
      </w:r>
      <w:r>
        <w:t>population reach (</w:t>
      </w:r>
      <w:r>
        <w:fldChar w:fldCharType="begin"/>
      </w:r>
      <w:r>
        <w:instrText xml:space="preserve"> REF _Ref482274235 \h  \* MERGEFORMAT </w:instrText>
      </w:r>
      <w:r>
        <w:fldChar w:fldCharType="separate"/>
      </w:r>
      <w:r w:rsidR="00BE637B" w:rsidRPr="00503571">
        <w:t xml:space="preserve">Table </w:t>
      </w:r>
      <w:r w:rsidR="00BE637B">
        <w:t>1</w:t>
      </w:r>
      <w:r>
        <w:fldChar w:fldCharType="end"/>
      </w:r>
      <w:r>
        <w:t>) and geographic coverage. F</w:t>
      </w:r>
      <w:r w:rsidRPr="00B52EF3">
        <w:t>or approximately 1 million km</w:t>
      </w:r>
      <w:r w:rsidRPr="00B52EF3">
        <w:rPr>
          <w:vertAlign w:val="superscript"/>
        </w:rPr>
        <w:t>2</w:t>
      </w:r>
      <w:r w:rsidRPr="00B52EF3">
        <w:t xml:space="preserve"> (around 13</w:t>
      </w:r>
      <w:r>
        <w:t xml:space="preserve"> per cent</w:t>
      </w:r>
      <w:r w:rsidRPr="00B52EF3">
        <w:t xml:space="preserve"> of Australia), Telstra is the only available </w:t>
      </w:r>
      <w:r w:rsidRPr="00B52EF3">
        <w:lastRenderedPageBreak/>
        <w:t>mobile network, although this area includes less than 1</w:t>
      </w:r>
      <w:r>
        <w:t xml:space="preserve"> per cent</w:t>
      </w:r>
      <w:r w:rsidRPr="00B52EF3">
        <w:t xml:space="preserve"> of the Australian population.</w:t>
      </w:r>
      <w:r>
        <w:rPr>
          <w:rStyle w:val="EndnoteReference"/>
        </w:rPr>
        <w:endnoteReference w:id="19"/>
      </w:r>
      <w:r>
        <w:t xml:space="preserve"> This means that some regional customers only access mobile plans provided on the Telstra network.</w:t>
      </w:r>
    </w:p>
    <w:p w:rsidR="000C30DA" w:rsidRDefault="000C30DA" w:rsidP="00870DD3">
      <w:pPr>
        <w:pStyle w:val="Tablefigureheading"/>
      </w:pPr>
      <w:bookmarkStart w:id="196" w:name="_Ref482274235"/>
      <w:bookmarkStart w:id="197" w:name="_Toc487206116"/>
      <w:r w:rsidRPr="00503571">
        <w:t xml:space="preserve">Table </w:t>
      </w:r>
      <w:fldSimple w:instr=" SEQ Table \* ARABIC ">
        <w:r w:rsidR="00BE637B">
          <w:rPr>
            <w:noProof/>
          </w:rPr>
          <w:t>1</w:t>
        </w:r>
      </w:fldSimple>
      <w:bookmarkEnd w:id="196"/>
      <w:r>
        <w:rPr>
          <w:noProof/>
        </w:rPr>
        <w:t>.</w:t>
      </w:r>
      <w:r w:rsidRPr="00503571">
        <w:t xml:space="preserve"> Mobile coverage, percentage of the Australian population, 2016</w:t>
      </w:r>
      <w:bookmarkEnd w:id="197"/>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Description w:val="Table 1. Mobile coverage, percentage of the Australian population, 2016."/>
      </w:tblPr>
      <w:tblGrid>
        <w:gridCol w:w="1701"/>
        <w:gridCol w:w="2410"/>
        <w:gridCol w:w="2551"/>
      </w:tblGrid>
      <w:tr w:rsidR="00870DD3" w:rsidTr="00870DD3">
        <w:trPr>
          <w:cantSplit/>
          <w:tblHeader/>
        </w:trPr>
        <w:tc>
          <w:tcPr>
            <w:tcW w:w="1701" w:type="dxa"/>
            <w:tcBorders>
              <w:top w:val="nil"/>
              <w:left w:val="nil"/>
              <w:bottom w:val="thickThinLargeGap" w:sz="24" w:space="0" w:color="auto"/>
              <w:right w:val="nil"/>
            </w:tcBorders>
            <w:shd w:val="clear" w:color="auto" w:fill="113652"/>
          </w:tcPr>
          <w:p w:rsidR="00870DD3" w:rsidRDefault="00870DD3" w:rsidP="00870DD3">
            <w:pPr>
              <w:pStyle w:val="Tableheading"/>
            </w:pPr>
          </w:p>
        </w:tc>
        <w:tc>
          <w:tcPr>
            <w:tcW w:w="2410" w:type="dxa"/>
            <w:tcBorders>
              <w:top w:val="nil"/>
              <w:left w:val="nil"/>
              <w:bottom w:val="thickThinLargeGap" w:sz="24" w:space="0" w:color="auto"/>
              <w:right w:val="nil"/>
            </w:tcBorders>
            <w:shd w:val="clear" w:color="auto" w:fill="113652"/>
          </w:tcPr>
          <w:p w:rsidR="00870DD3" w:rsidRDefault="00870DD3" w:rsidP="00870DD3">
            <w:pPr>
              <w:pStyle w:val="Tableheading"/>
              <w:jc w:val="center"/>
            </w:pPr>
            <w:r>
              <w:t xml:space="preserve">3G coverage </w:t>
            </w:r>
            <w:r>
              <w:br/>
              <w:t>(% of population)</w:t>
            </w:r>
          </w:p>
        </w:tc>
        <w:tc>
          <w:tcPr>
            <w:tcW w:w="2551" w:type="dxa"/>
            <w:tcBorders>
              <w:top w:val="nil"/>
              <w:left w:val="nil"/>
              <w:bottom w:val="thickThinLargeGap" w:sz="24" w:space="0" w:color="auto"/>
              <w:right w:val="nil"/>
            </w:tcBorders>
            <w:shd w:val="clear" w:color="auto" w:fill="113652"/>
          </w:tcPr>
          <w:p w:rsidR="00870DD3" w:rsidRPr="00EF0765" w:rsidRDefault="00870DD3" w:rsidP="00870DD3">
            <w:pPr>
              <w:pStyle w:val="Tableheading"/>
              <w:jc w:val="center"/>
            </w:pPr>
            <w:r>
              <w:t xml:space="preserve">4G coverage </w:t>
            </w:r>
            <w:r>
              <w:br/>
              <w:t>(% of population)</w:t>
            </w:r>
          </w:p>
        </w:tc>
      </w:tr>
      <w:tr w:rsidR="00870DD3" w:rsidTr="00870DD3">
        <w:trPr>
          <w:cantSplit/>
        </w:trPr>
        <w:tc>
          <w:tcPr>
            <w:tcW w:w="1701" w:type="dxa"/>
            <w:tcBorders>
              <w:top w:val="single" w:sz="4" w:space="0" w:color="auto"/>
              <w:left w:val="nil"/>
              <w:bottom w:val="single" w:sz="4" w:space="0" w:color="auto"/>
              <w:right w:val="nil"/>
            </w:tcBorders>
          </w:tcPr>
          <w:p w:rsidR="00870DD3" w:rsidRPr="00C25B91" w:rsidRDefault="00870DD3" w:rsidP="00870DD3">
            <w:pPr>
              <w:pStyle w:val="Tabletext"/>
            </w:pPr>
            <w:r>
              <w:t>Telstra</w:t>
            </w:r>
          </w:p>
        </w:tc>
        <w:tc>
          <w:tcPr>
            <w:tcW w:w="2410" w:type="dxa"/>
            <w:tcBorders>
              <w:top w:val="single" w:sz="4" w:space="0" w:color="auto"/>
              <w:left w:val="nil"/>
              <w:bottom w:val="single" w:sz="4" w:space="0" w:color="auto"/>
              <w:right w:val="nil"/>
            </w:tcBorders>
          </w:tcPr>
          <w:p w:rsidR="00870DD3" w:rsidRPr="00BD69B7" w:rsidRDefault="00870DD3" w:rsidP="00870DD3">
            <w:pPr>
              <w:pStyle w:val="Tabletext"/>
              <w:jc w:val="center"/>
            </w:pPr>
            <w:r>
              <w:t>99.3</w:t>
            </w:r>
          </w:p>
        </w:tc>
        <w:tc>
          <w:tcPr>
            <w:tcW w:w="2551" w:type="dxa"/>
            <w:tcBorders>
              <w:top w:val="single" w:sz="4" w:space="0" w:color="auto"/>
              <w:left w:val="nil"/>
              <w:bottom w:val="single" w:sz="4" w:space="0" w:color="auto"/>
              <w:right w:val="nil"/>
            </w:tcBorders>
          </w:tcPr>
          <w:p w:rsidR="00870DD3" w:rsidRPr="00BD69B7" w:rsidRDefault="00870DD3" w:rsidP="00870DD3">
            <w:pPr>
              <w:pStyle w:val="Tabletext"/>
              <w:jc w:val="center"/>
              <w:rPr>
                <w:i/>
              </w:rPr>
            </w:pPr>
            <w:r>
              <w:t>98</w:t>
            </w:r>
          </w:p>
        </w:tc>
      </w:tr>
      <w:tr w:rsidR="00870DD3" w:rsidTr="00870DD3">
        <w:trPr>
          <w:cantSplit/>
        </w:trPr>
        <w:tc>
          <w:tcPr>
            <w:tcW w:w="1701" w:type="dxa"/>
            <w:tcBorders>
              <w:top w:val="single" w:sz="4" w:space="0" w:color="auto"/>
              <w:left w:val="nil"/>
              <w:bottom w:val="single" w:sz="4" w:space="0" w:color="auto"/>
              <w:right w:val="nil"/>
            </w:tcBorders>
          </w:tcPr>
          <w:p w:rsidR="00870DD3" w:rsidRPr="00C25B91" w:rsidRDefault="00870DD3" w:rsidP="00870DD3">
            <w:pPr>
              <w:pStyle w:val="Tabletext"/>
            </w:pPr>
            <w:r>
              <w:t>Optus</w:t>
            </w:r>
          </w:p>
        </w:tc>
        <w:tc>
          <w:tcPr>
            <w:tcW w:w="2410" w:type="dxa"/>
            <w:tcBorders>
              <w:top w:val="single" w:sz="4" w:space="0" w:color="auto"/>
              <w:left w:val="nil"/>
              <w:bottom w:val="single" w:sz="4" w:space="0" w:color="auto"/>
              <w:right w:val="nil"/>
            </w:tcBorders>
          </w:tcPr>
          <w:p w:rsidR="00870DD3" w:rsidRPr="00BD69B7" w:rsidRDefault="00870DD3" w:rsidP="00870DD3">
            <w:pPr>
              <w:pStyle w:val="Tabletext"/>
              <w:jc w:val="center"/>
            </w:pPr>
            <w:r>
              <w:t>98.5</w:t>
            </w:r>
          </w:p>
        </w:tc>
        <w:tc>
          <w:tcPr>
            <w:tcW w:w="2551" w:type="dxa"/>
            <w:tcBorders>
              <w:top w:val="single" w:sz="4" w:space="0" w:color="auto"/>
              <w:left w:val="nil"/>
              <w:bottom w:val="single" w:sz="4" w:space="0" w:color="auto"/>
              <w:right w:val="nil"/>
            </w:tcBorders>
          </w:tcPr>
          <w:p w:rsidR="00870DD3" w:rsidRPr="00BD69B7" w:rsidRDefault="00870DD3" w:rsidP="00870DD3">
            <w:pPr>
              <w:pStyle w:val="Tabletext"/>
              <w:jc w:val="center"/>
              <w:rPr>
                <w:i/>
              </w:rPr>
            </w:pPr>
            <w:r>
              <w:t>95</w:t>
            </w:r>
          </w:p>
        </w:tc>
      </w:tr>
      <w:tr w:rsidR="00870DD3" w:rsidTr="00870DD3">
        <w:trPr>
          <w:cantSplit/>
        </w:trPr>
        <w:tc>
          <w:tcPr>
            <w:tcW w:w="1701" w:type="dxa"/>
            <w:tcBorders>
              <w:top w:val="single" w:sz="4" w:space="0" w:color="auto"/>
              <w:left w:val="nil"/>
              <w:bottom w:val="single" w:sz="18" w:space="0" w:color="auto"/>
              <w:right w:val="nil"/>
            </w:tcBorders>
          </w:tcPr>
          <w:p w:rsidR="00870DD3" w:rsidRPr="00C25B91" w:rsidRDefault="00870DD3" w:rsidP="00870DD3">
            <w:pPr>
              <w:pStyle w:val="Tabletext"/>
            </w:pPr>
            <w:r>
              <w:t>VHA (Vodafone)</w:t>
            </w:r>
          </w:p>
        </w:tc>
        <w:tc>
          <w:tcPr>
            <w:tcW w:w="2410" w:type="dxa"/>
            <w:tcBorders>
              <w:top w:val="single" w:sz="4" w:space="0" w:color="auto"/>
              <w:left w:val="nil"/>
              <w:bottom w:val="single" w:sz="18" w:space="0" w:color="auto"/>
              <w:right w:val="nil"/>
            </w:tcBorders>
          </w:tcPr>
          <w:p w:rsidR="00870DD3" w:rsidRPr="00BD69B7" w:rsidRDefault="00870DD3" w:rsidP="00870DD3">
            <w:pPr>
              <w:pStyle w:val="Tabletext"/>
              <w:jc w:val="center"/>
            </w:pPr>
            <w:r>
              <w:t>97</w:t>
            </w:r>
          </w:p>
        </w:tc>
        <w:tc>
          <w:tcPr>
            <w:tcW w:w="2551" w:type="dxa"/>
            <w:tcBorders>
              <w:top w:val="single" w:sz="4" w:space="0" w:color="auto"/>
              <w:left w:val="nil"/>
              <w:bottom w:val="single" w:sz="18" w:space="0" w:color="auto"/>
              <w:right w:val="nil"/>
            </w:tcBorders>
          </w:tcPr>
          <w:p w:rsidR="00870DD3" w:rsidRPr="00BD69B7" w:rsidRDefault="00870DD3" w:rsidP="00870DD3">
            <w:pPr>
              <w:pStyle w:val="Tabletext"/>
              <w:jc w:val="center"/>
            </w:pPr>
            <w:r>
              <w:t>96.9</w:t>
            </w:r>
          </w:p>
        </w:tc>
      </w:tr>
    </w:tbl>
    <w:p w:rsidR="000C30DA" w:rsidRPr="001C1A5A" w:rsidRDefault="000C30DA" w:rsidP="00870DD3">
      <w:pPr>
        <w:pStyle w:val="NoteSource"/>
      </w:pPr>
      <w:r>
        <w:t>Source.</w:t>
      </w:r>
      <w:r w:rsidRPr="001C1A5A">
        <w:t xml:space="preserve"> </w:t>
      </w:r>
      <w:r w:rsidRPr="006977BD">
        <w:t>ACCC (2016), Domestic Mobile Roaming Declaration Inquiry 2016</w:t>
      </w:r>
      <w:r w:rsidR="00DA4FBA">
        <w:t>—</w:t>
      </w:r>
      <w:r w:rsidRPr="006977BD">
        <w:t>Discussion Paper</w:t>
      </w:r>
    </w:p>
    <w:p w:rsidR="000C30DA" w:rsidRDefault="000C30DA" w:rsidP="000C30DA">
      <w:r>
        <w:t xml:space="preserve">As with other MNOs, </w:t>
      </w:r>
      <w:r w:rsidRPr="00B52EF3">
        <w:t>Telstra</w:t>
      </w:r>
      <w:r>
        <w:t xml:space="preserve"> </w:t>
      </w:r>
      <w:r w:rsidRPr="00B52EF3">
        <w:t xml:space="preserve">resells large sections of its network to MVNOs </w:t>
      </w:r>
      <w:r>
        <w:t>such as</w:t>
      </w:r>
      <w:r w:rsidRPr="00B52EF3">
        <w:t xml:space="preserve"> Boost and Aldi</w:t>
      </w:r>
      <w:r>
        <w:t>. The addition of these MVNOs has increased the choice of products available to regional areas. When taking into account the plans offered by these resellers, services offered over the Telstra network were broadly comparable to other networks in terms of price. For plans with large data inclusions (i.e. greater than 10GB), there tended to be fewer available on the Telstra network and they tended to be more expensive.</w:t>
      </w:r>
    </w:p>
    <w:p w:rsidR="000C30DA" w:rsidRPr="001C1A5A" w:rsidRDefault="000C30DA" w:rsidP="000C30DA">
      <w:pPr>
        <w:pStyle w:val="Heading4"/>
      </w:pPr>
      <w:bookmarkStart w:id="198" w:name="_Toc482617453"/>
      <w:bookmarkStart w:id="199" w:name="_Toc482624092"/>
      <w:bookmarkStart w:id="200" w:name="_Toc482956640"/>
      <w:bookmarkStart w:id="201" w:name="_Toc487206057"/>
      <w:r>
        <w:t>Box 2: MNOs vs MVNOs</w:t>
      </w:r>
      <w:bookmarkEnd w:id="198"/>
      <w:bookmarkEnd w:id="199"/>
      <w:bookmarkEnd w:id="200"/>
      <w:bookmarkEnd w:id="201"/>
    </w:p>
    <w:p w:rsidR="000C30DA" w:rsidRPr="001C1A5A" w:rsidRDefault="000C30DA" w:rsidP="000C30DA">
      <w:pPr>
        <w:pBdr>
          <w:top w:val="single" w:sz="4" w:space="1" w:color="auto"/>
          <w:left w:val="single" w:sz="4" w:space="4" w:color="auto"/>
          <w:bottom w:val="single" w:sz="4" w:space="1" w:color="auto"/>
          <w:right w:val="single" w:sz="4" w:space="4" w:color="auto"/>
        </w:pBdr>
        <w:shd w:val="clear" w:color="auto" w:fill="F2F2F2" w:themeFill="background1" w:themeFillShade="F2"/>
        <w:rPr>
          <w:sz w:val="20"/>
          <w:szCs w:val="20"/>
        </w:rPr>
      </w:pPr>
      <w:r w:rsidRPr="001C1A5A">
        <w:rPr>
          <w:sz w:val="20"/>
          <w:szCs w:val="20"/>
        </w:rPr>
        <w:t xml:space="preserve">Mobile </w:t>
      </w:r>
      <w:r>
        <w:rPr>
          <w:sz w:val="20"/>
          <w:szCs w:val="20"/>
        </w:rPr>
        <w:t>n</w:t>
      </w:r>
      <w:r w:rsidRPr="001C1A5A">
        <w:rPr>
          <w:sz w:val="20"/>
          <w:szCs w:val="20"/>
        </w:rPr>
        <w:t xml:space="preserve">etwork </w:t>
      </w:r>
      <w:r>
        <w:rPr>
          <w:sz w:val="20"/>
          <w:szCs w:val="20"/>
        </w:rPr>
        <w:t>o</w:t>
      </w:r>
      <w:r w:rsidRPr="001C1A5A">
        <w:rPr>
          <w:sz w:val="20"/>
          <w:szCs w:val="20"/>
        </w:rPr>
        <w:t>perators (MNOs) build and operate the physical equipment that provides mobile services. There are three MNOs currently operating in Australian (Telstra, Optus and Vodafone), with a fourth (TPG) set to enter the market in 2018.</w:t>
      </w:r>
    </w:p>
    <w:p w:rsidR="000C30DA" w:rsidRPr="001C1A5A" w:rsidRDefault="000C30DA" w:rsidP="000C30DA">
      <w:pPr>
        <w:pBdr>
          <w:top w:val="single" w:sz="4" w:space="1" w:color="auto"/>
          <w:left w:val="single" w:sz="4" w:space="4" w:color="auto"/>
          <w:bottom w:val="single" w:sz="4" w:space="1" w:color="auto"/>
          <w:right w:val="single" w:sz="4" w:space="4" w:color="auto"/>
        </w:pBdr>
        <w:shd w:val="clear" w:color="auto" w:fill="F2F2F2" w:themeFill="background1" w:themeFillShade="F2"/>
        <w:rPr>
          <w:sz w:val="20"/>
          <w:szCs w:val="20"/>
        </w:rPr>
      </w:pPr>
      <w:r w:rsidRPr="001C1A5A">
        <w:rPr>
          <w:sz w:val="20"/>
          <w:szCs w:val="20"/>
        </w:rPr>
        <w:t xml:space="preserve">As well as selling mobile services directly to customers, MNOs also </w:t>
      </w:r>
      <w:r>
        <w:rPr>
          <w:sz w:val="20"/>
          <w:szCs w:val="20"/>
        </w:rPr>
        <w:t xml:space="preserve">offer </w:t>
      </w:r>
      <w:r w:rsidRPr="001C1A5A">
        <w:rPr>
          <w:sz w:val="20"/>
          <w:szCs w:val="20"/>
        </w:rPr>
        <w:t xml:space="preserve">provision services for resellers, or </w:t>
      </w:r>
      <w:r>
        <w:rPr>
          <w:sz w:val="20"/>
          <w:szCs w:val="20"/>
        </w:rPr>
        <w:t>m</w:t>
      </w:r>
      <w:r w:rsidRPr="001C1A5A">
        <w:rPr>
          <w:sz w:val="20"/>
          <w:szCs w:val="20"/>
        </w:rPr>
        <w:t xml:space="preserve">obile </w:t>
      </w:r>
      <w:r>
        <w:rPr>
          <w:sz w:val="20"/>
          <w:szCs w:val="20"/>
        </w:rPr>
        <w:t>v</w:t>
      </w:r>
      <w:r w:rsidRPr="001C1A5A">
        <w:rPr>
          <w:sz w:val="20"/>
          <w:szCs w:val="20"/>
        </w:rPr>
        <w:t xml:space="preserve">irtual </w:t>
      </w:r>
      <w:r>
        <w:rPr>
          <w:sz w:val="20"/>
          <w:szCs w:val="20"/>
        </w:rPr>
        <w:t>n</w:t>
      </w:r>
      <w:r w:rsidRPr="001C1A5A">
        <w:rPr>
          <w:sz w:val="20"/>
          <w:szCs w:val="20"/>
        </w:rPr>
        <w:t xml:space="preserve">etwork </w:t>
      </w:r>
      <w:r>
        <w:rPr>
          <w:sz w:val="20"/>
          <w:szCs w:val="20"/>
        </w:rPr>
        <w:t>o</w:t>
      </w:r>
      <w:r w:rsidRPr="001C1A5A">
        <w:rPr>
          <w:sz w:val="20"/>
          <w:szCs w:val="20"/>
        </w:rPr>
        <w:t>perators (MVNOs), on a wholesale basis. An MNO can sell access to some or all of its network, and to a subset of technologies (i.e. 3G/4G, and at differing speeds).</w:t>
      </w:r>
    </w:p>
    <w:p w:rsidR="000C30DA" w:rsidRPr="001C1A5A" w:rsidRDefault="000C30DA" w:rsidP="000C30DA">
      <w:pPr>
        <w:pBdr>
          <w:top w:val="single" w:sz="4" w:space="1" w:color="auto"/>
          <w:left w:val="single" w:sz="4" w:space="4" w:color="auto"/>
          <w:bottom w:val="single" w:sz="4" w:space="1" w:color="auto"/>
          <w:right w:val="single" w:sz="4" w:space="4" w:color="auto"/>
        </w:pBdr>
        <w:shd w:val="clear" w:color="auto" w:fill="F2F2F2" w:themeFill="background1" w:themeFillShade="F2"/>
        <w:rPr>
          <w:sz w:val="20"/>
          <w:szCs w:val="20"/>
        </w:rPr>
      </w:pPr>
      <w:r w:rsidRPr="001C1A5A">
        <w:rPr>
          <w:sz w:val="20"/>
          <w:szCs w:val="20"/>
        </w:rPr>
        <w:t xml:space="preserve">Desktop research was conducted in </w:t>
      </w:r>
      <w:r>
        <w:rPr>
          <w:sz w:val="20"/>
          <w:szCs w:val="20"/>
        </w:rPr>
        <w:t>May</w:t>
      </w:r>
      <w:r w:rsidRPr="001C1A5A">
        <w:rPr>
          <w:sz w:val="20"/>
          <w:szCs w:val="20"/>
        </w:rPr>
        <w:t xml:space="preserve"> 2017, and recorded mobile plans advertised on MNO and MNVO websites. Both prepaid and post</w:t>
      </w:r>
      <w:r>
        <w:rPr>
          <w:sz w:val="20"/>
          <w:szCs w:val="20"/>
        </w:rPr>
        <w:t>-</w:t>
      </w:r>
      <w:r w:rsidRPr="001C1A5A">
        <w:rPr>
          <w:sz w:val="20"/>
          <w:szCs w:val="20"/>
        </w:rPr>
        <w:t>paid plans were recorded. Post</w:t>
      </w:r>
      <w:r>
        <w:rPr>
          <w:sz w:val="20"/>
          <w:szCs w:val="20"/>
        </w:rPr>
        <w:t>-</w:t>
      </w:r>
      <w:r w:rsidRPr="001C1A5A">
        <w:rPr>
          <w:sz w:val="20"/>
          <w:szCs w:val="20"/>
        </w:rPr>
        <w:t>paid plans that included a handset were excluded, to allow for immediate comparison with prepaid plans.</w:t>
      </w:r>
    </w:p>
    <w:p w:rsidR="000C30DA" w:rsidRDefault="000C30DA" w:rsidP="00870DD3">
      <w:pPr>
        <w:pStyle w:val="Tablefigureheading"/>
      </w:pPr>
      <w:bookmarkStart w:id="202" w:name="_Ref482342524"/>
      <w:bookmarkStart w:id="203" w:name="_Ref482342517"/>
      <w:bookmarkStart w:id="204" w:name="_Toc487206106"/>
      <w:r w:rsidRPr="007F50E4">
        <w:lastRenderedPageBreak/>
        <w:t xml:space="preserve">Figure </w:t>
      </w:r>
      <w:r w:rsidRPr="00D7182D">
        <w:fldChar w:fldCharType="begin"/>
      </w:r>
      <w:r w:rsidRPr="007F50E4">
        <w:instrText xml:space="preserve"> SEQ Figure \* ARABIC </w:instrText>
      </w:r>
      <w:r w:rsidRPr="00D7182D">
        <w:fldChar w:fldCharType="separate"/>
      </w:r>
      <w:r w:rsidR="00BE637B">
        <w:rPr>
          <w:noProof/>
        </w:rPr>
        <w:t>19</w:t>
      </w:r>
      <w:r w:rsidRPr="00D7182D">
        <w:fldChar w:fldCharType="end"/>
      </w:r>
      <w:bookmarkEnd w:id="202"/>
      <w:r w:rsidR="00E07044">
        <w:t>. Price versus</w:t>
      </w:r>
      <w:r w:rsidRPr="007F50E4">
        <w:t xml:space="preserve"> included data, by Telstra or non-Telstra network</w:t>
      </w:r>
      <w:bookmarkEnd w:id="203"/>
      <w:bookmarkEnd w:id="204"/>
    </w:p>
    <w:p w:rsidR="000C30DA" w:rsidRPr="00B02DBF" w:rsidRDefault="00417C10" w:rsidP="000C30DA">
      <w:r>
        <w:rPr>
          <w:noProof/>
          <w:lang w:eastAsia="en-AU"/>
        </w:rPr>
        <w:drawing>
          <wp:inline distT="0" distB="0" distL="0" distR="0" wp14:anchorId="64E21AE5" wp14:editId="7959BC19">
            <wp:extent cx="5736590" cy="3743325"/>
            <wp:effectExtent l="0" t="0" r="0" b="9525"/>
            <wp:docPr id="28" name="Picture 28" descr="This is a scatter plot. The y axis shows recharge or monthly price. The x axis shows included data per month. Shows that the amount of data included in a plan tends to drive its price, with a strong positive relationship between price and data inclusions. Shows that mobile plans offered over the Telstra network were broadly comparable to other networks in terms of price for lower data inclusions (less than 10GB). Shows that for plans with large data inclusions (greater than 10GB), there tended to be fewer available on the Telstra network and they tended to be more expensive." title="Figure 19. Price vs included data, by Telstra or non-Telstra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36590" cy="3743325"/>
                    </a:xfrm>
                    <a:prstGeom prst="rect">
                      <a:avLst/>
                    </a:prstGeom>
                    <a:noFill/>
                  </pic:spPr>
                </pic:pic>
              </a:graphicData>
            </a:graphic>
          </wp:inline>
        </w:drawing>
      </w:r>
    </w:p>
    <w:p w:rsidR="000C30DA" w:rsidRPr="006977BD" w:rsidRDefault="000C30DA" w:rsidP="00934C33">
      <w:pPr>
        <w:pStyle w:val="NoteSource"/>
        <w:rPr>
          <w:noProof/>
          <w:lang w:eastAsia="en-AU"/>
        </w:rPr>
      </w:pPr>
      <w:r>
        <w:t>Source.</w:t>
      </w:r>
      <w:r w:rsidRPr="001F0930">
        <w:t xml:space="preserve"> BCAR survey of advertised </w:t>
      </w:r>
      <w:r>
        <w:t>mobile</w:t>
      </w:r>
      <w:r w:rsidRPr="001F0930">
        <w:t xml:space="preserve"> plans offered by </w:t>
      </w:r>
      <w:r w:rsidRPr="00D7182D">
        <w:t xml:space="preserve">Telstra, Optus, Vodafone, Amaysim, Virgin, Aldi, Boost, TPG. Excludes </w:t>
      </w:r>
      <w:r>
        <w:t xml:space="preserve">32 </w:t>
      </w:r>
      <w:r w:rsidRPr="00D7182D">
        <w:t>prepaid plans with an expiry period of more than 1 month.</w:t>
      </w:r>
    </w:p>
    <w:p w:rsidR="000C30DA" w:rsidRPr="001F0930" w:rsidRDefault="000C30DA" w:rsidP="00934C33">
      <w:pPr>
        <w:pStyle w:val="NoteSource"/>
        <w:rPr>
          <w:b/>
        </w:rPr>
      </w:pPr>
      <w:r>
        <w:t>Notes.</w:t>
      </w:r>
      <w:r w:rsidRPr="00D7182D">
        <w:t xml:space="preserve"> Plans advertised</w:t>
      </w:r>
      <w:r>
        <w:t xml:space="preserve"> on provider websites</w:t>
      </w:r>
      <w:r w:rsidRPr="00D7182D">
        <w:t xml:space="preserve"> in </w:t>
      </w:r>
      <w:r>
        <w:t>May 2017</w:t>
      </w:r>
      <w:r w:rsidRPr="00D7182D">
        <w:t xml:space="preserve">. </w:t>
      </w:r>
      <w:r>
        <w:t>Red</w:t>
      </w:r>
      <w:r w:rsidRPr="00D7182D">
        <w:t xml:space="preserve"> circles are </w:t>
      </w:r>
      <w:r>
        <w:t>plans available on the Telstra network</w:t>
      </w:r>
      <w:r w:rsidRPr="00D7182D">
        <w:t xml:space="preserve">, </w:t>
      </w:r>
      <w:r>
        <w:t>other plans are blue</w:t>
      </w:r>
      <w:r w:rsidRPr="00D7182D">
        <w:t xml:space="preserve"> circles. </w:t>
      </w:r>
      <w:r w:rsidR="00BC1902">
        <w:t xml:space="preserve">Darker circles indicate numerous plans at the same data point. </w:t>
      </w:r>
      <w:r w:rsidRPr="00D7182D">
        <w:t xml:space="preserve">Plans closest to the bottom of the chart are the cheapest option for each amount of included data. The vertical </w:t>
      </w:r>
      <w:r>
        <w:t>blue</w:t>
      </w:r>
      <w:r w:rsidRPr="00D7182D">
        <w:t xml:space="preserve"> line is the average Australian mobile consumption as at December 2016 (ABS 8153.0 Internet Activity, Australia, December 2016).</w:t>
      </w:r>
      <w:r>
        <w:t xml:space="preserve"> Excludes plans with bundled hardware, such as an included handset.</w:t>
      </w:r>
    </w:p>
    <w:p w:rsidR="000C30DA" w:rsidRDefault="000C30DA" w:rsidP="000C30DA">
      <w:r>
        <w:t xml:space="preserve">The overall picture for Telstra’s resale of access to its mobile network is unclear. Boost appears to have access to the entire network, whilst Aldi appears to access a large proportion of the network, particularly in eastern Australia. </w:t>
      </w:r>
      <w:r w:rsidR="00955D56">
        <w:t>C</w:t>
      </w:r>
      <w:r>
        <w:t xml:space="preserve">ustomers </w:t>
      </w:r>
      <w:r w:rsidR="00955D56">
        <w:t>who are</w:t>
      </w:r>
      <w:r>
        <w:t xml:space="preserve"> only able to access Telstra’s retail mobile serv</w:t>
      </w:r>
      <w:r w:rsidR="00B238FB">
        <w:t>ices (and not those from MVNOs)</w:t>
      </w:r>
      <w:r>
        <w:t xml:space="preserve"> </w:t>
      </w:r>
      <w:r w:rsidR="00955D56">
        <w:t>would have</w:t>
      </w:r>
      <w:r>
        <w:t xml:space="preserve"> a more limited range of offers and </w:t>
      </w:r>
      <w:r w:rsidRPr="00B0469F">
        <w:t>generally higher prices</w:t>
      </w:r>
      <w:r w:rsidRPr="00290676">
        <w:t xml:space="preserve"> (</w:t>
      </w:r>
      <w:r w:rsidRPr="00DF6F7F">
        <w:fldChar w:fldCharType="begin"/>
      </w:r>
      <w:r w:rsidRPr="00C126CC">
        <w:instrText xml:space="preserve"> REF _Ref482614443 \h </w:instrText>
      </w:r>
      <w:r w:rsidRPr="00F96B32">
        <w:instrText xml:space="preserve"> \* MERGEFORMAT </w:instrText>
      </w:r>
      <w:r w:rsidRPr="00DF6F7F">
        <w:fldChar w:fldCharType="separate"/>
      </w:r>
      <w:r w:rsidR="00BE637B" w:rsidRPr="00503571">
        <w:t xml:space="preserve">Figure </w:t>
      </w:r>
      <w:r w:rsidR="00BE637B">
        <w:rPr>
          <w:noProof/>
        </w:rPr>
        <w:t>20</w:t>
      </w:r>
      <w:r w:rsidRPr="00DF6F7F">
        <w:fldChar w:fldCharType="end"/>
      </w:r>
      <w:r w:rsidRPr="00C126CC">
        <w:t>).</w:t>
      </w:r>
      <w:bookmarkStart w:id="205" w:name="_GoBack"/>
      <w:bookmarkEnd w:id="205"/>
    </w:p>
    <w:p w:rsidR="000C30DA" w:rsidRDefault="000C30DA" w:rsidP="00934C33">
      <w:pPr>
        <w:pStyle w:val="Tablefigureheading"/>
      </w:pPr>
      <w:bookmarkStart w:id="206" w:name="_Ref482614443"/>
      <w:bookmarkStart w:id="207" w:name="_Toc487206107"/>
      <w:r w:rsidRPr="00503571">
        <w:lastRenderedPageBreak/>
        <w:t xml:space="preserve">Figure </w:t>
      </w:r>
      <w:fldSimple w:instr=" SEQ Figure \* ARABIC ">
        <w:r w:rsidR="00BE637B">
          <w:rPr>
            <w:noProof/>
          </w:rPr>
          <w:t>20</w:t>
        </w:r>
      </w:fldSimple>
      <w:bookmarkEnd w:id="206"/>
      <w:r w:rsidRPr="00503571">
        <w:t>. Price vs included data</w:t>
      </w:r>
      <w:r>
        <w:t xml:space="preserve"> for plans on the Telstra network</w:t>
      </w:r>
      <w:r w:rsidRPr="00503571">
        <w:t xml:space="preserve">, by Telstra or </w:t>
      </w:r>
      <w:r>
        <w:t>MVNOs</w:t>
      </w:r>
      <w:bookmarkEnd w:id="207"/>
    </w:p>
    <w:p w:rsidR="000C30DA" w:rsidRPr="00B02DBF" w:rsidRDefault="00F516E3" w:rsidP="000C30DA">
      <w:r>
        <w:rPr>
          <w:noProof/>
          <w:lang w:eastAsia="en-AU"/>
        </w:rPr>
        <w:drawing>
          <wp:inline distT="0" distB="0" distL="0" distR="0" wp14:anchorId="2576FF44" wp14:editId="387CAE8F">
            <wp:extent cx="5736590" cy="3743325"/>
            <wp:effectExtent l="0" t="0" r="0" b="9525"/>
            <wp:docPr id="29" name="Picture 29" descr="This is a scatter plot. The y axis shows recharge or monthly price. The x axis shows included data per month. Shows that the amount of data included in a plan tends to drive its price, with a strong positive relationship between price and data inclusions. Shows that Telstra's mobile plans are generally more expensive than Aldi and Boost mobile plans provided over the Telstra network." title="Figure 20. Price vs included data for plans on the Telstra network, by Telstra or MV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36590" cy="3743325"/>
                    </a:xfrm>
                    <a:prstGeom prst="rect">
                      <a:avLst/>
                    </a:prstGeom>
                    <a:noFill/>
                  </pic:spPr>
                </pic:pic>
              </a:graphicData>
            </a:graphic>
          </wp:inline>
        </w:drawing>
      </w:r>
    </w:p>
    <w:p w:rsidR="000C30DA" w:rsidRDefault="000C30DA" w:rsidP="00934C33">
      <w:pPr>
        <w:pStyle w:val="NoteSource"/>
        <w:rPr>
          <w:b/>
        </w:rPr>
      </w:pPr>
      <w:r>
        <w:t>Source.</w:t>
      </w:r>
      <w:r w:rsidRPr="001F0930">
        <w:t xml:space="preserve"> BCAR survey of advertised </w:t>
      </w:r>
      <w:r>
        <w:t>mobile</w:t>
      </w:r>
      <w:r w:rsidRPr="001F0930">
        <w:t xml:space="preserve"> plans offered by </w:t>
      </w:r>
      <w:r w:rsidRPr="00D7182D">
        <w:t xml:space="preserve">Telstra, Aldi, </w:t>
      </w:r>
      <w:r w:rsidR="000500E8">
        <w:t>and Boost</w:t>
      </w:r>
      <w:r>
        <w:t xml:space="preserve">. </w:t>
      </w:r>
      <w:r w:rsidRPr="00D7182D">
        <w:t xml:space="preserve">Excludes </w:t>
      </w:r>
      <w:r>
        <w:t>32</w:t>
      </w:r>
      <w:r w:rsidRPr="00D7182D">
        <w:t xml:space="preserve"> prepaid plans with an expiry p</w:t>
      </w:r>
      <w:r>
        <w:t>eriod of more than 1 month.</w:t>
      </w:r>
    </w:p>
    <w:p w:rsidR="000C30DA" w:rsidRPr="001F0930" w:rsidRDefault="000C30DA" w:rsidP="00934C33">
      <w:pPr>
        <w:pStyle w:val="NoteSource"/>
        <w:rPr>
          <w:b/>
        </w:rPr>
      </w:pPr>
      <w:r>
        <w:t>Notes.</w:t>
      </w:r>
      <w:r w:rsidRPr="00D7182D">
        <w:t xml:space="preserve"> Plans advertised</w:t>
      </w:r>
      <w:r>
        <w:t xml:space="preserve"> on provider websites</w:t>
      </w:r>
      <w:r w:rsidRPr="00D7182D">
        <w:t xml:space="preserve"> in </w:t>
      </w:r>
      <w:r>
        <w:t>May 2017. Red</w:t>
      </w:r>
      <w:r w:rsidRPr="00D7182D">
        <w:t xml:space="preserve"> circles are </w:t>
      </w:r>
      <w:r>
        <w:t>plans provided directly by Telstra</w:t>
      </w:r>
      <w:r w:rsidRPr="00D7182D">
        <w:t xml:space="preserve">, </w:t>
      </w:r>
      <w:r>
        <w:t>while MVNO plans provided on the Telstra network are blue</w:t>
      </w:r>
      <w:r w:rsidRPr="00D7182D">
        <w:t xml:space="preserve"> circles. </w:t>
      </w:r>
      <w:r>
        <w:t xml:space="preserve">Darker circles indicate numerous plans at the same data point. </w:t>
      </w:r>
      <w:r w:rsidRPr="00D7182D">
        <w:t xml:space="preserve">Plans closest to the bottom of the chart are the cheapest option for each amount of included data. The vertical </w:t>
      </w:r>
      <w:r>
        <w:t>blue</w:t>
      </w:r>
      <w:r w:rsidRPr="00D7182D">
        <w:t xml:space="preserve"> line is the average Australian mobile consumption as at December 2016 (ABS 8153.0 Internet Activity, Australia, December 2016).</w:t>
      </w:r>
      <w:r>
        <w:t xml:space="preserve"> Excludes plans with bundled hardware, such as an included handset.</w:t>
      </w:r>
    </w:p>
    <w:p w:rsidR="000C30DA" w:rsidRDefault="000C30DA" w:rsidP="000C30DA">
      <w:r>
        <w:t>Telstra’s prepaid cap plans are broadly comparable to competitor offers in terms of price and inclusions, while its sim-only post-paid plans offer slightly less value. Telstra’s long-life prepaid plans appear to offer significantly less value, in terms of both voice and data, than the other providers surveyed,</w:t>
      </w:r>
      <w:r w:rsidDel="00D12E0D">
        <w:t xml:space="preserve"> </w:t>
      </w:r>
      <w:r>
        <w:t>with the exception of Virgin (Table 2).</w:t>
      </w:r>
      <w:r w:rsidDel="001A5984">
        <w:t xml:space="preserve"> </w:t>
      </w:r>
      <w:r>
        <w:t xml:space="preserve">However, there are some more cost effective long-life plans offered on the Telstra network, such as those through </w:t>
      </w:r>
      <w:r w:rsidDel="00B82A78">
        <w:t>ALDI</w:t>
      </w:r>
      <w:r>
        <w:t>.</w:t>
      </w:r>
    </w:p>
    <w:p w:rsidR="000C30DA" w:rsidRDefault="000C30DA" w:rsidP="00934C33">
      <w:pPr>
        <w:pStyle w:val="Tablefigureheading"/>
      </w:pPr>
      <w:bookmarkStart w:id="208" w:name="_Toc487206117"/>
      <w:r w:rsidRPr="006926DC">
        <w:lastRenderedPageBreak/>
        <w:t xml:space="preserve">Table </w:t>
      </w:r>
      <w:fldSimple w:instr=" SEQ Table \* ARABIC ">
        <w:r w:rsidR="00BE637B">
          <w:rPr>
            <w:noProof/>
          </w:rPr>
          <w:t>2</w:t>
        </w:r>
      </w:fldSimple>
      <w:r w:rsidRPr="006926DC">
        <w:t xml:space="preserve">. </w:t>
      </w:r>
      <w:r>
        <w:t>Selected l</w:t>
      </w:r>
      <w:r w:rsidRPr="006926DC">
        <w:t>ong</w:t>
      </w:r>
      <w:r>
        <w:t>-life prepaid plans</w:t>
      </w:r>
      <w:r w:rsidR="006A06F9">
        <w:t>, call and data costs, May 2017</w:t>
      </w:r>
      <w:bookmarkEnd w:id="208"/>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Description w:val="Table 2. Selected long-life prepaid plans, call and data costs, May 2017."/>
      </w:tblPr>
      <w:tblGrid>
        <w:gridCol w:w="2977"/>
        <w:gridCol w:w="1701"/>
        <w:gridCol w:w="2126"/>
        <w:gridCol w:w="2268"/>
      </w:tblGrid>
      <w:tr w:rsidR="006A06F9" w:rsidTr="006A06F9">
        <w:trPr>
          <w:cantSplit/>
          <w:tblHeader/>
        </w:trPr>
        <w:tc>
          <w:tcPr>
            <w:tcW w:w="2977" w:type="dxa"/>
            <w:tcBorders>
              <w:top w:val="nil"/>
              <w:left w:val="nil"/>
              <w:bottom w:val="thickThinLargeGap" w:sz="24" w:space="0" w:color="auto"/>
              <w:right w:val="nil"/>
            </w:tcBorders>
            <w:shd w:val="clear" w:color="auto" w:fill="113652"/>
          </w:tcPr>
          <w:p w:rsidR="006A06F9" w:rsidRDefault="006A06F9" w:rsidP="0092276A">
            <w:pPr>
              <w:pStyle w:val="Tableheading"/>
            </w:pPr>
            <w:r>
              <w:t>Plan (provider)</w:t>
            </w:r>
          </w:p>
        </w:tc>
        <w:tc>
          <w:tcPr>
            <w:tcW w:w="1701" w:type="dxa"/>
            <w:tcBorders>
              <w:top w:val="nil"/>
              <w:left w:val="nil"/>
              <w:bottom w:val="thickThinLargeGap" w:sz="24" w:space="0" w:color="auto"/>
              <w:right w:val="nil"/>
            </w:tcBorders>
            <w:shd w:val="clear" w:color="auto" w:fill="113652"/>
          </w:tcPr>
          <w:p w:rsidR="006A06F9" w:rsidRDefault="006A06F9" w:rsidP="0092276A">
            <w:pPr>
              <w:pStyle w:val="Tableheading"/>
              <w:jc w:val="center"/>
            </w:pPr>
            <w:r>
              <w:t>Expiry period</w:t>
            </w:r>
          </w:p>
        </w:tc>
        <w:tc>
          <w:tcPr>
            <w:tcW w:w="2126" w:type="dxa"/>
            <w:tcBorders>
              <w:top w:val="nil"/>
              <w:left w:val="nil"/>
              <w:bottom w:val="thickThinLargeGap" w:sz="24" w:space="0" w:color="auto"/>
              <w:right w:val="nil"/>
            </w:tcBorders>
            <w:shd w:val="clear" w:color="auto" w:fill="113652"/>
          </w:tcPr>
          <w:p w:rsidR="006A06F9" w:rsidRDefault="006A06F9" w:rsidP="0092276A">
            <w:pPr>
              <w:pStyle w:val="Tableheading"/>
              <w:jc w:val="center"/>
            </w:pPr>
            <w:r>
              <w:t>Price per Mb ($)</w:t>
            </w:r>
          </w:p>
        </w:tc>
        <w:tc>
          <w:tcPr>
            <w:tcW w:w="2268" w:type="dxa"/>
            <w:tcBorders>
              <w:top w:val="nil"/>
              <w:left w:val="nil"/>
              <w:bottom w:val="thickThinLargeGap" w:sz="24" w:space="0" w:color="auto"/>
              <w:right w:val="nil"/>
            </w:tcBorders>
            <w:shd w:val="clear" w:color="auto" w:fill="113652"/>
          </w:tcPr>
          <w:p w:rsidR="006A06F9" w:rsidRPr="00EF0765" w:rsidRDefault="006A06F9" w:rsidP="0092276A">
            <w:pPr>
              <w:pStyle w:val="Tableheading"/>
              <w:jc w:val="center"/>
            </w:pPr>
            <w:r>
              <w:t>Price of a two-minute call</w:t>
            </w:r>
          </w:p>
        </w:tc>
      </w:tr>
      <w:tr w:rsidR="006A06F9" w:rsidTr="006A06F9">
        <w:trPr>
          <w:cantSplit/>
        </w:trPr>
        <w:tc>
          <w:tcPr>
            <w:tcW w:w="2977" w:type="dxa"/>
            <w:tcBorders>
              <w:top w:val="single" w:sz="4" w:space="0" w:color="auto"/>
              <w:left w:val="nil"/>
              <w:bottom w:val="single" w:sz="4" w:space="0" w:color="auto"/>
              <w:right w:val="nil"/>
            </w:tcBorders>
          </w:tcPr>
          <w:p w:rsidR="006A06F9" w:rsidRPr="00C25B91" w:rsidRDefault="006A06F9" w:rsidP="006A06F9">
            <w:pPr>
              <w:pStyle w:val="Tabletext"/>
            </w:pPr>
            <w:r w:rsidRPr="0006619E">
              <w:t>Prepaid Long Life (Telstra)</w:t>
            </w:r>
          </w:p>
        </w:tc>
        <w:tc>
          <w:tcPr>
            <w:tcW w:w="1701" w:type="dxa"/>
            <w:tcBorders>
              <w:top w:val="single" w:sz="4" w:space="0" w:color="auto"/>
              <w:left w:val="nil"/>
              <w:bottom w:val="single" w:sz="4" w:space="0" w:color="auto"/>
              <w:right w:val="nil"/>
            </w:tcBorders>
          </w:tcPr>
          <w:p w:rsidR="006A06F9" w:rsidRPr="006A06F9" w:rsidRDefault="006A06F9" w:rsidP="006A06F9">
            <w:pPr>
              <w:pStyle w:val="Tabletext"/>
              <w:jc w:val="center"/>
            </w:pPr>
            <w:r w:rsidRPr="0006619E">
              <w:t>2</w:t>
            </w:r>
            <w:r>
              <w:t>–</w:t>
            </w:r>
            <w:r w:rsidRPr="0006619E">
              <w:t>12 Months</w:t>
            </w:r>
            <w:r w:rsidRPr="0006619E">
              <w:rPr>
                <w:rStyle w:val="EndnoteReference"/>
              </w:rPr>
              <w:endnoteReference w:id="20"/>
            </w:r>
          </w:p>
        </w:tc>
        <w:tc>
          <w:tcPr>
            <w:tcW w:w="2126" w:type="dxa"/>
            <w:tcBorders>
              <w:top w:val="single" w:sz="4" w:space="0" w:color="auto"/>
              <w:left w:val="nil"/>
              <w:bottom w:val="single" w:sz="4" w:space="0" w:color="auto"/>
              <w:right w:val="nil"/>
            </w:tcBorders>
          </w:tcPr>
          <w:p w:rsidR="006A06F9" w:rsidRPr="006A06F9" w:rsidRDefault="006A06F9" w:rsidP="006A06F9">
            <w:pPr>
              <w:pStyle w:val="Tabletext"/>
              <w:jc w:val="center"/>
            </w:pPr>
            <w:r w:rsidRPr="0006619E">
              <w:t>2</w:t>
            </w:r>
          </w:p>
        </w:tc>
        <w:tc>
          <w:tcPr>
            <w:tcW w:w="2268" w:type="dxa"/>
            <w:tcBorders>
              <w:top w:val="single" w:sz="4" w:space="0" w:color="auto"/>
              <w:left w:val="nil"/>
              <w:bottom w:val="single" w:sz="4" w:space="0" w:color="auto"/>
              <w:right w:val="nil"/>
            </w:tcBorders>
          </w:tcPr>
          <w:p w:rsidR="006A06F9" w:rsidRPr="006A06F9" w:rsidRDefault="006A06F9" w:rsidP="006A06F9">
            <w:pPr>
              <w:pStyle w:val="Tabletext"/>
              <w:jc w:val="center"/>
            </w:pPr>
            <w:r w:rsidRPr="0006619E">
              <w:t>1.95</w:t>
            </w:r>
          </w:p>
        </w:tc>
      </w:tr>
      <w:tr w:rsidR="006A06F9" w:rsidTr="006A06F9">
        <w:trPr>
          <w:cantSplit/>
        </w:trPr>
        <w:tc>
          <w:tcPr>
            <w:tcW w:w="2977" w:type="dxa"/>
            <w:tcBorders>
              <w:top w:val="single" w:sz="4" w:space="0" w:color="auto"/>
              <w:left w:val="nil"/>
              <w:bottom w:val="single" w:sz="4" w:space="0" w:color="auto"/>
              <w:right w:val="nil"/>
            </w:tcBorders>
          </w:tcPr>
          <w:p w:rsidR="006A06F9" w:rsidRPr="00C25B91" w:rsidRDefault="006A06F9" w:rsidP="006A06F9">
            <w:pPr>
              <w:pStyle w:val="Tabletext"/>
            </w:pPr>
            <w:r>
              <w:t>Prepaid Long Life (Virgin)</w:t>
            </w:r>
          </w:p>
        </w:tc>
        <w:tc>
          <w:tcPr>
            <w:tcW w:w="1701" w:type="dxa"/>
            <w:tcBorders>
              <w:top w:val="single" w:sz="4" w:space="0" w:color="auto"/>
              <w:left w:val="nil"/>
              <w:bottom w:val="single" w:sz="4" w:space="0" w:color="auto"/>
              <w:right w:val="nil"/>
            </w:tcBorders>
          </w:tcPr>
          <w:p w:rsidR="006A06F9" w:rsidRPr="006A06F9" w:rsidRDefault="006A06F9" w:rsidP="006A06F9">
            <w:pPr>
              <w:pStyle w:val="Tabletext"/>
              <w:jc w:val="center"/>
            </w:pPr>
            <w:r>
              <w:t>6–12 Months</w:t>
            </w:r>
            <w:r>
              <w:rPr>
                <w:rStyle w:val="EndnoteReference"/>
              </w:rPr>
              <w:endnoteReference w:id="21"/>
            </w:r>
          </w:p>
        </w:tc>
        <w:tc>
          <w:tcPr>
            <w:tcW w:w="2126" w:type="dxa"/>
            <w:tcBorders>
              <w:top w:val="single" w:sz="4" w:space="0" w:color="auto"/>
              <w:left w:val="nil"/>
              <w:bottom w:val="single" w:sz="4" w:space="0" w:color="auto"/>
              <w:right w:val="nil"/>
            </w:tcBorders>
          </w:tcPr>
          <w:p w:rsidR="006A06F9" w:rsidRPr="006A06F9" w:rsidRDefault="006A06F9" w:rsidP="006A06F9">
            <w:pPr>
              <w:pStyle w:val="Tabletext"/>
              <w:jc w:val="center"/>
            </w:pPr>
            <w:r>
              <w:t>0.12</w:t>
            </w:r>
          </w:p>
        </w:tc>
        <w:tc>
          <w:tcPr>
            <w:tcW w:w="2268" w:type="dxa"/>
            <w:tcBorders>
              <w:top w:val="single" w:sz="4" w:space="0" w:color="auto"/>
              <w:left w:val="nil"/>
              <w:bottom w:val="single" w:sz="4" w:space="0" w:color="auto"/>
              <w:right w:val="nil"/>
            </w:tcBorders>
          </w:tcPr>
          <w:p w:rsidR="006A06F9" w:rsidRPr="006A06F9" w:rsidRDefault="006A06F9" w:rsidP="006A06F9">
            <w:pPr>
              <w:pStyle w:val="Tabletext"/>
              <w:jc w:val="center"/>
            </w:pPr>
            <w:r>
              <w:t>1.96</w:t>
            </w:r>
          </w:p>
        </w:tc>
      </w:tr>
      <w:tr w:rsidR="006A06F9" w:rsidTr="006A06F9">
        <w:trPr>
          <w:cantSplit/>
        </w:trPr>
        <w:tc>
          <w:tcPr>
            <w:tcW w:w="2977" w:type="dxa"/>
            <w:tcBorders>
              <w:top w:val="single" w:sz="4" w:space="0" w:color="auto"/>
              <w:left w:val="nil"/>
              <w:bottom w:val="single" w:sz="4" w:space="0" w:color="auto"/>
              <w:right w:val="nil"/>
            </w:tcBorders>
          </w:tcPr>
          <w:p w:rsidR="006A06F9" w:rsidRPr="00C25B91" w:rsidRDefault="006A06F9" w:rsidP="006A06F9">
            <w:pPr>
              <w:pStyle w:val="Tabletext"/>
            </w:pPr>
            <w:r>
              <w:t>Pay As You Go (ALDI)</w:t>
            </w:r>
          </w:p>
        </w:tc>
        <w:tc>
          <w:tcPr>
            <w:tcW w:w="1701" w:type="dxa"/>
            <w:tcBorders>
              <w:top w:val="single" w:sz="4" w:space="0" w:color="auto"/>
              <w:left w:val="nil"/>
              <w:bottom w:val="single" w:sz="4" w:space="0" w:color="auto"/>
              <w:right w:val="nil"/>
            </w:tcBorders>
          </w:tcPr>
          <w:p w:rsidR="006A06F9" w:rsidRPr="006A06F9" w:rsidRDefault="006A06F9" w:rsidP="006A06F9">
            <w:pPr>
              <w:pStyle w:val="Tabletext"/>
              <w:jc w:val="center"/>
            </w:pPr>
            <w:r>
              <w:t>12 Months</w:t>
            </w:r>
          </w:p>
        </w:tc>
        <w:tc>
          <w:tcPr>
            <w:tcW w:w="2126" w:type="dxa"/>
            <w:tcBorders>
              <w:top w:val="single" w:sz="4" w:space="0" w:color="auto"/>
              <w:left w:val="nil"/>
              <w:bottom w:val="single" w:sz="4" w:space="0" w:color="auto"/>
              <w:right w:val="nil"/>
            </w:tcBorders>
          </w:tcPr>
          <w:p w:rsidR="006A06F9" w:rsidRPr="006A06F9" w:rsidRDefault="006A06F9" w:rsidP="006A06F9">
            <w:pPr>
              <w:pStyle w:val="Tabletext"/>
              <w:jc w:val="center"/>
            </w:pPr>
            <w:r>
              <w:t>0.05</w:t>
            </w:r>
          </w:p>
        </w:tc>
        <w:tc>
          <w:tcPr>
            <w:tcW w:w="2268" w:type="dxa"/>
            <w:tcBorders>
              <w:top w:val="single" w:sz="4" w:space="0" w:color="auto"/>
              <w:left w:val="nil"/>
              <w:bottom w:val="single" w:sz="4" w:space="0" w:color="auto"/>
              <w:right w:val="nil"/>
            </w:tcBorders>
          </w:tcPr>
          <w:p w:rsidR="006A06F9" w:rsidRPr="006A06F9" w:rsidRDefault="006A06F9" w:rsidP="006A06F9">
            <w:pPr>
              <w:pStyle w:val="Tabletext"/>
              <w:jc w:val="center"/>
            </w:pPr>
            <w:r>
              <w:t>0.24</w:t>
            </w:r>
          </w:p>
        </w:tc>
      </w:tr>
      <w:tr w:rsidR="006A06F9" w:rsidTr="006A06F9">
        <w:trPr>
          <w:cantSplit/>
        </w:trPr>
        <w:tc>
          <w:tcPr>
            <w:tcW w:w="2977" w:type="dxa"/>
            <w:tcBorders>
              <w:top w:val="single" w:sz="4" w:space="0" w:color="auto"/>
              <w:left w:val="nil"/>
              <w:bottom w:val="single" w:sz="4" w:space="0" w:color="auto"/>
              <w:right w:val="nil"/>
            </w:tcBorders>
          </w:tcPr>
          <w:p w:rsidR="006A06F9" w:rsidRDefault="006A06F9" w:rsidP="006A06F9">
            <w:pPr>
              <w:pStyle w:val="Tabletext"/>
            </w:pPr>
            <w:r>
              <w:t>Pay As You Go (Amaysim)</w:t>
            </w:r>
          </w:p>
        </w:tc>
        <w:tc>
          <w:tcPr>
            <w:tcW w:w="1701" w:type="dxa"/>
            <w:tcBorders>
              <w:top w:val="single" w:sz="4" w:space="0" w:color="auto"/>
              <w:left w:val="nil"/>
              <w:bottom w:val="single" w:sz="4" w:space="0" w:color="auto"/>
              <w:right w:val="nil"/>
            </w:tcBorders>
          </w:tcPr>
          <w:p w:rsidR="006A06F9" w:rsidRDefault="006A06F9" w:rsidP="006A06F9">
            <w:pPr>
              <w:pStyle w:val="Tabletext"/>
              <w:jc w:val="center"/>
            </w:pPr>
            <w:r>
              <w:t>12 Months</w:t>
            </w:r>
          </w:p>
        </w:tc>
        <w:tc>
          <w:tcPr>
            <w:tcW w:w="2126" w:type="dxa"/>
            <w:tcBorders>
              <w:top w:val="single" w:sz="4" w:space="0" w:color="auto"/>
              <w:left w:val="nil"/>
              <w:bottom w:val="single" w:sz="4" w:space="0" w:color="auto"/>
              <w:right w:val="nil"/>
            </w:tcBorders>
          </w:tcPr>
          <w:p w:rsidR="006A06F9" w:rsidRDefault="006A06F9" w:rsidP="006A06F9">
            <w:pPr>
              <w:pStyle w:val="Tabletext"/>
              <w:jc w:val="center"/>
            </w:pPr>
            <w:r>
              <w:t>0.072</w:t>
            </w:r>
          </w:p>
        </w:tc>
        <w:tc>
          <w:tcPr>
            <w:tcW w:w="2268" w:type="dxa"/>
            <w:tcBorders>
              <w:top w:val="single" w:sz="4" w:space="0" w:color="auto"/>
              <w:left w:val="nil"/>
              <w:bottom w:val="single" w:sz="4" w:space="0" w:color="auto"/>
              <w:right w:val="nil"/>
            </w:tcBorders>
          </w:tcPr>
          <w:p w:rsidR="006A06F9" w:rsidRDefault="006A06F9" w:rsidP="006A06F9">
            <w:pPr>
              <w:pStyle w:val="Tabletext"/>
              <w:jc w:val="center"/>
            </w:pPr>
            <w:r>
              <w:t>0.24</w:t>
            </w:r>
          </w:p>
        </w:tc>
      </w:tr>
      <w:tr w:rsidR="006A06F9" w:rsidTr="006A06F9">
        <w:trPr>
          <w:cantSplit/>
        </w:trPr>
        <w:tc>
          <w:tcPr>
            <w:tcW w:w="2977" w:type="dxa"/>
            <w:tcBorders>
              <w:top w:val="single" w:sz="4" w:space="0" w:color="auto"/>
              <w:left w:val="nil"/>
              <w:bottom w:val="single" w:sz="18" w:space="0" w:color="auto"/>
              <w:right w:val="nil"/>
            </w:tcBorders>
          </w:tcPr>
          <w:p w:rsidR="006A06F9" w:rsidRDefault="006A06F9" w:rsidP="006A06F9">
            <w:pPr>
              <w:pStyle w:val="Tabletext"/>
            </w:pPr>
            <w:r>
              <w:t>Pay As You Go Plus (Vodafone)</w:t>
            </w:r>
          </w:p>
        </w:tc>
        <w:tc>
          <w:tcPr>
            <w:tcW w:w="1701" w:type="dxa"/>
            <w:tcBorders>
              <w:top w:val="single" w:sz="4" w:space="0" w:color="auto"/>
              <w:left w:val="nil"/>
              <w:bottom w:val="single" w:sz="18" w:space="0" w:color="auto"/>
              <w:right w:val="nil"/>
            </w:tcBorders>
          </w:tcPr>
          <w:p w:rsidR="006A06F9" w:rsidRDefault="006A06F9" w:rsidP="006A06F9">
            <w:pPr>
              <w:pStyle w:val="Tabletext"/>
              <w:jc w:val="center"/>
            </w:pPr>
            <w:r>
              <w:t>12 Months</w:t>
            </w:r>
          </w:p>
        </w:tc>
        <w:tc>
          <w:tcPr>
            <w:tcW w:w="2126" w:type="dxa"/>
            <w:tcBorders>
              <w:top w:val="single" w:sz="4" w:space="0" w:color="auto"/>
              <w:left w:val="nil"/>
              <w:bottom w:val="single" w:sz="18" w:space="0" w:color="auto"/>
              <w:right w:val="nil"/>
            </w:tcBorders>
          </w:tcPr>
          <w:p w:rsidR="006A06F9" w:rsidRDefault="006A06F9" w:rsidP="006A06F9">
            <w:pPr>
              <w:pStyle w:val="Tabletext"/>
              <w:jc w:val="center"/>
            </w:pPr>
            <w:r>
              <w:t>0.02</w:t>
            </w:r>
          </w:p>
        </w:tc>
        <w:tc>
          <w:tcPr>
            <w:tcW w:w="2268" w:type="dxa"/>
            <w:tcBorders>
              <w:top w:val="single" w:sz="4" w:space="0" w:color="auto"/>
              <w:left w:val="nil"/>
              <w:bottom w:val="single" w:sz="18" w:space="0" w:color="auto"/>
              <w:right w:val="nil"/>
            </w:tcBorders>
          </w:tcPr>
          <w:p w:rsidR="006A06F9" w:rsidRDefault="006A06F9" w:rsidP="006A06F9">
            <w:pPr>
              <w:pStyle w:val="Tabletext"/>
              <w:jc w:val="center"/>
            </w:pPr>
            <w:r>
              <w:t>0.4</w:t>
            </w:r>
          </w:p>
        </w:tc>
      </w:tr>
    </w:tbl>
    <w:p w:rsidR="006A06F9" w:rsidRDefault="006A06F9" w:rsidP="006A06F9"/>
    <w:p w:rsidR="000C30DA" w:rsidRDefault="000C30DA" w:rsidP="00A47A39">
      <w:pPr>
        <w:pStyle w:val="Heading3"/>
        <w:keepLines/>
      </w:pPr>
      <w:bookmarkStart w:id="209" w:name="_Toc482617454"/>
      <w:bookmarkStart w:id="210" w:name="_Toc482363853"/>
      <w:bookmarkStart w:id="211" w:name="_Toc482624093"/>
      <w:bookmarkStart w:id="212" w:name="_Toc482956641"/>
      <w:bookmarkStart w:id="213" w:name="_Toc486867514"/>
      <w:bookmarkStart w:id="214" w:name="_Toc487206058"/>
      <w:r w:rsidDel="00B0469F">
        <w:lastRenderedPageBreak/>
        <w:t xml:space="preserve">The range of both </w:t>
      </w:r>
      <w:r>
        <w:t>post-paid and prepaid plans</w:t>
      </w:r>
      <w:bookmarkEnd w:id="209"/>
      <w:r w:rsidDel="00B0469F">
        <w:t xml:space="preserve"> has increased…</w:t>
      </w:r>
      <w:bookmarkEnd w:id="210"/>
      <w:bookmarkEnd w:id="211"/>
      <w:bookmarkEnd w:id="212"/>
      <w:bookmarkEnd w:id="213"/>
      <w:bookmarkEnd w:id="214"/>
    </w:p>
    <w:p w:rsidR="000C30DA" w:rsidRPr="00253A8A" w:rsidRDefault="000C30DA" w:rsidP="00A47A39">
      <w:pPr>
        <w:keepNext/>
        <w:keepLines/>
        <w:rPr>
          <w:b/>
        </w:rPr>
      </w:pPr>
      <w:r>
        <w:t>O</w:t>
      </w:r>
      <w:r w:rsidRPr="00253A8A">
        <w:t xml:space="preserve">ver the past three years there </w:t>
      </w:r>
      <w:r>
        <w:t>appears to have</w:t>
      </w:r>
      <w:r w:rsidRPr="00253A8A">
        <w:t xml:space="preserve"> been a significant increase in the range of post-paid products on offer to consumers. Over this period</w:t>
      </w:r>
      <w:r>
        <w:t>,</w:t>
      </w:r>
      <w:r w:rsidRPr="00253A8A">
        <w:t xml:space="preserve"> data and voice inclusions have</w:t>
      </w:r>
      <w:r w:rsidRPr="00253A8A" w:rsidDel="00393590">
        <w:t xml:space="preserve"> </w:t>
      </w:r>
      <w:r w:rsidRPr="00253A8A">
        <w:t>increased significantly, particularly for more expensive plans offered by Optus and Vodafone (</w:t>
      </w:r>
      <w:r w:rsidRPr="00253A8A">
        <w:rPr>
          <w:b/>
        </w:rPr>
        <w:fldChar w:fldCharType="begin"/>
      </w:r>
      <w:r w:rsidRPr="00253A8A">
        <w:instrText xml:space="preserve"> REF _Ref482274988 \h </w:instrText>
      </w:r>
      <w:r w:rsidRPr="00503571">
        <w:instrText xml:space="preserve"> \* MERGEFORMAT </w:instrText>
      </w:r>
      <w:r w:rsidRPr="00253A8A">
        <w:rPr>
          <w:b/>
        </w:rPr>
      </w:r>
      <w:r w:rsidRPr="00253A8A">
        <w:rPr>
          <w:b/>
        </w:rPr>
        <w:fldChar w:fldCharType="separate"/>
      </w:r>
      <w:r w:rsidR="00BE637B" w:rsidRPr="00387FA5">
        <w:t xml:space="preserve">Figure </w:t>
      </w:r>
      <w:r w:rsidR="00BE637B">
        <w:t>21</w:t>
      </w:r>
      <w:r w:rsidRPr="00253A8A">
        <w:rPr>
          <w:b/>
        </w:rPr>
        <w:fldChar w:fldCharType="end"/>
      </w:r>
      <w:r w:rsidRPr="00253A8A">
        <w:t xml:space="preserve">). </w:t>
      </w:r>
      <w:r>
        <w:t>By</w:t>
      </w:r>
      <w:r w:rsidRPr="00253A8A">
        <w:t xml:space="preserve"> contrast, the price of existing advertised plans appears to have remained relatively constant, though some expensive plans with higher data inclusions have been introduced.</w:t>
      </w:r>
    </w:p>
    <w:p w:rsidR="000C30DA" w:rsidRDefault="000C30DA" w:rsidP="00934C33">
      <w:pPr>
        <w:pStyle w:val="Tablefigureheading"/>
      </w:pPr>
      <w:bookmarkStart w:id="215" w:name="_Ref482274988"/>
      <w:bookmarkStart w:id="216" w:name="_Toc487206108"/>
      <w:r w:rsidRPr="00387FA5">
        <w:t xml:space="preserve">Figure </w:t>
      </w:r>
      <w:r w:rsidRPr="00D7182D">
        <w:fldChar w:fldCharType="begin"/>
      </w:r>
      <w:r w:rsidRPr="00387FA5">
        <w:instrText xml:space="preserve"> SEQ Figure \* ARABIC </w:instrText>
      </w:r>
      <w:r w:rsidRPr="00D7182D">
        <w:fldChar w:fldCharType="separate"/>
      </w:r>
      <w:r w:rsidR="00BE637B">
        <w:rPr>
          <w:noProof/>
        </w:rPr>
        <w:t>21</w:t>
      </w:r>
      <w:r w:rsidRPr="00D7182D">
        <w:fldChar w:fldCharType="end"/>
      </w:r>
      <w:bookmarkEnd w:id="215"/>
      <w:r w:rsidRPr="00387FA5">
        <w:t>. MNO post-paid plans, 2014</w:t>
      </w:r>
      <w:r>
        <w:t>–</w:t>
      </w:r>
      <w:r w:rsidRPr="00387FA5">
        <w:t>16</w:t>
      </w:r>
      <w:bookmarkEnd w:id="216"/>
    </w:p>
    <w:p w:rsidR="000C30DA" w:rsidRPr="00C437BD" w:rsidRDefault="009429FB" w:rsidP="00A47A39">
      <w:pPr>
        <w:keepNext/>
      </w:pPr>
      <w:r w:rsidRPr="009429FB">
        <w:rPr>
          <w:noProof/>
          <w:lang w:eastAsia="en-AU"/>
        </w:rPr>
        <w:drawing>
          <wp:inline distT="0" distB="0" distL="0" distR="0" wp14:anchorId="72657C17" wp14:editId="6644C377">
            <wp:extent cx="5756910" cy="4323080"/>
            <wp:effectExtent l="0" t="0" r="0" b="1270"/>
            <wp:docPr id="30" name="Picture 30" descr="This is six individual scatter plots. Each scatter plot is for a particular mobile provider in a particular year. The y axes show recharge price. The x axes show included data per month. Shows that data and voice inclusions for post-paid mobile plans have increased significantly, particularly for more expensive plans offered by Optus and Vodafone." title="Figure 21. MNO post-paid plans, 201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pt.gov.au\DFS\Home\OMcCarthy\Desktop\Affordability_wave15\Final documents\Final Final\Final charts\Charts New2\PDFs\Figure 21.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56910" cy="4323080"/>
                    </a:xfrm>
                    <a:prstGeom prst="rect">
                      <a:avLst/>
                    </a:prstGeom>
                    <a:noFill/>
                    <a:ln>
                      <a:noFill/>
                    </a:ln>
                  </pic:spPr>
                </pic:pic>
              </a:graphicData>
            </a:graphic>
          </wp:inline>
        </w:drawing>
      </w:r>
    </w:p>
    <w:p w:rsidR="000C30DA" w:rsidRPr="003E0CE9" w:rsidRDefault="000C30DA" w:rsidP="000C30DA">
      <w:pPr>
        <w:pStyle w:val="NoteSource"/>
      </w:pPr>
      <w:r>
        <w:t>Source. Advertised service plan data compiled by the ACCC. Includes post-paid plans offered by Mobile Network Operators (MNOs).</w:t>
      </w:r>
    </w:p>
    <w:p w:rsidR="000C30DA" w:rsidRPr="0093761C" w:rsidRDefault="000C30DA" w:rsidP="000C30DA">
      <w:pPr>
        <w:pStyle w:val="NoteSource"/>
        <w:spacing w:after="240"/>
      </w:pPr>
      <w:r>
        <w:t>Notes.</w:t>
      </w:r>
      <w:r w:rsidRPr="0093761C">
        <w:t xml:space="preserve"> Plans advertised by the following providers: Telstra, Optus, Vodafone. Collected on a monthly basis by the ACCC from January 2014 to November 2016. Blue circles are plans that include unlimited calls, other plans are red circles. </w:t>
      </w:r>
      <w:r w:rsidRPr="006926DC">
        <w:t>Darker circles indicate numerous plans at the same data point.</w:t>
      </w:r>
      <w:r>
        <w:t xml:space="preserve"> </w:t>
      </w:r>
      <w:r w:rsidRPr="0093761C">
        <w:t xml:space="preserve">Plans </w:t>
      </w:r>
      <w:r w:rsidRPr="0093761C">
        <w:lastRenderedPageBreak/>
        <w:t>closest to the bottom of the chart are the cheapest option for each amount of included data. Prices have not been adjusted for inflation.</w:t>
      </w:r>
    </w:p>
    <w:p w:rsidR="000C30DA" w:rsidRDefault="000C30DA" w:rsidP="000C30DA">
      <w:r>
        <w:t>There is a similar story for prepaid plans, where a broader range of prepaid products have become available</w:t>
      </w:r>
      <w:r w:rsidDel="00393590">
        <w:t xml:space="preserve"> </w:t>
      </w:r>
      <w:r>
        <w:t>over the past three years. Similar to the trends observed in post-paid, many plans included greater data and voice allowances in 2016 than 2014 without substantial increases in monthly costs, particularly from Optus and Vodafone. However, data and voice allowances offered by Telstra have lagged behind offerings from Optus and Vodafone. Prepaid plans have continued to offer more limited inclusions at a lower monthly price than post-paid plans.</w:t>
      </w:r>
    </w:p>
    <w:p w:rsidR="000C30DA" w:rsidRDefault="000C30DA" w:rsidP="00934C33">
      <w:pPr>
        <w:pStyle w:val="Tablefigureheading"/>
      </w:pPr>
      <w:bookmarkStart w:id="217" w:name="_Toc487206109"/>
      <w:r w:rsidRPr="00387FA5">
        <w:t xml:space="preserve">Figure </w:t>
      </w:r>
      <w:r w:rsidRPr="00D7182D">
        <w:fldChar w:fldCharType="begin"/>
      </w:r>
      <w:r w:rsidRPr="00387FA5">
        <w:instrText xml:space="preserve"> SEQ Figure \* ARABIC </w:instrText>
      </w:r>
      <w:r w:rsidRPr="00D7182D">
        <w:fldChar w:fldCharType="separate"/>
      </w:r>
      <w:r w:rsidR="00BE637B">
        <w:rPr>
          <w:noProof/>
        </w:rPr>
        <w:t>22</w:t>
      </w:r>
      <w:r w:rsidRPr="00D7182D">
        <w:fldChar w:fldCharType="end"/>
      </w:r>
      <w:r w:rsidRPr="00387FA5">
        <w:t xml:space="preserve">. MNO </w:t>
      </w:r>
      <w:r>
        <w:t>prepaid</w:t>
      </w:r>
      <w:r w:rsidRPr="00387FA5">
        <w:t xml:space="preserve"> plans</w:t>
      </w:r>
      <w:r>
        <w:t>, 2014–16</w:t>
      </w:r>
      <w:bookmarkEnd w:id="217"/>
    </w:p>
    <w:p w:rsidR="000C30DA" w:rsidRPr="00C437BD" w:rsidRDefault="000D1498" w:rsidP="000C30DA">
      <w:r w:rsidRPr="000D1498">
        <w:rPr>
          <w:noProof/>
          <w:lang w:eastAsia="en-AU"/>
        </w:rPr>
        <w:drawing>
          <wp:inline distT="0" distB="0" distL="0" distR="0" wp14:anchorId="4F323BA4" wp14:editId="01F0753D">
            <wp:extent cx="5756910" cy="4323080"/>
            <wp:effectExtent l="0" t="0" r="0" b="1270"/>
            <wp:docPr id="31" name="Picture 31" descr="This is six individual scatter plots. Each scatter plot is for a particular mobile provider in a particular year. The y axes show recharge price. The x axes show included data per month. Shows that many plans included greater data and voice allowances in 2016 than 2014 without substantial increases in monthly costs, particularly from Optus and Vodafone. Shows that data and voice allowances offered by Telstra have lagged behind offerings from Optus and Vodafone" title="Figure 22. MNO prepaid plans, 201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pt.gov.au\DFS\Home\OMcCarthy\Desktop\Affordability_wave15\Final documents\Final Final\Final charts\Charts New2\PDFs\Figure 22.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56910" cy="4323080"/>
                    </a:xfrm>
                    <a:prstGeom prst="rect">
                      <a:avLst/>
                    </a:prstGeom>
                    <a:noFill/>
                    <a:ln>
                      <a:noFill/>
                    </a:ln>
                  </pic:spPr>
                </pic:pic>
              </a:graphicData>
            </a:graphic>
          </wp:inline>
        </w:drawing>
      </w:r>
    </w:p>
    <w:p w:rsidR="000C30DA" w:rsidRPr="003E0CE9" w:rsidRDefault="000C30DA" w:rsidP="000C30DA">
      <w:pPr>
        <w:pStyle w:val="NoteSource"/>
      </w:pPr>
      <w:r>
        <w:t>Source.</w:t>
      </w:r>
      <w:r w:rsidR="0092276A">
        <w:t xml:space="preserve"> </w:t>
      </w:r>
      <w:r>
        <w:t>Advertised service plan data compiled by the ACCC. Includes prepaid plans offered by Mobile Network Operators (MNOs).</w:t>
      </w:r>
    </w:p>
    <w:p w:rsidR="000C30DA" w:rsidRPr="0093761C" w:rsidRDefault="000C30DA" w:rsidP="000C30DA">
      <w:pPr>
        <w:pStyle w:val="NoteSource"/>
        <w:spacing w:after="240"/>
      </w:pPr>
      <w:r>
        <w:t>Notes.</w:t>
      </w:r>
      <w:r w:rsidRPr="0093761C">
        <w:t xml:space="preserve"> Plans advertised by the following providers: Telstra, Optus, Vodafone. Collected on a monthly basis by the ACCC from March 2014 to November 2016. Blue circles are plans that include unlimited calls, other plans are red circles. </w:t>
      </w:r>
      <w:r w:rsidRPr="006926DC">
        <w:t>Darker circles indicate numerous plans at the same data point.</w:t>
      </w:r>
      <w:r>
        <w:t xml:space="preserve"> </w:t>
      </w:r>
      <w:r w:rsidRPr="0093761C">
        <w:t xml:space="preserve">Plans </w:t>
      </w:r>
      <w:r w:rsidRPr="0093761C">
        <w:lastRenderedPageBreak/>
        <w:t>closest to the bottom of the chart are the cheapest option for each amount of included data. Prices have not been adjusted for inflation.</w:t>
      </w:r>
    </w:p>
    <w:p w:rsidR="000C30DA" w:rsidRDefault="000C30DA" w:rsidP="000C30DA">
      <w:r>
        <w:t>Consumers appear to be better off because of lower real prices and the inclusion of more data. With prices broadly constant in nominal terms for prepaid and post</w:t>
      </w:r>
      <w:r>
        <w:noBreakHyphen/>
        <w:t>paid plans over the past three years both prepaid and post-paid prices have declined in real terms. Additionally, some customers are likely to be receiving significantly more calls and data with their mobile plans.</w:t>
      </w:r>
    </w:p>
    <w:p w:rsidR="000C30DA" w:rsidRPr="00F96B32" w:rsidRDefault="000C30DA" w:rsidP="000C30DA">
      <w:pPr>
        <w:pStyle w:val="Heading3"/>
      </w:pPr>
      <w:bookmarkStart w:id="218" w:name="_Toc482343417"/>
      <w:bookmarkStart w:id="219" w:name="_Toc482617455"/>
      <w:bookmarkStart w:id="220" w:name="_Toc482956642"/>
      <w:bookmarkStart w:id="221" w:name="_Toc486867515"/>
      <w:bookmarkStart w:id="222" w:name="_Toc487206059"/>
      <w:bookmarkStart w:id="223" w:name="_Toc482363854"/>
      <w:bookmarkStart w:id="224" w:name="_Toc482624094"/>
      <w:bookmarkStart w:id="225" w:name="_Toc482281089"/>
      <w:bookmarkStart w:id="226" w:name="_Toc482283317"/>
      <w:r>
        <w:t>…including for m</w:t>
      </w:r>
      <w:r w:rsidRPr="00F96B32">
        <w:t>obile wireless broadband</w:t>
      </w:r>
      <w:bookmarkEnd w:id="218"/>
      <w:bookmarkEnd w:id="219"/>
      <w:bookmarkEnd w:id="220"/>
      <w:bookmarkEnd w:id="221"/>
      <w:bookmarkEnd w:id="222"/>
      <w:r w:rsidRPr="00F96B32">
        <w:t xml:space="preserve"> </w:t>
      </w:r>
      <w:bookmarkEnd w:id="223"/>
      <w:bookmarkEnd w:id="224"/>
    </w:p>
    <w:p w:rsidR="000C30DA" w:rsidRPr="00F96B32" w:rsidRDefault="000C30DA" w:rsidP="000C30DA">
      <w:r w:rsidRPr="00F96B32">
        <w:t>Sim</w:t>
      </w:r>
      <w:r w:rsidR="00B766A0">
        <w:t>ilar to mobile services,</w:t>
      </w:r>
      <w:r w:rsidRPr="00F96B32">
        <w:t xml:space="preserve"> research of advertised prices for mobile wireless broadband services (wireless services) indicates that most consumers have access to a range of products across a range of price points (for both prepaid and post-paid plans).</w:t>
      </w:r>
    </w:p>
    <w:p w:rsidR="000C30DA" w:rsidRDefault="000C30DA" w:rsidP="000C30DA">
      <w:r>
        <w:t>As with mobile handset plans, d</w:t>
      </w:r>
      <w:r w:rsidRPr="00F96B32">
        <w:t>ata is a driver of the price of wireless products. Consumers have a considerable choice of wireless products below 12</w:t>
      </w:r>
      <w:r>
        <w:t>–15</w:t>
      </w:r>
      <w:r w:rsidRPr="00F96B32">
        <w:t>GB, especially for those with average data requirements of around 3GB per month (</w:t>
      </w:r>
      <w:r w:rsidRPr="0006619E">
        <w:fldChar w:fldCharType="begin"/>
      </w:r>
      <w:r w:rsidRPr="0006619E">
        <w:instrText xml:space="preserve"> REF _Ref482606747 \h  \* MERGEFORMAT </w:instrText>
      </w:r>
      <w:r w:rsidRPr="0006619E">
        <w:fldChar w:fldCharType="separate"/>
      </w:r>
      <w:r w:rsidR="00BE637B" w:rsidRPr="00F96B32">
        <w:t xml:space="preserve">Figure </w:t>
      </w:r>
      <w:r w:rsidR="00BE637B">
        <w:rPr>
          <w:noProof/>
        </w:rPr>
        <w:t>23</w:t>
      </w:r>
      <w:r w:rsidRPr="0006619E">
        <w:fldChar w:fldCharType="end"/>
      </w:r>
      <w:r w:rsidRPr="00F96B32">
        <w:t>)</w:t>
      </w:r>
      <w:r>
        <w:t>.</w:t>
      </w:r>
      <w:r w:rsidRPr="00F96B32">
        <w:rPr>
          <w:rStyle w:val="EndnoteReference"/>
        </w:rPr>
        <w:endnoteReference w:id="22"/>
      </w:r>
    </w:p>
    <w:p w:rsidR="000C30DA" w:rsidRDefault="000C30DA" w:rsidP="00934C33">
      <w:pPr>
        <w:pStyle w:val="Tablefigureheading"/>
      </w:pPr>
      <w:bookmarkStart w:id="227" w:name="_Ref482606747"/>
      <w:bookmarkStart w:id="228" w:name="_Toc487206110"/>
      <w:r w:rsidRPr="00F96B32">
        <w:t xml:space="preserve">Figure </w:t>
      </w:r>
      <w:fldSimple w:instr=" SEQ Figure \* ARABIC ">
        <w:r w:rsidR="00BE637B">
          <w:rPr>
            <w:noProof/>
          </w:rPr>
          <w:t>23</w:t>
        </w:r>
      </w:fldSimple>
      <w:bookmarkEnd w:id="227"/>
      <w:r w:rsidRPr="00F96B32">
        <w:t>. Mobile Wireless Broadband Price vs Included data, by payment type</w:t>
      </w:r>
      <w:bookmarkEnd w:id="228"/>
    </w:p>
    <w:p w:rsidR="000C30DA" w:rsidRPr="00B02DBF" w:rsidRDefault="005A5FCE" w:rsidP="000C30DA">
      <w:r>
        <w:rPr>
          <w:noProof/>
          <w:lang w:eastAsia="en-AU"/>
        </w:rPr>
        <w:drawing>
          <wp:inline distT="0" distB="0" distL="0" distR="0" wp14:anchorId="16AD70B6" wp14:editId="44B7DC32">
            <wp:extent cx="5736590" cy="3963035"/>
            <wp:effectExtent l="0" t="0" r="0" b="0"/>
            <wp:docPr id="32" name="Picture 32" descr="This is a scatter plot. The y axis shows recharge or monthly price. The x axis shows included data per month. Shows that the amount of data included in a plan tends to drive its price, with a strong positive relationship between price and data inclusions. Shows that consumers have a considerable choice of wireless broadband products below 12-15GB, especially for those with average data requirements of around 3GB per month. Shows that many prepaid plans are available with up to 30GB per month, but prepaid plans tend not to be available with large amounts of data (inclusions greater than 30GB)." title="Figure 23. Mobile Wireless Broadband Price vs Included data, by payment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36590" cy="3963035"/>
                    </a:xfrm>
                    <a:prstGeom prst="rect">
                      <a:avLst/>
                    </a:prstGeom>
                    <a:noFill/>
                  </pic:spPr>
                </pic:pic>
              </a:graphicData>
            </a:graphic>
          </wp:inline>
        </w:drawing>
      </w:r>
    </w:p>
    <w:p w:rsidR="000C30DA" w:rsidRDefault="000C30DA" w:rsidP="0092276A">
      <w:pPr>
        <w:pStyle w:val="NoteSource"/>
        <w:rPr>
          <w:b/>
        </w:rPr>
      </w:pPr>
      <w:r>
        <w:lastRenderedPageBreak/>
        <w:t>Source.</w:t>
      </w:r>
      <w:r w:rsidRPr="006977BD">
        <w:t xml:space="preserve"> BCAR desktop research of advertised mobile wireless broadband plans offered by Telstra, Optus, Vodafone, Amaysim, Virgin and Aldi (TPG and Boost did not offer data-only mobile broadband plans).</w:t>
      </w:r>
    </w:p>
    <w:p w:rsidR="000C30DA" w:rsidRPr="006977BD" w:rsidRDefault="000C30DA" w:rsidP="0092276A">
      <w:pPr>
        <w:pStyle w:val="NoteSource"/>
        <w:rPr>
          <w:b/>
        </w:rPr>
      </w:pPr>
      <w:r>
        <w:t>Notes.</w:t>
      </w:r>
      <w:r w:rsidRPr="006977BD">
        <w:t xml:space="preserve"> Plans advertised on provider websites in May</w:t>
      </w:r>
      <w:r>
        <w:t xml:space="preserve"> 2017.</w:t>
      </w:r>
      <w:r w:rsidRPr="006977BD">
        <w:t xml:space="preserve"> Blue </w:t>
      </w:r>
      <w:r>
        <w:t>dots</w:t>
      </w:r>
      <w:r w:rsidRPr="006977BD">
        <w:t xml:space="preserve"> are post-paid plans, red </w:t>
      </w:r>
      <w:r>
        <w:t>dots</w:t>
      </w:r>
      <w:r w:rsidRPr="006977BD">
        <w:t xml:space="preserve"> a</w:t>
      </w:r>
      <w:r>
        <w:t>re</w:t>
      </w:r>
      <w:r w:rsidRPr="006977BD">
        <w:t xml:space="preserve"> prepaid plans. </w:t>
      </w:r>
      <w:r w:rsidR="00BC1902" w:rsidRPr="006926DC">
        <w:t>Darker circles indicate numerous plans at the same data point.</w:t>
      </w:r>
      <w:r w:rsidR="00BC1902">
        <w:t xml:space="preserve"> </w:t>
      </w:r>
      <w:r w:rsidRPr="006977BD">
        <w:t>Plans closest to the bottom of the chart are the cheapest option for each amount of included data. A number of plans had expiry periods of less than one month. These have been adjusted to reflect the cost and data available if a customer was</w:t>
      </w:r>
      <w:r>
        <w:t xml:space="preserve"> to</w:t>
      </w:r>
      <w:r w:rsidRPr="006977BD">
        <w:t xml:space="preserve"> maintain service over a one month period. The vertical</w:t>
      </w:r>
      <w:r w:rsidRPr="006977BD" w:rsidDel="00EA2EF3">
        <w:t xml:space="preserve"> </w:t>
      </w:r>
      <w:r w:rsidRPr="006977BD">
        <w:t>blue line is the average Australian mobile wireless broadband consumption as at December 2016 (ABS 8153.0 Internet Activity, Australia, December 2016).</w:t>
      </w:r>
      <w:r>
        <w:t xml:space="preserve"> Plans which bundle hardware (i.e. mobile broadband dongles) have been excluded.</w:t>
      </w:r>
    </w:p>
    <w:p w:rsidR="000C30DA" w:rsidRPr="00F96B32" w:rsidRDefault="000C30DA" w:rsidP="000C30DA">
      <w:r w:rsidRPr="00F96B32">
        <w:t xml:space="preserve">In terms of data inclusions, there are more plans with larger data inclusions (12GB and over) offered for post-paid wireless compared to prepaid. </w:t>
      </w:r>
      <w:r>
        <w:t>With the exception of a few plans, these larger prepaid plans are more expensive than post-paid plans with the same data inclusions.</w:t>
      </w:r>
    </w:p>
    <w:p w:rsidR="000C30DA" w:rsidRDefault="000C30DA" w:rsidP="000C30DA">
      <w:r w:rsidRPr="00F96B32">
        <w:t>While most low</w:t>
      </w:r>
      <w:r>
        <w:t>-</w:t>
      </w:r>
      <w:r w:rsidRPr="00F96B32">
        <w:t>end post-paid and prepaid mobile plans are fairly comparable in terms of data included, the amount of data included for wireless services varies significantly.</w:t>
      </w:r>
      <w:r w:rsidRPr="00F96B32" w:rsidDel="00A62229">
        <w:t xml:space="preserve"> </w:t>
      </w:r>
      <w:r w:rsidRPr="00F96B32">
        <w:t>For example a number of prepaid plans with data inclusions up to 20</w:t>
      </w:r>
      <w:r>
        <w:t>–30</w:t>
      </w:r>
      <w:r w:rsidRPr="00F96B32">
        <w:t>GB are offered at higher price points. This could be due</w:t>
      </w:r>
      <w:r>
        <w:t xml:space="preserve"> to the</w:t>
      </w:r>
      <w:r w:rsidRPr="00F96B32">
        <w:t xml:space="preserve"> large difference in expiry dates for products (one week up to two years)</w:t>
      </w:r>
      <w:r>
        <w:t>.</w:t>
      </w:r>
      <w:r w:rsidRPr="00F96B32">
        <w:rPr>
          <w:rStyle w:val="EndnoteReference"/>
        </w:rPr>
        <w:endnoteReference w:id="23"/>
      </w:r>
    </w:p>
    <w:p w:rsidR="000C30DA" w:rsidRPr="00F96B32" w:rsidRDefault="000C30DA" w:rsidP="000C30DA">
      <w:r w:rsidRPr="00F96B32">
        <w:t xml:space="preserve">Prices could also be influenced by the </w:t>
      </w:r>
      <w:r>
        <w:t>degree of</w:t>
      </w:r>
      <w:r w:rsidRPr="00F96B32">
        <w:t xml:space="preserve"> competition in wireless services compared to mobile services. </w:t>
      </w:r>
      <w:r>
        <w:t xml:space="preserve">As at June 2016, </w:t>
      </w:r>
      <w:r w:rsidRPr="00F96B32">
        <w:t>Telstra’s retail share of the market for mobile wireless services (65</w:t>
      </w:r>
      <w:r>
        <w:t xml:space="preserve"> per cent</w:t>
      </w:r>
      <w:r w:rsidRPr="00F96B32">
        <w:t xml:space="preserve">) </w:t>
      </w:r>
      <w:r>
        <w:t>wa</w:t>
      </w:r>
      <w:r w:rsidRPr="00F96B32">
        <w:t xml:space="preserve">s much higher than its share of the market for mobile handset services (45 per cent). The wireless market share of the other MNOs </w:t>
      </w:r>
      <w:r>
        <w:t>was just 20 per cent; 13 per cent for Optus and 7 per cent for Vodafone.</w:t>
      </w:r>
      <w:r>
        <w:rPr>
          <w:rStyle w:val="EndnoteReference"/>
        </w:rPr>
        <w:endnoteReference w:id="24"/>
      </w:r>
    </w:p>
    <w:p w:rsidR="000C30DA" w:rsidRPr="00F96B32" w:rsidRDefault="000C30DA" w:rsidP="000C30DA">
      <w:r w:rsidRPr="00F96B32">
        <w:t>The ACCC report</w:t>
      </w:r>
      <w:r>
        <w:t>s</w:t>
      </w:r>
      <w:r w:rsidRPr="00F96B32">
        <w:t xml:space="preserve"> that prices paid for wireless services increased by 6.4 per cent during 2015</w:t>
      </w:r>
      <w:r>
        <w:t>–</w:t>
      </w:r>
      <w:r w:rsidRPr="00F96B32">
        <w:t>16 and average data inclusions also increased significantly by 91 per cent.</w:t>
      </w:r>
      <w:r w:rsidRPr="00F96B32">
        <w:rPr>
          <w:rStyle w:val="EndnoteReference"/>
        </w:rPr>
        <w:endnoteReference w:id="25"/>
      </w:r>
      <w:r w:rsidRPr="00F96B32">
        <w:t xml:space="preserve"> This increase is a result of average and higher spending consumer groups spending significantly more on wireless services.</w:t>
      </w:r>
    </w:p>
    <w:p w:rsidR="000C30DA" w:rsidRPr="00F96B32" w:rsidRDefault="000C30DA" w:rsidP="000C30DA">
      <w:r w:rsidRPr="00F96B32">
        <w:lastRenderedPageBreak/>
        <w:t>The volume of mobile and wireless data downloaded by users has increased significantly in recent years, especially from 2015 onwards (</w:t>
      </w:r>
      <w:r w:rsidRPr="00F96B32">
        <w:fldChar w:fldCharType="begin"/>
      </w:r>
      <w:r w:rsidRPr="00F96B32">
        <w:instrText xml:space="preserve"> REF _Ref482356448 \h </w:instrText>
      </w:r>
      <w:r>
        <w:instrText xml:space="preserve"> \* MERGEFORMAT </w:instrText>
      </w:r>
      <w:r w:rsidRPr="00F96B32">
        <w:fldChar w:fldCharType="separate"/>
      </w:r>
      <w:r w:rsidR="00BE637B" w:rsidRPr="00F96B32">
        <w:t xml:space="preserve">Figure </w:t>
      </w:r>
      <w:r w:rsidR="00BE637B">
        <w:rPr>
          <w:noProof/>
        </w:rPr>
        <w:t>24</w:t>
      </w:r>
      <w:r w:rsidRPr="00F96B32">
        <w:fldChar w:fldCharType="end"/>
      </w:r>
      <w:r w:rsidR="00A47A39">
        <w:t>).</w:t>
      </w:r>
    </w:p>
    <w:p w:rsidR="000C30DA" w:rsidRDefault="000C30DA" w:rsidP="00934C33">
      <w:pPr>
        <w:pStyle w:val="Tablefigureheading"/>
      </w:pPr>
      <w:bookmarkStart w:id="229" w:name="_Ref482356448"/>
      <w:bookmarkStart w:id="230" w:name="_Ref482356426"/>
      <w:bookmarkStart w:id="231" w:name="_Toc487206111"/>
      <w:r w:rsidRPr="00F96B32">
        <w:t xml:space="preserve">Figure </w:t>
      </w:r>
      <w:fldSimple w:instr=" SEQ Figure \* ARABIC ">
        <w:r w:rsidR="00BE637B">
          <w:rPr>
            <w:noProof/>
          </w:rPr>
          <w:t>24</w:t>
        </w:r>
      </w:fldSimple>
      <w:bookmarkEnd w:id="229"/>
      <w:r w:rsidR="00667BB6">
        <w:t>. Mobile handset versus</w:t>
      </w:r>
      <w:r w:rsidRPr="00F96B32">
        <w:t xml:space="preserve"> </w:t>
      </w:r>
      <w:r w:rsidR="00667BB6">
        <w:t>m</w:t>
      </w:r>
      <w:r w:rsidRPr="00F96B32">
        <w:t xml:space="preserve">obile </w:t>
      </w:r>
      <w:r w:rsidR="00667BB6">
        <w:t>w</w:t>
      </w:r>
      <w:r w:rsidRPr="00F96B32">
        <w:t xml:space="preserve">ireless </w:t>
      </w:r>
      <w:r w:rsidR="00667BB6">
        <w:t>b</w:t>
      </w:r>
      <w:r w:rsidRPr="00F96B32">
        <w:t>roadband data downloaded per connection</w:t>
      </w:r>
      <w:bookmarkEnd w:id="230"/>
      <w:bookmarkEnd w:id="231"/>
    </w:p>
    <w:p w:rsidR="000C30DA" w:rsidRPr="00B02DBF" w:rsidRDefault="005A5FCE" w:rsidP="000C30DA">
      <w:r>
        <w:rPr>
          <w:noProof/>
          <w:lang w:eastAsia="en-AU"/>
        </w:rPr>
        <w:drawing>
          <wp:inline distT="0" distB="0" distL="0" distR="0" wp14:anchorId="734B37F3" wp14:editId="4E662D7E">
            <wp:extent cx="5736590" cy="3225165"/>
            <wp:effectExtent l="0" t="0" r="0" b="0"/>
            <wp:docPr id="33" name="Picture 33" descr="This is a line chart. The y axis shows average data downloaded per connection per month. The x axis shows time from 2011 to 2016. Shows that the volume of mobile and wireless data downloaded by users has increased significantly in recent years, especially from 2015 onwards." title="Figure 24. Mobile Handset vs Mobile Wireless Broadband data downloaded per conn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36590" cy="3225165"/>
                    </a:xfrm>
                    <a:prstGeom prst="rect">
                      <a:avLst/>
                    </a:prstGeom>
                    <a:noFill/>
                  </pic:spPr>
                </pic:pic>
              </a:graphicData>
            </a:graphic>
          </wp:inline>
        </w:drawing>
      </w:r>
    </w:p>
    <w:p w:rsidR="000C30DA" w:rsidRPr="00543E9D" w:rsidRDefault="000C30DA" w:rsidP="00B01D71">
      <w:pPr>
        <w:pStyle w:val="NoteSource"/>
      </w:pPr>
      <w:r>
        <w:t>Source.</w:t>
      </w:r>
      <w:r w:rsidRPr="00543E9D">
        <w:t xml:space="preserve"> ABS</w:t>
      </w:r>
      <w:r w:rsidR="008276B4">
        <w:t xml:space="preserve"> (2017),</w:t>
      </w:r>
      <w:r w:rsidRPr="00543E9D">
        <w:t xml:space="preserve"> 8153.0</w:t>
      </w:r>
      <w:r w:rsidR="00DA4FBA">
        <w:t>—</w:t>
      </w:r>
      <w:r w:rsidRPr="00543E9D">
        <w:t>Internet Activity, Australia, December 2016</w:t>
      </w:r>
    </w:p>
    <w:p w:rsidR="000C30DA" w:rsidRPr="00570EFF" w:rsidRDefault="000C30DA" w:rsidP="000C30DA">
      <w:pPr>
        <w:pStyle w:val="Heading2"/>
      </w:pPr>
      <w:bookmarkStart w:id="232" w:name="_Toc482284181"/>
      <w:bookmarkStart w:id="233" w:name="_Toc482284622"/>
      <w:bookmarkStart w:id="234" w:name="_Toc482343418"/>
      <w:bookmarkStart w:id="235" w:name="_Toc482363855"/>
      <w:bookmarkStart w:id="236" w:name="_Toc482617456"/>
      <w:bookmarkStart w:id="237" w:name="_Toc482624095"/>
      <w:bookmarkStart w:id="238" w:name="_Toc482956643"/>
      <w:bookmarkStart w:id="239" w:name="_Toc486867516"/>
      <w:bookmarkStart w:id="240" w:name="_Toc487206060"/>
      <w:r>
        <w:t>Affordability outcomes for particular households</w:t>
      </w:r>
      <w:bookmarkEnd w:id="225"/>
      <w:bookmarkEnd w:id="226"/>
      <w:bookmarkEnd w:id="232"/>
      <w:bookmarkEnd w:id="233"/>
      <w:bookmarkEnd w:id="234"/>
      <w:bookmarkEnd w:id="235"/>
      <w:bookmarkEnd w:id="236"/>
      <w:bookmarkEnd w:id="237"/>
      <w:bookmarkEnd w:id="238"/>
      <w:bookmarkEnd w:id="239"/>
      <w:bookmarkEnd w:id="240"/>
    </w:p>
    <w:p w:rsidR="000C30DA" w:rsidRDefault="000C30DA" w:rsidP="000C30DA">
      <w:r>
        <w:t xml:space="preserve">Aggregate affordability measures, which reflect the outcome for the ‘average’ household, are not sufficient to draw inferences of affordability for some groups. This is </w:t>
      </w:r>
      <w:r w:rsidRPr="00BD7DA1">
        <w:t xml:space="preserve">because </w:t>
      </w:r>
      <w:r w:rsidRPr="00E26B8E">
        <w:t>costs</w:t>
      </w:r>
      <w:r w:rsidRPr="00BD7DA1">
        <w:t xml:space="preserve"> and products</w:t>
      </w:r>
      <w:r>
        <w:t xml:space="preserve"> vary across different communications services, market s</w:t>
      </w:r>
      <w:r w:rsidR="00A47A39">
        <w:t>egments and geographic regions.</w:t>
      </w:r>
    </w:p>
    <w:p w:rsidR="000C30DA" w:rsidRDefault="000C30DA" w:rsidP="000C30DA">
      <w:r>
        <w:t>This variance may disproportionately impact on low income, vulnerable groups</w:t>
      </w:r>
      <w:r w:rsidR="00A47A39">
        <w:t>—</w:t>
      </w:r>
      <w:r>
        <w:t>which includes households where at least one member is not employed, has a long term health condition, is aged 65 years and over, or is Aboriginal or Torres Strait Islander, as well as rural households.</w:t>
      </w:r>
    </w:p>
    <w:p w:rsidR="000C30DA" w:rsidRDefault="000C30DA" w:rsidP="00B01D71">
      <w:pPr>
        <w:pStyle w:val="Heading3"/>
        <w:keepLines/>
      </w:pPr>
      <w:bookmarkStart w:id="241" w:name="_Toc482281090"/>
      <w:bookmarkStart w:id="242" w:name="_Toc482283318"/>
      <w:bookmarkStart w:id="243" w:name="_Toc482284182"/>
      <w:bookmarkStart w:id="244" w:name="_Toc482284623"/>
      <w:bookmarkStart w:id="245" w:name="_Toc482343419"/>
      <w:bookmarkStart w:id="246" w:name="_Toc482363856"/>
      <w:bookmarkStart w:id="247" w:name="_Toc482617457"/>
      <w:bookmarkStart w:id="248" w:name="_Toc482624096"/>
      <w:bookmarkStart w:id="249" w:name="_Toc482956644"/>
      <w:bookmarkStart w:id="250" w:name="_Toc486867517"/>
      <w:bookmarkStart w:id="251" w:name="_Toc487206061"/>
      <w:r>
        <w:lastRenderedPageBreak/>
        <w:t>Lower-income households spend a larger proportion of their income on communications services</w:t>
      </w:r>
      <w:bookmarkEnd w:id="241"/>
      <w:bookmarkEnd w:id="242"/>
      <w:bookmarkEnd w:id="243"/>
      <w:bookmarkEnd w:id="244"/>
      <w:bookmarkEnd w:id="245"/>
      <w:bookmarkEnd w:id="246"/>
      <w:bookmarkEnd w:id="247"/>
      <w:bookmarkEnd w:id="248"/>
      <w:bookmarkEnd w:id="249"/>
      <w:bookmarkEnd w:id="250"/>
      <w:bookmarkEnd w:id="251"/>
    </w:p>
    <w:p w:rsidR="000C30DA" w:rsidRPr="003E0CE9" w:rsidRDefault="000C30DA" w:rsidP="00B01D71">
      <w:pPr>
        <w:keepLines/>
      </w:pPr>
      <w:r>
        <w:t>In 2015, the bottom 10 per cent of households by income spent almost 10 per cent of their disposable income on communications services, compared with the top 10 per cent of households, who spent approximately 1 per cent of their disposable income. The average spend was 3.5 per cent of disposable income across all households (</w:t>
      </w:r>
      <w:r w:rsidRPr="00AB614B">
        <w:fldChar w:fldCharType="begin"/>
      </w:r>
      <w:r w:rsidRPr="00AB614B">
        <w:instrText xml:space="preserve"> REF _Ref482273237 \h  \* MERGEFORMAT </w:instrText>
      </w:r>
      <w:r w:rsidRPr="00AB614B">
        <w:fldChar w:fldCharType="separate"/>
      </w:r>
      <w:r w:rsidR="00BE637B" w:rsidRPr="00503571">
        <w:t xml:space="preserve">Figure </w:t>
      </w:r>
      <w:r w:rsidR="00BE637B">
        <w:rPr>
          <w:noProof/>
        </w:rPr>
        <w:t>25</w:t>
      </w:r>
      <w:r w:rsidRPr="00AB614B">
        <w:fldChar w:fldCharType="end"/>
      </w:r>
      <w:r>
        <w:t>).</w:t>
      </w:r>
    </w:p>
    <w:p w:rsidR="000C30DA" w:rsidRDefault="000C30DA" w:rsidP="00934C33">
      <w:pPr>
        <w:pStyle w:val="Tablefigureheading"/>
      </w:pPr>
      <w:bookmarkStart w:id="252" w:name="_Ref482273237"/>
      <w:bookmarkStart w:id="253" w:name="_Ref482273233"/>
      <w:bookmarkStart w:id="254" w:name="_Toc487206112"/>
      <w:r w:rsidRPr="00503571">
        <w:t xml:space="preserve">Figure </w:t>
      </w:r>
      <w:fldSimple w:instr=" SEQ Figure \* ARABIC ">
        <w:r w:rsidR="00BE637B">
          <w:rPr>
            <w:noProof/>
          </w:rPr>
          <w:t>25</w:t>
        </w:r>
      </w:fldSimple>
      <w:bookmarkEnd w:id="252"/>
      <w:r>
        <w:t>.</w:t>
      </w:r>
      <w:r w:rsidRPr="00503571">
        <w:t xml:space="preserve"> </w:t>
      </w:r>
      <w:r w:rsidR="002D10B3" w:rsidRPr="002D10B3">
        <w:t>Average share of household disposable income spent on mobile and fixed-line telephone rent, calls and internet charges</w:t>
      </w:r>
      <w:r w:rsidRPr="00503571">
        <w:t>, by household disposable income decile, 2015</w:t>
      </w:r>
      <w:bookmarkEnd w:id="253"/>
      <w:bookmarkEnd w:id="254"/>
    </w:p>
    <w:p w:rsidR="000C30DA" w:rsidRPr="00B02DBF" w:rsidRDefault="000110C1" w:rsidP="000C30DA">
      <w:r>
        <w:rPr>
          <w:noProof/>
          <w:lang w:eastAsia="en-AU"/>
        </w:rPr>
        <w:drawing>
          <wp:inline distT="0" distB="0" distL="0" distR="0" wp14:anchorId="29411A26" wp14:editId="6975DA74">
            <wp:extent cx="5766473" cy="3688080"/>
            <wp:effectExtent l="0" t="0" r="5715" b="7620"/>
            <wp:docPr id="34" name="Picture 34" descr="This is a bar chart. The y axis shows the average share of household disposable income spent on communications services (telephone and internet). The x axis shows household disposable income deciles. Shows that in 2015, the bottom 10 per cent of households by income spent almost 10 per cent of their disposable income on communications services, compared with the top 10 per cent of households, who spent approximately 1 per cent of their disposable income." title="Figure 25. Average share of household disposable income spent on mobile and fixed-line telephone rent, calls and internet charges, by household disposable income decile,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77967" cy="3695431"/>
                    </a:xfrm>
                    <a:prstGeom prst="rect">
                      <a:avLst/>
                    </a:prstGeom>
                    <a:noFill/>
                  </pic:spPr>
                </pic:pic>
              </a:graphicData>
            </a:graphic>
          </wp:inline>
        </w:drawing>
      </w:r>
    </w:p>
    <w:p w:rsidR="000C30DA" w:rsidRPr="003E0CE9" w:rsidRDefault="000C30DA" w:rsidP="000C30DA">
      <w:pPr>
        <w:pStyle w:val="NoteSource"/>
        <w:spacing w:before="0"/>
      </w:pPr>
      <w:r>
        <w:t>Source. The Household Income and Labour Dynamics in Australia (HILDA) Survey</w:t>
      </w:r>
      <w:r w:rsidR="008276B4">
        <w:t>, Release 15</w:t>
      </w:r>
      <w:r>
        <w:t>.</w:t>
      </w:r>
    </w:p>
    <w:p w:rsidR="000C30DA" w:rsidRDefault="000C30DA" w:rsidP="000C30DA">
      <w:pPr>
        <w:pStyle w:val="NoteSource"/>
        <w:spacing w:after="240"/>
      </w:pPr>
      <w:r>
        <w:t>Notes. Analysis excludes a small number of households with an expenditure share equal to zero or equal to 100</w:t>
      </w:r>
      <w:r w:rsidR="00667BB6">
        <w:t xml:space="preserve"> per cent</w:t>
      </w:r>
      <w:r>
        <w:t xml:space="preserve"> or greater.</w:t>
      </w:r>
    </w:p>
    <w:p w:rsidR="000C30DA" w:rsidRPr="00AB614B" w:rsidRDefault="000C30DA" w:rsidP="000C30DA">
      <w:r>
        <w:t xml:space="preserve">However, the amount most vulnerable groups (as defined above) spend on key communications services has been falling as a share of their income since </w:t>
      </w:r>
      <w:r w:rsidRPr="00AB614B">
        <w:t>around 2009 (</w:t>
      </w:r>
      <w:r w:rsidRPr="00AB614B">
        <w:fldChar w:fldCharType="begin"/>
      </w:r>
      <w:r w:rsidRPr="00AB614B">
        <w:instrText xml:space="preserve"> REF _Ref482608590 \h  \* MERGEFORMAT </w:instrText>
      </w:r>
      <w:r w:rsidRPr="00AB614B">
        <w:fldChar w:fldCharType="separate"/>
      </w:r>
      <w:r w:rsidR="00BE637B" w:rsidRPr="00503571">
        <w:t xml:space="preserve">Figure </w:t>
      </w:r>
      <w:r w:rsidR="00BE637B">
        <w:rPr>
          <w:noProof/>
        </w:rPr>
        <w:t>26</w:t>
      </w:r>
      <w:r w:rsidRPr="00AB614B">
        <w:fldChar w:fldCharType="end"/>
      </w:r>
      <w:r w:rsidRPr="00AB614B">
        <w:t>). This share fell for rural households until 2013 but slightly increased more recently</w:t>
      </w:r>
      <w:r>
        <w:t xml:space="preserve"> (Figure 2</w:t>
      </w:r>
      <w:r w:rsidR="00D52555">
        <w:t>7</w:t>
      </w:r>
      <w:r w:rsidRPr="00AB614B">
        <w:t>).</w:t>
      </w:r>
    </w:p>
    <w:p w:rsidR="000C30DA" w:rsidRDefault="000C30DA" w:rsidP="000C30DA">
      <w:r>
        <w:lastRenderedPageBreak/>
        <w:t>Rural households tend to spend a slightly higher proportion of their income on key communications services compared to households overa</w:t>
      </w:r>
      <w:r w:rsidR="00D52555">
        <w:t>ll. Figure 28</w:t>
      </w:r>
      <w:r w:rsidRPr="00AB614B">
        <w:t xml:space="preserve"> an</w:t>
      </w:r>
      <w:r w:rsidR="00D52555">
        <w:t>d Figure 29</w:t>
      </w:r>
      <w:r>
        <w:t xml:space="preserve"> suggest that the recent increase in the expenditure share for rural households was largely driven by relatively weaker growth in disposable income in rural areas </w:t>
      </w:r>
      <w:r w:rsidDel="00FA63CD">
        <w:t xml:space="preserve">at the same time that expenditure </w:t>
      </w:r>
      <w:r>
        <w:t>continued</w:t>
      </w:r>
      <w:r w:rsidR="00667BB6">
        <w:t xml:space="preserve"> to</w:t>
      </w:r>
      <w:r w:rsidDel="00FA63CD">
        <w:t xml:space="preserve"> </w:t>
      </w:r>
      <w:r>
        <w:t>track</w:t>
      </w:r>
      <w:r w:rsidDel="00FA63CD">
        <w:t xml:space="preserve"> the average for all households. </w:t>
      </w:r>
      <w:r w:rsidDel="00AB614B">
        <w:t xml:space="preserve">However, </w:t>
      </w:r>
      <w:r>
        <w:t>this analysis is based on data up to 2015 and pre</w:t>
      </w:r>
      <w:r>
        <w:noBreakHyphen/>
        <w:t>dates the take-up of NBN services in many of these areas.</w:t>
      </w:r>
      <w:r w:rsidR="0092276A">
        <w:t xml:space="preserve"> </w:t>
      </w:r>
    </w:p>
    <w:p w:rsidR="000C30DA" w:rsidRDefault="000C30DA" w:rsidP="00934C33">
      <w:pPr>
        <w:pStyle w:val="Tablefigureheading"/>
      </w:pPr>
      <w:bookmarkStart w:id="255" w:name="_Ref482608590"/>
      <w:bookmarkStart w:id="256" w:name="_Toc487206113"/>
      <w:bookmarkStart w:id="257" w:name="OLE_LINK3"/>
      <w:r w:rsidRPr="00503571">
        <w:t xml:space="preserve">Figure </w:t>
      </w:r>
      <w:fldSimple w:instr=" SEQ Figure \* ARABIC ">
        <w:r w:rsidR="00BE637B">
          <w:rPr>
            <w:noProof/>
          </w:rPr>
          <w:t>26</w:t>
        </w:r>
      </w:fldSimple>
      <w:bookmarkEnd w:id="255"/>
      <w:r w:rsidRPr="00503571">
        <w:t xml:space="preserve"> and Figure </w:t>
      </w:r>
      <w:fldSimple w:instr=" SEQ Figure \* ARABIC ">
        <w:r w:rsidR="00BE637B">
          <w:rPr>
            <w:noProof/>
          </w:rPr>
          <w:t>27</w:t>
        </w:r>
      </w:fldSimple>
      <w:r w:rsidRPr="00503571">
        <w:t xml:space="preserve">. </w:t>
      </w:r>
      <w:r w:rsidR="00146873" w:rsidRPr="00146873">
        <w:t xml:space="preserve">Average share of household disposable income spent on mobile and fixed-line telephone rent, calls and </w:t>
      </w:r>
      <w:r w:rsidR="00146873" w:rsidRPr="00146873">
        <w:lastRenderedPageBreak/>
        <w:t>internet charges, by vulnerable groups and rural households over time</w:t>
      </w:r>
      <w:bookmarkEnd w:id="256"/>
    </w:p>
    <w:bookmarkEnd w:id="257"/>
    <w:p w:rsidR="000C30DA" w:rsidRPr="00B02DBF" w:rsidRDefault="0079290F" w:rsidP="000C30DA">
      <w:r>
        <w:rPr>
          <w:noProof/>
          <w:lang w:eastAsia="en-AU"/>
        </w:rPr>
        <w:drawing>
          <wp:inline distT="0" distB="0" distL="0" distR="0" wp14:anchorId="41A69454" wp14:editId="76C20BDC">
            <wp:extent cx="2700655" cy="2883535"/>
            <wp:effectExtent l="0" t="0" r="4445" b="0"/>
            <wp:docPr id="36" name="Picture 36" descr="This is a line chart. The y axis shows the average share of household disposable income spent on communications services (telephone and internet). The x axis shows time from 2006 to 2015. Shows that vulnerable households tend to spend a slightly higher proportion of their income on key communications services than households overall." title="Figure 26. Average share of household disposable income spent on mobile and fixed-line telephone rent, calls and internet charges, by vulnerable groups over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00655" cy="2883535"/>
                    </a:xfrm>
                    <a:prstGeom prst="rect">
                      <a:avLst/>
                    </a:prstGeom>
                    <a:noFill/>
                  </pic:spPr>
                </pic:pic>
              </a:graphicData>
            </a:graphic>
          </wp:inline>
        </w:drawing>
      </w:r>
      <w:r>
        <w:rPr>
          <w:noProof/>
          <w:lang w:eastAsia="en-AU"/>
        </w:rPr>
        <w:drawing>
          <wp:inline distT="0" distB="0" distL="0" distR="0" wp14:anchorId="26EABB22" wp14:editId="37514125">
            <wp:extent cx="2700655" cy="2883535"/>
            <wp:effectExtent l="0" t="0" r="4445" b="0"/>
            <wp:docPr id="37" name="Picture 37" descr="This is a line chart. The y axis shows the average share of household disposable income spent on communications services (telephone and internet). The x axis shows time from 2006 to 2015. Shows that rural households tend to spend a slightly higher proportion of their income on key communications services than households overall. " title="Figure 27. Average share of household disposable income spent on mobile and fixed-line telephone rent, calls and internet charges, by rural households over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700655" cy="2883535"/>
                    </a:xfrm>
                    <a:prstGeom prst="rect">
                      <a:avLst/>
                    </a:prstGeom>
                    <a:noFill/>
                  </pic:spPr>
                </pic:pic>
              </a:graphicData>
            </a:graphic>
          </wp:inline>
        </w:drawing>
      </w:r>
    </w:p>
    <w:p w:rsidR="000C30DA" w:rsidRDefault="000C30DA" w:rsidP="000C30DA">
      <w:pPr>
        <w:pStyle w:val="NoteSource"/>
      </w:pPr>
      <w:r>
        <w:lastRenderedPageBreak/>
        <w:t>Source.</w:t>
      </w:r>
      <w:r w:rsidRPr="00AE17E8">
        <w:t xml:space="preserve"> </w:t>
      </w:r>
      <w:r>
        <w:t xml:space="preserve">The Household, Income and Labour Dynamics in Australia (HILDA) Survey, </w:t>
      </w:r>
      <w:r w:rsidR="00D55AAA">
        <w:t xml:space="preserve">Release </w:t>
      </w:r>
      <w:r>
        <w:t>15.</w:t>
      </w:r>
    </w:p>
    <w:p w:rsidR="000C30DA" w:rsidRPr="00E26B8E" w:rsidRDefault="000C30DA" w:rsidP="00AA4213">
      <w:pPr>
        <w:pStyle w:val="NoteSource"/>
        <w:keepNext w:val="0"/>
      </w:pPr>
      <w:r>
        <w:t>Notes.</w:t>
      </w:r>
      <w:r w:rsidRPr="00BD7DA1">
        <w:t xml:space="preserve"> Analysis excludes</w:t>
      </w:r>
      <w:r>
        <w:t xml:space="preserve"> a small number of</w:t>
      </w:r>
      <w:r w:rsidRPr="00BD7DA1">
        <w:t xml:space="preserve"> households with an expenditure share equal to zero or equal to 100% or greater. </w:t>
      </w:r>
      <w:r w:rsidRPr="00E26B8E">
        <w:t xml:space="preserve">Due to small sample sizes, results for Aboriginal or Torres Strait Islander status should be treated with caution. </w:t>
      </w:r>
      <w:r w:rsidRPr="00BD7DA1">
        <w:t xml:space="preserve">The definition of rural areas is consistent with the Section of State structure in the </w:t>
      </w:r>
      <w:r>
        <w:t>Australian Statistical</w:t>
      </w:r>
      <w:r w:rsidRPr="007C6D7D">
        <w:t xml:space="preserve"> Geographical </w:t>
      </w:r>
      <w:r w:rsidRPr="00E26B8E">
        <w:t>Standard.</w:t>
      </w:r>
    </w:p>
    <w:p w:rsidR="000C30DA" w:rsidRDefault="000C30DA" w:rsidP="00934C33">
      <w:pPr>
        <w:pStyle w:val="Tablefigureheading"/>
      </w:pPr>
      <w:bookmarkStart w:id="258" w:name="_Ref482608915"/>
      <w:bookmarkStart w:id="259" w:name="_Toc487206114"/>
      <w:bookmarkStart w:id="260" w:name="OLE_LINK4"/>
      <w:r w:rsidRPr="00AB614B">
        <w:t xml:space="preserve">Figure </w:t>
      </w:r>
      <w:fldSimple w:instr=" SEQ Figure \* ARABIC ">
        <w:r w:rsidR="00BE637B">
          <w:rPr>
            <w:noProof/>
          </w:rPr>
          <w:t>28</w:t>
        </w:r>
      </w:fldSimple>
      <w:bookmarkEnd w:id="258"/>
      <w:r w:rsidRPr="00AB614B">
        <w:t xml:space="preserve"> and Figure </w:t>
      </w:r>
      <w:fldSimple w:instr=" SEQ Figure \* ARABIC ">
        <w:r w:rsidR="00BE637B">
          <w:rPr>
            <w:noProof/>
          </w:rPr>
          <w:t>29</w:t>
        </w:r>
      </w:fldSimple>
      <w:r w:rsidRPr="00AB614B">
        <w:t>. Average</w:t>
      </w:r>
      <w:r w:rsidR="00146873">
        <w:t xml:space="preserve"> annual</w:t>
      </w:r>
      <w:r w:rsidRPr="00AB614B">
        <w:t xml:space="preserve"> household expenditure on mobile and </w:t>
      </w:r>
      <w:r w:rsidRPr="00C126CC">
        <w:t xml:space="preserve">fixed-line telephone rent, calls and internet </w:t>
      </w:r>
      <w:r w:rsidRPr="00C126CC">
        <w:lastRenderedPageBreak/>
        <w:t>charges, all households and rural area</w:t>
      </w:r>
      <w:r>
        <w:t>s</w:t>
      </w:r>
      <w:r w:rsidRPr="00C126CC">
        <w:t>. Average annual household disposable income, all households and rural area</w:t>
      </w:r>
      <w:r>
        <w:t>s</w:t>
      </w:r>
      <w:r w:rsidRPr="00C126CC">
        <w:t>.</w:t>
      </w:r>
      <w:bookmarkEnd w:id="259"/>
    </w:p>
    <w:bookmarkEnd w:id="260"/>
    <w:p w:rsidR="000C30DA" w:rsidRPr="00B02DBF" w:rsidRDefault="009E3D07" w:rsidP="000C30DA">
      <w:r>
        <w:rPr>
          <w:noProof/>
          <w:lang w:eastAsia="en-AU"/>
        </w:rPr>
        <w:drawing>
          <wp:inline distT="0" distB="0" distL="0" distR="0" wp14:anchorId="68F04A0F" wp14:editId="0CB10D48">
            <wp:extent cx="2767965" cy="2426335"/>
            <wp:effectExtent l="0" t="0" r="0" b="0"/>
            <wp:docPr id="38" name="Picture 38" descr="This is a line chart. The y axis shows average household expenditure on communications services (telephone and internet). The x axis shows time from 2006 to 2015. Shows that rural households spend a similar amount on key communications services to households overall, however, this expenditure was slightly higher for rural households in 2015." title="Figure 28. Average annual household expenditure on mobile and fixed-line telephone rent, calls and internet charges, all households and rural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767965" cy="2426335"/>
                    </a:xfrm>
                    <a:prstGeom prst="rect">
                      <a:avLst/>
                    </a:prstGeom>
                    <a:noFill/>
                  </pic:spPr>
                </pic:pic>
              </a:graphicData>
            </a:graphic>
          </wp:inline>
        </w:drawing>
      </w:r>
      <w:r>
        <w:rPr>
          <w:noProof/>
          <w:lang w:eastAsia="en-AU"/>
        </w:rPr>
        <w:drawing>
          <wp:inline distT="0" distB="0" distL="0" distR="0" wp14:anchorId="0EC9A758" wp14:editId="22EC7BDB">
            <wp:extent cx="2792095" cy="2426335"/>
            <wp:effectExtent l="0" t="0" r="8255" b="0"/>
            <wp:docPr id="40" name="Picture 40" descr="This is a line chart. The y axis shows average household disposable income. The x axis shows time from 2006 to 2015. Shows that rural households, on average, tend to have lower household disposable income than households overall." title="Figure 29. Average annual household disposable income, all households and rural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792095" cy="2426335"/>
                    </a:xfrm>
                    <a:prstGeom prst="rect">
                      <a:avLst/>
                    </a:prstGeom>
                    <a:noFill/>
                  </pic:spPr>
                </pic:pic>
              </a:graphicData>
            </a:graphic>
          </wp:inline>
        </w:drawing>
      </w:r>
    </w:p>
    <w:p w:rsidR="000C30DA" w:rsidRPr="001E3DD5" w:rsidRDefault="000C30DA" w:rsidP="00934C33">
      <w:pPr>
        <w:pStyle w:val="NoteSource"/>
        <w:rPr>
          <w:b/>
        </w:rPr>
      </w:pPr>
      <w:r>
        <w:t>Source.</w:t>
      </w:r>
      <w:r w:rsidRPr="001E3DD5">
        <w:t xml:space="preserve"> Household, Income and Labour Dynamics in Australia (HILDA) Survey, </w:t>
      </w:r>
      <w:r w:rsidR="00D55AAA">
        <w:t xml:space="preserve">Release </w:t>
      </w:r>
      <w:r w:rsidRPr="001E3DD5">
        <w:t>15.</w:t>
      </w:r>
    </w:p>
    <w:p w:rsidR="000C30DA" w:rsidRPr="00E26B8E" w:rsidRDefault="000C30DA" w:rsidP="00AA4213">
      <w:pPr>
        <w:pStyle w:val="NoteSource"/>
        <w:keepNext w:val="0"/>
      </w:pPr>
      <w:r>
        <w:t>Notes.</w:t>
      </w:r>
      <w:r w:rsidRPr="00BD7DA1">
        <w:t xml:space="preserve"> Analysis excludes</w:t>
      </w:r>
      <w:r>
        <w:t xml:space="preserve"> a small number of</w:t>
      </w:r>
      <w:r w:rsidRPr="00BD7DA1">
        <w:t xml:space="preserve"> households with an expenditure share equal to zero or equal to 100% or greater. </w:t>
      </w:r>
      <w:r w:rsidRPr="00E26B8E">
        <w:t xml:space="preserve">Due to small sample sizes, results for Aboriginal or Torres Strait Islander status should be treated with caution. </w:t>
      </w:r>
      <w:r w:rsidRPr="00BD7DA1">
        <w:t xml:space="preserve">The definition of rural areas is consistent with the Section of State structure in the </w:t>
      </w:r>
      <w:r>
        <w:t>Australian Statistical</w:t>
      </w:r>
      <w:r w:rsidRPr="007C6D7D">
        <w:t xml:space="preserve"> Geographical </w:t>
      </w:r>
      <w:r w:rsidRPr="00E26B8E">
        <w:t>Standard.</w:t>
      </w:r>
    </w:p>
    <w:p w:rsidR="000C30DA" w:rsidRPr="00AA4213" w:rsidRDefault="000C30DA" w:rsidP="00A47A39">
      <w:pPr>
        <w:keepNext/>
        <w:rPr>
          <w:w w:val="95"/>
        </w:rPr>
      </w:pPr>
      <w:r w:rsidRPr="00AA4213">
        <w:rPr>
          <w:w w:val="95"/>
        </w:rPr>
        <w:lastRenderedPageBreak/>
        <w:t>The proportion of low-income households which spend a</w:t>
      </w:r>
      <w:r w:rsidR="00667BB6">
        <w:rPr>
          <w:w w:val="95"/>
        </w:rPr>
        <w:t xml:space="preserve"> relatively</w:t>
      </w:r>
      <w:r w:rsidRPr="00AA4213">
        <w:rPr>
          <w:w w:val="95"/>
        </w:rPr>
        <w:t xml:space="preserve"> large</w:t>
      </w:r>
      <w:r w:rsidR="00667BB6">
        <w:rPr>
          <w:w w:val="95"/>
        </w:rPr>
        <w:t>r</w:t>
      </w:r>
      <w:r w:rsidRPr="00AA4213">
        <w:rPr>
          <w:w w:val="95"/>
        </w:rPr>
        <w:t xml:space="preserve"> proportion of their income on communication services has also been declining. These ‘low-income, high spending’ households are defined as those:</w:t>
      </w:r>
    </w:p>
    <w:p w:rsidR="000C30DA" w:rsidRDefault="000C30DA" w:rsidP="00870DD3">
      <w:pPr>
        <w:pStyle w:val="Bulletlevel1"/>
      </w:pPr>
      <w:r>
        <w:t>with less than half the median household income, and</w:t>
      </w:r>
    </w:p>
    <w:p w:rsidR="000C30DA" w:rsidRDefault="000C30DA" w:rsidP="00870DD3">
      <w:pPr>
        <w:pStyle w:val="Bulletlevel1"/>
      </w:pPr>
      <w:r>
        <w:t xml:space="preserve">whose share of expenditure on communications services is </w:t>
      </w:r>
      <w:r w:rsidRPr="00E26B8E">
        <w:t>more than three times the median.</w:t>
      </w:r>
      <w:r>
        <w:rPr>
          <w:rStyle w:val="EndnoteReference"/>
        </w:rPr>
        <w:endnoteReference w:id="26"/>
      </w:r>
    </w:p>
    <w:p w:rsidR="000C30DA" w:rsidRDefault="000C30DA" w:rsidP="000C30DA">
      <w:r>
        <w:t>While this group may include households experiencing affordability issues, it may also include households that choose to spend a high share of disposable income on communication services due to tastes or preferences. These households tend to have younger members, who are more likely to access data</w:t>
      </w:r>
      <w:r w:rsidR="00667BB6">
        <w:noBreakHyphen/>
      </w:r>
      <w:r>
        <w:t>intensive online content such as audio and video streaming.</w:t>
      </w:r>
      <w:r>
        <w:rPr>
          <w:rStyle w:val="EndnoteReference"/>
        </w:rPr>
        <w:endnoteReference w:id="27"/>
      </w:r>
    </w:p>
    <w:p w:rsidR="000C30DA" w:rsidRDefault="000C30DA" w:rsidP="000C30DA">
      <w:pPr>
        <w:rPr>
          <w:b/>
          <w:i/>
          <w:iCs/>
          <w:color w:val="5B9BD5" w:themeColor="accent1"/>
          <w:sz w:val="18"/>
          <w:szCs w:val="18"/>
        </w:rPr>
      </w:pPr>
      <w:r w:rsidRPr="00E26B8E">
        <w:t xml:space="preserve">Overall, the share of </w:t>
      </w:r>
      <w:r>
        <w:t xml:space="preserve">‘low-income, high spending’ </w:t>
      </w:r>
      <w:r w:rsidRPr="00E26B8E">
        <w:t>households increased from 5.</w:t>
      </w:r>
      <w:r>
        <w:t>9</w:t>
      </w:r>
      <w:r w:rsidRPr="00E26B8E">
        <w:t xml:space="preserve"> per cent in 2006 to 7.</w:t>
      </w:r>
      <w:r>
        <w:t>9</w:t>
      </w:r>
      <w:r w:rsidRPr="00E26B8E">
        <w:t xml:space="preserve"> per cent in 2009 </w:t>
      </w:r>
      <w:r>
        <w:t>but</w:t>
      </w:r>
      <w:r w:rsidRPr="00E26B8E">
        <w:t xml:space="preserve"> has since fallen to </w:t>
      </w:r>
      <w:r>
        <w:t>approximately</w:t>
      </w:r>
      <w:r w:rsidRPr="00E26B8E">
        <w:t xml:space="preserve"> </w:t>
      </w:r>
      <w:r>
        <w:t>7</w:t>
      </w:r>
      <w:r w:rsidRPr="00E26B8E">
        <w:t>.</w:t>
      </w:r>
      <w:r>
        <w:t>0</w:t>
      </w:r>
      <w:r w:rsidRPr="00E26B8E">
        <w:t xml:space="preserve"> per cent in 2015. </w:t>
      </w:r>
      <w:r>
        <w:t>The proportion of</w:t>
      </w:r>
      <w:r w:rsidRPr="00E26B8E">
        <w:t xml:space="preserve"> vulnerable groups </w:t>
      </w:r>
      <w:r>
        <w:t>who are ‘low-income, high spending’ has declined over this period, though there has been a slight increase for</w:t>
      </w:r>
      <w:r w:rsidRPr="00E26B8E">
        <w:t xml:space="preserve"> rural household</w:t>
      </w:r>
      <w:r w:rsidRPr="00FA63CD">
        <w:t>s (</w:t>
      </w:r>
      <w:r w:rsidRPr="00FA63CD">
        <w:fldChar w:fldCharType="begin"/>
      </w:r>
      <w:r w:rsidRPr="00C126CC">
        <w:instrText xml:space="preserve"> REF _Ref482609602 \h </w:instrText>
      </w:r>
      <w:r w:rsidRPr="00F96B32">
        <w:instrText xml:space="preserve"> \* MERGEFORMAT </w:instrText>
      </w:r>
      <w:r w:rsidRPr="00FA63CD">
        <w:fldChar w:fldCharType="separate"/>
      </w:r>
      <w:r w:rsidR="00BE637B" w:rsidRPr="00503571">
        <w:t xml:space="preserve">Figure </w:t>
      </w:r>
      <w:r w:rsidR="00BE637B">
        <w:rPr>
          <w:noProof/>
        </w:rPr>
        <w:t>30</w:t>
      </w:r>
      <w:r w:rsidRPr="00FA63CD">
        <w:fldChar w:fldCharType="end"/>
      </w:r>
      <w:r w:rsidRPr="00FA63CD">
        <w:t>)</w:t>
      </w:r>
      <w:r w:rsidRPr="00E26B8E">
        <w:t>.</w:t>
      </w:r>
      <w:r>
        <w:t xml:space="preserve"> This could be due to a number of factors, including volatility in the data and lower income growth in rural areas in this period. Once again, this analysis is based on data up to 2015 and thus pre</w:t>
      </w:r>
      <w:r>
        <w:noBreakHyphen/>
        <w:t>dates the take-up of NBN services in many of these areas.</w:t>
      </w:r>
      <w:bookmarkStart w:id="261" w:name="_Ref482273767"/>
    </w:p>
    <w:p w:rsidR="000C30DA" w:rsidRDefault="000C30DA" w:rsidP="00934C33">
      <w:pPr>
        <w:pStyle w:val="Tablefigureheading"/>
      </w:pPr>
      <w:bookmarkStart w:id="262" w:name="_Ref482609602"/>
      <w:bookmarkStart w:id="263" w:name="_Toc487206115"/>
      <w:bookmarkStart w:id="264" w:name="OLE_LINK5"/>
      <w:r w:rsidRPr="00503571">
        <w:lastRenderedPageBreak/>
        <w:t xml:space="preserve">Figure </w:t>
      </w:r>
      <w:fldSimple w:instr=" SEQ Figure \* ARABIC ">
        <w:r w:rsidR="00BE637B">
          <w:rPr>
            <w:noProof/>
          </w:rPr>
          <w:t>30</w:t>
        </w:r>
      </w:fldSimple>
      <w:bookmarkEnd w:id="261"/>
      <w:bookmarkEnd w:id="262"/>
      <w:r w:rsidRPr="00503571">
        <w:t xml:space="preserve"> and Figure </w:t>
      </w:r>
      <w:fldSimple w:instr=" SEQ Figure \* ARABIC ">
        <w:r w:rsidR="00BE637B">
          <w:rPr>
            <w:noProof/>
          </w:rPr>
          <w:t>31</w:t>
        </w:r>
      </w:fldSimple>
      <w:r w:rsidRPr="00503571">
        <w:t xml:space="preserve">. </w:t>
      </w:r>
      <w:r>
        <w:t>Percentage</w:t>
      </w:r>
      <w:r w:rsidRPr="00503571">
        <w:t xml:space="preserve"> of low-income </w:t>
      </w:r>
      <w:r>
        <w:t xml:space="preserve">and </w:t>
      </w:r>
      <w:r w:rsidRPr="00503571">
        <w:t>high spending households, vulnerable groups and rural households, 2006</w:t>
      </w:r>
      <w:r w:rsidR="00A47A39">
        <w:t>–</w:t>
      </w:r>
      <w:r w:rsidRPr="00503571">
        <w:t>2015</w:t>
      </w:r>
      <w:bookmarkEnd w:id="263"/>
    </w:p>
    <w:bookmarkEnd w:id="264"/>
    <w:p w:rsidR="000C30DA" w:rsidRPr="00B02DBF" w:rsidRDefault="009E3D07" w:rsidP="000C30DA">
      <w:r>
        <w:rPr>
          <w:noProof/>
          <w:lang w:eastAsia="en-AU"/>
        </w:rPr>
        <w:drawing>
          <wp:inline distT="0" distB="0" distL="0" distR="0" wp14:anchorId="57B5E2A9" wp14:editId="4F24DA86">
            <wp:extent cx="2700655" cy="2883535"/>
            <wp:effectExtent l="0" t="0" r="4445" b="0"/>
            <wp:docPr id="41" name="Picture 41" descr="This is a line chart. The y axis shows the percentage of low-income and high spending households. The x axis shows time from 2006 to 2015. Shows that vulnerable groups of households have a higher proportion of low-income and high spending households than households overall." title="Figure 30. Percentage of low-income and high spending households, vulnerable groups, 2006 -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700655" cy="2883535"/>
                    </a:xfrm>
                    <a:prstGeom prst="rect">
                      <a:avLst/>
                    </a:prstGeom>
                    <a:noFill/>
                  </pic:spPr>
                </pic:pic>
              </a:graphicData>
            </a:graphic>
          </wp:inline>
        </w:drawing>
      </w:r>
      <w:r>
        <w:rPr>
          <w:noProof/>
          <w:lang w:eastAsia="en-AU"/>
        </w:rPr>
        <w:drawing>
          <wp:inline distT="0" distB="0" distL="0" distR="0" wp14:anchorId="46725C50" wp14:editId="53E01DBF">
            <wp:extent cx="2700655" cy="2883535"/>
            <wp:effectExtent l="0" t="0" r="4445" b="0"/>
            <wp:docPr id="42" name="Picture 42" descr="This is a line chart. The y axis shows the percentage of low-income and high spending households. The x axis shows time from 2006 to 2015. Shows that rural households have a higher proportion of low-income and high spending households than households overall." title="Figure 31. Percentage of low-income and high spending households, rural households, 2006 -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700655" cy="2883535"/>
                    </a:xfrm>
                    <a:prstGeom prst="rect">
                      <a:avLst/>
                    </a:prstGeom>
                    <a:noFill/>
                  </pic:spPr>
                </pic:pic>
              </a:graphicData>
            </a:graphic>
          </wp:inline>
        </w:drawing>
      </w:r>
    </w:p>
    <w:p w:rsidR="000C30DA" w:rsidRPr="00AA4213" w:rsidRDefault="000C30DA" w:rsidP="00AA4213">
      <w:pPr>
        <w:pStyle w:val="NoteSource"/>
      </w:pPr>
      <w:r>
        <w:lastRenderedPageBreak/>
        <w:t xml:space="preserve">Source. The Household, Income and Labour </w:t>
      </w:r>
      <w:r w:rsidRPr="00AA4213">
        <w:t xml:space="preserve">Dynamics in Australia (HILDA) Survey, </w:t>
      </w:r>
      <w:r w:rsidR="00D55AAA" w:rsidRPr="00AA4213">
        <w:t xml:space="preserve">Release </w:t>
      </w:r>
      <w:r w:rsidRPr="00AA4213">
        <w:t>15.</w:t>
      </w:r>
    </w:p>
    <w:p w:rsidR="000C30DA" w:rsidRPr="00AA4213" w:rsidRDefault="000C30DA" w:rsidP="00AA4213">
      <w:pPr>
        <w:pStyle w:val="NoteSource"/>
        <w:keepNext w:val="0"/>
        <w:rPr>
          <w:w w:val="96"/>
        </w:rPr>
      </w:pPr>
      <w:r w:rsidRPr="00AA4213">
        <w:rPr>
          <w:w w:val="96"/>
        </w:rPr>
        <w:t>Notes. Analysis excludes a small number of households with an expenditure share equal to zero or equal to 100</w:t>
      </w:r>
      <w:r w:rsidR="00374FE3">
        <w:rPr>
          <w:w w:val="96"/>
        </w:rPr>
        <w:t> </w:t>
      </w:r>
      <w:r w:rsidR="003F4868">
        <w:rPr>
          <w:w w:val="96"/>
        </w:rPr>
        <w:t>per cent</w:t>
      </w:r>
      <w:r w:rsidRPr="00AA4213">
        <w:rPr>
          <w:w w:val="96"/>
        </w:rPr>
        <w:t xml:space="preserve"> or greater. Due to small sample sizes, results for Aboriginal or Torres Strait Islander status should be treated with caution.</w:t>
      </w:r>
    </w:p>
    <w:p w:rsidR="000C30DA" w:rsidRDefault="000C30DA" w:rsidP="00AA4213">
      <w:r>
        <w:t>Aside from spending a</w:t>
      </w:r>
      <w:r w:rsidR="00D9106C">
        <w:t xml:space="preserve"> relatively</w:t>
      </w:r>
      <w:r>
        <w:t xml:space="preserve"> large</w:t>
      </w:r>
      <w:r w:rsidR="00D9106C">
        <w:t>r</w:t>
      </w:r>
      <w:r>
        <w:t xml:space="preserve"> proportion of their income on communication services, some vulnerable groups may also be under-utilising communications services. Compared to other households on similar incomes, households with members who are not employed, aged 65 years or older or who are Aboriginal or Torres Strait Islander tend to spend less on communications services.</w:t>
      </w:r>
    </w:p>
    <w:p w:rsidR="000C30DA" w:rsidRDefault="000C30DA" w:rsidP="00AA4213">
      <w:r>
        <w:t>A significant minority of Australian households (14 per cent) are not connected to the internet at home, with most falling within the lowest and second-lowest income quintiles. However it appears that cost is not the main reason, with respondents from these income brackets more likely to cite a lack of need (65</w:t>
      </w:r>
      <w:r w:rsidR="00D9106C">
        <w:t> </w:t>
      </w:r>
      <w:r>
        <w:t>per</w:t>
      </w:r>
      <w:r w:rsidR="00D9106C">
        <w:t> </w:t>
      </w:r>
      <w:r>
        <w:t>cent) or a lack of confidence or knowledge (24 per cent) as reasons why they do not have a home internet connection, rather than the cost of access (16 per cent).</w:t>
      </w:r>
      <w:r>
        <w:rPr>
          <w:rStyle w:val="EndnoteReference"/>
        </w:rPr>
        <w:endnoteReference w:id="28"/>
      </w:r>
      <w:r>
        <w:t xml:space="preserve"> </w:t>
      </w:r>
    </w:p>
    <w:p w:rsidR="000C30DA" w:rsidRDefault="000C30DA" w:rsidP="000C30DA">
      <w:pPr>
        <w:pStyle w:val="Heading2"/>
      </w:pPr>
      <w:bookmarkStart w:id="265" w:name="_Toc482617460"/>
      <w:bookmarkStart w:id="266" w:name="_Toc482624099"/>
      <w:bookmarkStart w:id="267" w:name="_Toc482956647"/>
      <w:bookmarkStart w:id="268" w:name="_Toc486867518"/>
      <w:bookmarkStart w:id="269" w:name="_Toc487206062"/>
      <w:bookmarkStart w:id="270" w:name="_Toc482343422"/>
      <w:bookmarkStart w:id="271" w:name="_Toc482281094"/>
      <w:bookmarkStart w:id="272" w:name="_Toc482283322"/>
      <w:bookmarkStart w:id="273" w:name="_Toc482284186"/>
      <w:bookmarkStart w:id="274" w:name="_Toc482284627"/>
      <w:r>
        <w:t>International comparisons</w:t>
      </w:r>
      <w:bookmarkEnd w:id="265"/>
      <w:bookmarkEnd w:id="266"/>
      <w:bookmarkEnd w:id="267"/>
      <w:bookmarkEnd w:id="268"/>
      <w:bookmarkEnd w:id="269"/>
    </w:p>
    <w:p w:rsidR="000C30DA" w:rsidRPr="009B0BBD" w:rsidRDefault="000C30DA" w:rsidP="000C30DA">
      <w:r w:rsidRPr="009B0BBD">
        <w:t xml:space="preserve">A number of international organisations attempt to compare affordability of ICT services between countries. These include the International Telecommunications Union (ITU) in its ‘Measuring the Information Society’ series, the World Economic Forum (WEF) in its ‘Global Information Technology’ </w:t>
      </w:r>
      <w:r>
        <w:t xml:space="preserve">report, and the </w:t>
      </w:r>
      <w:r w:rsidRPr="00D7182D">
        <w:t>Groupe Speciale Mobile Association (GSMA)</w:t>
      </w:r>
      <w:r>
        <w:t xml:space="preserve"> </w:t>
      </w:r>
      <w:r w:rsidRPr="00D7182D" w:rsidDel="00625135">
        <w:t xml:space="preserve">in its </w:t>
      </w:r>
      <w:r>
        <w:t>‘</w:t>
      </w:r>
      <w:r w:rsidRPr="00D7182D" w:rsidDel="00625135">
        <w:t>Mobile Connectivity Index</w:t>
      </w:r>
      <w:r>
        <w:t xml:space="preserve">’. </w:t>
      </w:r>
    </w:p>
    <w:p w:rsidR="000C30DA" w:rsidRPr="00D7182D" w:rsidRDefault="000C30DA" w:rsidP="000C30DA">
      <w:r>
        <w:t xml:space="preserve">Australian </w:t>
      </w:r>
      <w:r w:rsidRPr="00D7182D">
        <w:t>mobile services</w:t>
      </w:r>
      <w:r>
        <w:t xml:space="preserve"> typically perform well against these international measures. </w:t>
      </w:r>
      <w:r w:rsidRPr="00D7182D">
        <w:t>The</w:t>
      </w:r>
      <w:r>
        <w:t xml:space="preserve"> GSMA, for example,</w:t>
      </w:r>
      <w:r w:rsidRPr="00D7182D">
        <w:t xml:space="preserve"> ranked Australia fifth in the world for mobile</w:t>
      </w:r>
      <w:r>
        <w:t xml:space="preserve"> internet</w:t>
      </w:r>
      <w:r w:rsidRPr="00D7182D">
        <w:t xml:space="preserve"> affordability</w:t>
      </w:r>
      <w:r>
        <w:t xml:space="preserve"> in 2016</w:t>
      </w:r>
      <w:r w:rsidRPr="00D7182D">
        <w:t>.</w:t>
      </w:r>
      <w:r>
        <w:rPr>
          <w:rStyle w:val="EndnoteReference"/>
        </w:rPr>
        <w:endnoteReference w:id="29"/>
      </w:r>
      <w:r>
        <w:t xml:space="preserve"> Adopting different methodologies for assessing and compared prices, t</w:t>
      </w:r>
      <w:r w:rsidRPr="00D7182D">
        <w:t xml:space="preserve">he ITU ranked Australia </w:t>
      </w:r>
      <w:r>
        <w:t xml:space="preserve">as the </w:t>
      </w:r>
      <w:r w:rsidRPr="00D7182D">
        <w:t>12</w:t>
      </w:r>
      <w:r w:rsidRPr="00190584">
        <w:rPr>
          <w:vertAlign w:val="superscript"/>
        </w:rPr>
        <w:t>th</w:t>
      </w:r>
      <w:r w:rsidRPr="00D7182D">
        <w:t xml:space="preserve"> </w:t>
      </w:r>
      <w:r>
        <w:t xml:space="preserve">most affordable </w:t>
      </w:r>
      <w:r w:rsidRPr="00D7182D">
        <w:t>mobile-cellular services</w:t>
      </w:r>
      <w:r>
        <w:t xml:space="preserve"> in its 2016 report,</w:t>
      </w:r>
      <w:r>
        <w:rPr>
          <w:rStyle w:val="EndnoteReference"/>
        </w:rPr>
        <w:endnoteReference w:id="30"/>
      </w:r>
      <w:r>
        <w:t xml:space="preserve"> and </w:t>
      </w:r>
      <w:r w:rsidRPr="00D7182D">
        <w:t xml:space="preserve">the </w:t>
      </w:r>
      <w:r>
        <w:t>WEF</w:t>
      </w:r>
      <w:r w:rsidRPr="00D7182D">
        <w:t xml:space="preserve"> ranked Australia</w:t>
      </w:r>
      <w:r>
        <w:t>’s mobile tariffs as 19</w:t>
      </w:r>
      <w:r w:rsidRPr="00711555">
        <w:rPr>
          <w:vertAlign w:val="superscript"/>
        </w:rPr>
        <w:t>th</w:t>
      </w:r>
      <w:r>
        <w:t xml:space="preserve"> most affordable out of the 139 countries it assessed.</w:t>
      </w:r>
      <w:r>
        <w:rPr>
          <w:rStyle w:val="EndnoteReference"/>
        </w:rPr>
        <w:endnoteReference w:id="31"/>
      </w:r>
    </w:p>
    <w:p w:rsidR="000C30DA" w:rsidRDefault="000C30DA" w:rsidP="000C30DA">
      <w:r>
        <w:t xml:space="preserve">By contrast, </w:t>
      </w:r>
      <w:r w:rsidRPr="00D7182D">
        <w:t xml:space="preserve">Australia has </w:t>
      </w:r>
      <w:r>
        <w:t xml:space="preserve">traditionally </w:t>
      </w:r>
      <w:r w:rsidRPr="00D7182D">
        <w:t xml:space="preserve">not performed as well on </w:t>
      </w:r>
      <w:r>
        <w:t>the affordability of its fixed-line broadband services</w:t>
      </w:r>
      <w:r w:rsidRPr="00D7182D">
        <w:t xml:space="preserve">. </w:t>
      </w:r>
      <w:r>
        <w:t>T</w:t>
      </w:r>
      <w:r w:rsidRPr="00D7182D">
        <w:t xml:space="preserve">he </w:t>
      </w:r>
      <w:r>
        <w:t xml:space="preserve">WEF, for example, </w:t>
      </w:r>
      <w:r w:rsidRPr="00D7182D">
        <w:lastRenderedPageBreak/>
        <w:t>ranked Australia 100</w:t>
      </w:r>
      <w:r w:rsidRPr="00CA2938">
        <w:rPr>
          <w:vertAlign w:val="superscript"/>
        </w:rPr>
        <w:t>th</w:t>
      </w:r>
      <w:r>
        <w:t xml:space="preserve"> </w:t>
      </w:r>
      <w:r w:rsidRPr="00D7182D">
        <w:t xml:space="preserve">in the world on fixed broadband </w:t>
      </w:r>
      <w:r>
        <w:t>prices in 2016</w:t>
      </w:r>
      <w:r w:rsidRPr="00D7182D">
        <w:t xml:space="preserve">, behind comparable countries in terms of income and population density </w:t>
      </w:r>
      <w:r>
        <w:t xml:space="preserve">such as </w:t>
      </w:r>
      <w:r w:rsidRPr="00D7182D">
        <w:t>Canada (81</w:t>
      </w:r>
      <w:r w:rsidRPr="00CA2938">
        <w:rPr>
          <w:vertAlign w:val="superscript"/>
        </w:rPr>
        <w:t>st</w:t>
      </w:r>
      <w:r w:rsidRPr="00D7182D">
        <w:t>).</w:t>
      </w:r>
      <w:r>
        <w:rPr>
          <w:rStyle w:val="EndnoteReference"/>
        </w:rPr>
        <w:endnoteReference w:id="32"/>
      </w:r>
      <w:r w:rsidRPr="00A55A93">
        <w:rPr>
          <w:vertAlign w:val="superscript"/>
        </w:rPr>
        <w:t xml:space="preserve"> </w:t>
      </w:r>
      <w:r>
        <w:t>T</w:t>
      </w:r>
      <w:r w:rsidRPr="00D7182D">
        <w:t>he ITU</w:t>
      </w:r>
      <w:r>
        <w:t xml:space="preserve"> was more favourable;</w:t>
      </w:r>
      <w:r w:rsidRPr="00D7182D">
        <w:t xml:space="preserve"> </w:t>
      </w:r>
      <w:r>
        <w:t>ranking Australia’s fixed-broadband as 16</w:t>
      </w:r>
      <w:r w:rsidRPr="00CA2938">
        <w:rPr>
          <w:vertAlign w:val="superscript"/>
        </w:rPr>
        <w:t>th</w:t>
      </w:r>
      <w:r>
        <w:t xml:space="preserve"> most affordable in 2016.</w:t>
      </w:r>
      <w:r w:rsidRPr="00424905">
        <w:rPr>
          <w:rStyle w:val="EndnoteReference"/>
        </w:rPr>
        <w:t xml:space="preserve"> </w:t>
      </w:r>
      <w:r>
        <w:rPr>
          <w:rStyle w:val="EndnoteReference"/>
        </w:rPr>
        <w:endnoteReference w:id="33"/>
      </w:r>
      <w:r>
        <w:t xml:space="preserve"> This was a considerable improvement on its 2015 ranking of 40</w:t>
      </w:r>
      <w:r w:rsidRPr="007B27E2">
        <w:rPr>
          <w:vertAlign w:val="superscript"/>
        </w:rPr>
        <w:t>th</w:t>
      </w:r>
      <w:r>
        <w:t xml:space="preserve"> in the world.</w:t>
      </w:r>
      <w:r>
        <w:rPr>
          <w:rStyle w:val="EndnoteReference"/>
        </w:rPr>
        <w:endnoteReference w:id="34"/>
      </w:r>
    </w:p>
    <w:p w:rsidR="000C30DA" w:rsidRDefault="000C30DA" w:rsidP="000C30DA">
      <w:r w:rsidRPr="00503571">
        <w:t>As these broadband measures do not account for differences in product inclusions such as data allowances and speed, better data and comparable methodologies are needed for a more robust cross-country comparison of the affordability of broadband and mobile services. As such, caution should be applied when relying on these international measures.</w:t>
      </w:r>
    </w:p>
    <w:p w:rsidR="000C30DA" w:rsidRDefault="000C30DA" w:rsidP="000C30DA">
      <w:pPr>
        <w:pStyle w:val="Heading2"/>
      </w:pPr>
      <w:bookmarkStart w:id="275" w:name="_Toc482617440"/>
      <w:bookmarkStart w:id="276" w:name="_Toc482624079"/>
      <w:bookmarkStart w:id="277" w:name="_Toc482627906"/>
      <w:bookmarkStart w:id="278" w:name="_Toc482956648"/>
      <w:bookmarkStart w:id="279" w:name="_Toc486867519"/>
      <w:bookmarkStart w:id="280" w:name="_Toc487206063"/>
      <w:r>
        <w:t>Outlook for affordability</w:t>
      </w:r>
      <w:bookmarkEnd w:id="275"/>
      <w:bookmarkEnd w:id="276"/>
      <w:bookmarkEnd w:id="277"/>
      <w:bookmarkEnd w:id="278"/>
      <w:bookmarkEnd w:id="279"/>
      <w:bookmarkEnd w:id="280"/>
    </w:p>
    <w:p w:rsidR="000C30DA" w:rsidRDefault="000C30DA" w:rsidP="000C30DA">
      <w:r>
        <w:t>Strong consumer demand for communications services is anticipated to continue well into the future, driven by new digital services and technological innovations, the proliferation of</w:t>
      </w:r>
      <w:r w:rsidRPr="00682B17">
        <w:t xml:space="preserve"> content </w:t>
      </w:r>
      <w:r>
        <w:t>markets, and greater access to high-speed internet</w:t>
      </w:r>
      <w:r w:rsidRPr="00682B17">
        <w:t xml:space="preserve">. </w:t>
      </w:r>
    </w:p>
    <w:p w:rsidR="000C30DA" w:rsidRPr="002B02E8" w:rsidRDefault="000C30DA" w:rsidP="000C30DA">
      <w:r>
        <w:t xml:space="preserve">For home broadband users, the NBN will be key to delivering services that can meet this growing demand. The average NBN </w:t>
      </w:r>
      <w:r w:rsidRPr="002B02E8">
        <w:t>user download</w:t>
      </w:r>
      <w:r>
        <w:t>ed</w:t>
      </w:r>
      <w:r w:rsidRPr="002B02E8">
        <w:t xml:space="preserve"> </w:t>
      </w:r>
      <w:r>
        <w:t>150GB</w:t>
      </w:r>
      <w:r w:rsidRPr="002B02E8">
        <w:t xml:space="preserve"> per month in </w:t>
      </w:r>
      <w:r>
        <w:t>December 20</w:t>
      </w:r>
      <w:r w:rsidRPr="002B02E8">
        <w:t>16</w:t>
      </w:r>
      <w:r>
        <w:t>.</w:t>
      </w:r>
      <w:r>
        <w:rPr>
          <w:rStyle w:val="EndnoteReference"/>
        </w:rPr>
        <w:endnoteReference w:id="35"/>
      </w:r>
      <w:r w:rsidRPr="002B02E8">
        <w:t xml:space="preserve"> </w:t>
      </w:r>
      <w:r>
        <w:t>While this is already considerably higher than the national average for fixed-line broadband services,</w:t>
      </w:r>
      <w:r>
        <w:rPr>
          <w:rStyle w:val="EndnoteReference"/>
        </w:rPr>
        <w:endnoteReference w:id="36"/>
      </w:r>
      <w:r>
        <w:t xml:space="preserve"> nbn anticipates</w:t>
      </w:r>
      <w:r w:rsidRPr="002B02E8">
        <w:t xml:space="preserve"> </w:t>
      </w:r>
      <w:r>
        <w:t>average monthly data downloads</w:t>
      </w:r>
      <w:r w:rsidRPr="002B02E8">
        <w:t xml:space="preserve"> to </w:t>
      </w:r>
      <w:r>
        <w:t xml:space="preserve">more than double </w:t>
      </w:r>
      <w:r w:rsidRPr="002B02E8">
        <w:t>by 2020.</w:t>
      </w:r>
    </w:p>
    <w:p w:rsidR="000C30DA" w:rsidRDefault="000C30DA" w:rsidP="000C30DA">
      <w:r w:rsidRPr="002B02E8">
        <w:t xml:space="preserve">The </w:t>
      </w:r>
      <w:r>
        <w:t xml:space="preserve">affordability </w:t>
      </w:r>
      <w:r w:rsidRPr="002B02E8">
        <w:t xml:space="preserve">outlook for </w:t>
      </w:r>
      <w:r>
        <w:t xml:space="preserve">NBN or other fixed-line broadband services </w:t>
      </w:r>
      <w:r w:rsidRPr="002B02E8">
        <w:t>depend</w:t>
      </w:r>
      <w:r>
        <w:t>s</w:t>
      </w:r>
      <w:r w:rsidRPr="002B02E8">
        <w:t xml:space="preserve"> on </w:t>
      </w:r>
      <w:r>
        <w:t>a number of factors, including regulatory settings, competitive pressures and broader income growth</w:t>
      </w:r>
      <w:r w:rsidRPr="002B02E8">
        <w:t xml:space="preserve">. </w:t>
      </w:r>
      <w:r>
        <w:t>A key objective of the NBN is to deliver fast broadband for affordable prices, by providing wholesale services to access seekers on a level playing field. Regulatory measures ensure that most price sensitive consumers can currently access entry-level (12/1 Mbps) NBN services at a comparable price to their existing ADSL services.</w:t>
      </w:r>
    </w:p>
    <w:p w:rsidR="000C30DA" w:rsidRDefault="000C30DA" w:rsidP="000C30DA">
      <w:r>
        <w:t>A highly competitive mobile sector is likely to ensure ongoing access to affordable mobile services with growing data allowances. As existing carriers continue to make significant investments in their mobile networks,</w:t>
      </w:r>
      <w:r>
        <w:rPr>
          <w:rStyle w:val="EndnoteReference"/>
        </w:rPr>
        <w:endnoteReference w:id="37"/>
      </w:r>
      <w:r>
        <w:t xml:space="preserve"> and TPG launches its own network in 2018 with aggressively priced plans, competition will focus on retention and growth of market share. Building </w:t>
      </w:r>
      <w:r>
        <w:lastRenderedPageBreak/>
        <w:t>on these developments, the ACCC found price competition to be reasonably dynamic within the sector, and mobile prices low compared to similar countries.</w:t>
      </w:r>
      <w:r>
        <w:rPr>
          <w:rStyle w:val="EndnoteReference"/>
        </w:rPr>
        <w:endnoteReference w:id="38"/>
      </w:r>
      <w:r>
        <w:t xml:space="preserve"> These were factors in its draft decision not to declare a mobile roaming service, suggesting the ACCC views robust competition as a long-term feature of the national mobile market in Australia.</w:t>
      </w:r>
    </w:p>
    <w:p w:rsidR="000C30DA" w:rsidRDefault="000C30DA" w:rsidP="000C30DA">
      <w:r>
        <w:br w:type="page"/>
      </w:r>
    </w:p>
    <w:p w:rsidR="000C30DA" w:rsidRDefault="009E52E3" w:rsidP="000C30DA">
      <w:pPr>
        <w:pStyle w:val="Heading2"/>
      </w:pPr>
      <w:bookmarkStart w:id="281" w:name="_Toc482956649"/>
      <w:bookmarkStart w:id="282" w:name="_Toc486867520"/>
      <w:bookmarkStart w:id="283" w:name="_Toc487206064"/>
      <w:r>
        <w:lastRenderedPageBreak/>
        <w:t>Appendix</w:t>
      </w:r>
      <w:r w:rsidR="000C30DA">
        <w:t>. Price collection methodology</w:t>
      </w:r>
      <w:bookmarkEnd w:id="281"/>
      <w:bookmarkEnd w:id="282"/>
      <w:bookmarkEnd w:id="283"/>
    </w:p>
    <w:p w:rsidR="000C30DA" w:rsidRDefault="000C30DA" w:rsidP="000C30DA">
      <w:r>
        <w:t>To obtain detailed information on the prices and product inclusions of currently available communications services, the BCAR recorded details of products advertised on the websites of a range of providers. Information was collected for fixed broadband, mobile voice, and mobile wireless broadband offers on 17 and 18</w:t>
      </w:r>
      <w:r w:rsidR="00CF5CA8">
        <w:t> </w:t>
      </w:r>
      <w:r>
        <w:t>May 2017.</w:t>
      </w:r>
    </w:p>
    <w:p w:rsidR="000C30DA" w:rsidRDefault="000C30DA" w:rsidP="000C30DA">
      <w:r>
        <w:t xml:space="preserve">Due to the complexity and variability of communication service offerings, drawing meaningful comparisons between providers or plans can be challenging. Where appropriate, adjustments have been made to the </w:t>
      </w:r>
      <w:r w:rsidR="00780B64">
        <w:t xml:space="preserve">sample </w:t>
      </w:r>
      <w:r>
        <w:t>to enable meaningful comparisons between plans.</w:t>
      </w:r>
    </w:p>
    <w:p w:rsidR="000C30DA" w:rsidRDefault="000C30DA" w:rsidP="00CF5CA8">
      <w:pPr>
        <w:keepNext/>
      </w:pPr>
      <w:r>
        <w:t>The data collection and research aims to:</w:t>
      </w:r>
    </w:p>
    <w:p w:rsidR="000C30DA" w:rsidRPr="00031760" w:rsidRDefault="000C30DA" w:rsidP="00870DD3">
      <w:pPr>
        <w:pStyle w:val="Bulletlevel1"/>
        <w:rPr>
          <w:b/>
        </w:rPr>
      </w:pPr>
      <w:r w:rsidRPr="00031760">
        <w:rPr>
          <w:b/>
        </w:rPr>
        <w:t>Provide an overview of the products purchased by most consumers</w:t>
      </w:r>
      <w:r>
        <w:t xml:space="preserve"> by recording plans offered by the largest three or four providers in each market (fixed broadband, mobile voice and mobile wireless broadband), generally accounting for around 90 per cent of connections.</w:t>
      </w:r>
    </w:p>
    <w:p w:rsidR="000C30DA" w:rsidRPr="0029390F" w:rsidRDefault="000C30DA" w:rsidP="00870DD3">
      <w:pPr>
        <w:pStyle w:val="Bulletlevel1"/>
        <w:rPr>
          <w:b/>
        </w:rPr>
      </w:pPr>
      <w:r>
        <w:rPr>
          <w:b/>
        </w:rPr>
        <w:t xml:space="preserve">Provide an overview of the products available to consumers </w:t>
      </w:r>
      <w:r>
        <w:t>by recording plans offered by smaller providers, particularly MVNOs. This gives a more complete picture of the choices available to consumers.</w:t>
      </w:r>
    </w:p>
    <w:p w:rsidR="000C30DA" w:rsidRPr="0029390F" w:rsidRDefault="000C30DA" w:rsidP="00870DD3">
      <w:pPr>
        <w:pStyle w:val="Bulletlevel1"/>
        <w:rPr>
          <w:b/>
        </w:rPr>
      </w:pPr>
      <w:r>
        <w:rPr>
          <w:b/>
        </w:rPr>
        <w:t xml:space="preserve">Explore the pricing and inclusions of products most relevant to price sensitive consumers and vulnerable groups </w:t>
      </w:r>
      <w:r>
        <w:t>by analysing plans at lower price points, and considering a range</w:t>
      </w:r>
      <w:r w:rsidR="00C51CD8">
        <w:t xml:space="preserve"> of</w:t>
      </w:r>
      <w:r>
        <w:t xml:space="preserve"> prepaid mobile plans alongside post-paid offers.</w:t>
      </w:r>
    </w:p>
    <w:p w:rsidR="000C30DA" w:rsidRPr="00A27018" w:rsidRDefault="000C30DA" w:rsidP="00870DD3">
      <w:pPr>
        <w:pStyle w:val="Bulletlevel1"/>
        <w:rPr>
          <w:b/>
        </w:rPr>
      </w:pPr>
      <w:r>
        <w:rPr>
          <w:b/>
        </w:rPr>
        <w:t xml:space="preserve">Explore differences between pricing and affordability in metropolitan and regional areas </w:t>
      </w:r>
      <w:r>
        <w:t>using products offered via off-net ADSL, nbn satellite and fixed wireless, and mobile services available</w:t>
      </w:r>
      <w:r w:rsidR="00C51CD8">
        <w:t xml:space="preserve"> on the Telstra network as</w:t>
      </w:r>
      <w:r>
        <w:t xml:space="preserve"> indicators of the products available to regional customers.</w:t>
      </w:r>
    </w:p>
    <w:p w:rsidR="000C30DA" w:rsidRPr="00E16D02" w:rsidRDefault="000C30DA" w:rsidP="00870DD3">
      <w:pPr>
        <w:pStyle w:val="Bulletlevel1"/>
        <w:rPr>
          <w:b/>
        </w:rPr>
      </w:pPr>
      <w:r>
        <w:rPr>
          <w:b/>
        </w:rPr>
        <w:t>Develop an efficient, transparent and reproducible collection method</w:t>
      </w:r>
      <w:r w:rsidR="00C51CD8">
        <w:rPr>
          <w:b/>
        </w:rPr>
        <w:t>ology.</w:t>
      </w:r>
    </w:p>
    <w:p w:rsidR="000C30DA" w:rsidRDefault="00B6693F" w:rsidP="000C30DA">
      <w:r>
        <w:t>This A</w:t>
      </w:r>
      <w:r w:rsidR="000C30DA">
        <w:t>ppendix documents th</w:t>
      </w:r>
      <w:r>
        <w:t>e collection and adjustment</w:t>
      </w:r>
      <w:r w:rsidR="000C30DA">
        <w:t xml:space="preserve"> process, along with key assumptions and excluded plans. It is int</w:t>
      </w:r>
      <w:r>
        <w:t>ended to identify the boundaries of</w:t>
      </w:r>
      <w:r w:rsidR="000C30DA">
        <w:t xml:space="preserve"> the analysis, and improve the reproducibility of the research.</w:t>
      </w:r>
    </w:p>
    <w:p w:rsidR="000C30DA" w:rsidRDefault="000C30DA" w:rsidP="00B01D71">
      <w:r>
        <w:lastRenderedPageBreak/>
        <w:br w:type="page"/>
      </w:r>
    </w:p>
    <w:p w:rsidR="000C30DA" w:rsidRPr="00230749" w:rsidRDefault="000C30DA" w:rsidP="000C30DA">
      <w:pPr>
        <w:pStyle w:val="Heading3"/>
      </w:pPr>
      <w:bookmarkStart w:id="284" w:name="_Toc486867521"/>
      <w:bookmarkStart w:id="285" w:name="_Toc487184172"/>
      <w:bookmarkStart w:id="286" w:name="_Toc487188563"/>
      <w:bookmarkStart w:id="287" w:name="_Toc487206065"/>
      <w:r w:rsidRPr="00230749">
        <w:lastRenderedPageBreak/>
        <w:t>Fixed broadband products</w:t>
      </w:r>
      <w:bookmarkEnd w:id="284"/>
      <w:bookmarkEnd w:id="285"/>
      <w:bookmarkEnd w:id="286"/>
      <w:bookmarkEnd w:id="287"/>
    </w:p>
    <w:p w:rsidR="000C30DA" w:rsidRPr="00E10490" w:rsidRDefault="000C30DA" w:rsidP="000C30DA">
      <w:pPr>
        <w:pStyle w:val="Heading4"/>
      </w:pPr>
      <w:bookmarkStart w:id="288" w:name="_Toc487184173"/>
      <w:bookmarkStart w:id="289" w:name="_Toc487188564"/>
      <w:bookmarkStart w:id="290" w:name="_Toc487206066"/>
      <w:r w:rsidRPr="00E10490">
        <w:t>Providers</w:t>
      </w:r>
      <w:bookmarkEnd w:id="288"/>
      <w:bookmarkEnd w:id="289"/>
      <w:bookmarkEnd w:id="290"/>
    </w:p>
    <w:p w:rsidR="000C30DA" w:rsidRDefault="000C30DA" w:rsidP="000C30DA">
      <w:r>
        <w:t>Broadband services from the following providers were collected: Telstra and its brand Belong, Optus, TPG and its brands iiNet and Internode, and the Vocus brands iPrimus and Dodo. These four fixed broadband retailers and their major brands, account for around 90 per cent of the fixed broadband services market, as at June 2016.</w:t>
      </w:r>
    </w:p>
    <w:p w:rsidR="000C30DA" w:rsidRPr="00D863D3" w:rsidRDefault="000C30DA" w:rsidP="000C30DA">
      <w:pPr>
        <w:pStyle w:val="Heading4"/>
      </w:pPr>
      <w:bookmarkStart w:id="291" w:name="_Toc487184174"/>
      <w:bookmarkStart w:id="292" w:name="_Toc487188565"/>
      <w:bookmarkStart w:id="293" w:name="_Toc487206067"/>
      <w:r>
        <w:t>Plans</w:t>
      </w:r>
      <w:bookmarkEnd w:id="291"/>
      <w:bookmarkEnd w:id="292"/>
      <w:bookmarkEnd w:id="293"/>
    </w:p>
    <w:p w:rsidR="000C30DA" w:rsidRDefault="000C30DA" w:rsidP="000C30DA">
      <w:r>
        <w:t>Where possible, only products advertised on websites were included.</w:t>
      </w:r>
    </w:p>
    <w:p w:rsidR="000C30DA" w:rsidRDefault="000C30DA" w:rsidP="000C30DA">
      <w:pPr>
        <w:pStyle w:val="Heading4"/>
      </w:pPr>
      <w:bookmarkStart w:id="294" w:name="_Toc487184175"/>
      <w:bookmarkStart w:id="295" w:name="_Toc487188566"/>
      <w:bookmarkStart w:id="296" w:name="_Toc487206068"/>
      <w:r>
        <w:t>Connection types/technology</w:t>
      </w:r>
      <w:bookmarkEnd w:id="294"/>
      <w:bookmarkEnd w:id="295"/>
      <w:bookmarkEnd w:id="296"/>
    </w:p>
    <w:p w:rsidR="000C30DA" w:rsidRDefault="000C30DA" w:rsidP="00CF5CA8">
      <w:pPr>
        <w:keepNext/>
      </w:pPr>
      <w:r>
        <w:t>The following connection types were recorded:</w:t>
      </w:r>
    </w:p>
    <w:p w:rsidR="000C30DA" w:rsidRPr="00CF5CA8" w:rsidRDefault="000C30DA" w:rsidP="00CF5CA8">
      <w:pPr>
        <w:pStyle w:val="Bulletlevel1"/>
      </w:pPr>
      <w:r>
        <w:t>ADSL (</w:t>
      </w:r>
      <w:r w:rsidRPr="00CF5CA8">
        <w:t>on- and off-net)</w:t>
      </w:r>
    </w:p>
    <w:p w:rsidR="000C30DA" w:rsidRPr="00CF5CA8" w:rsidRDefault="000C30DA" w:rsidP="00CF5CA8">
      <w:pPr>
        <w:pStyle w:val="Bulletlevel1"/>
      </w:pPr>
      <w:r w:rsidRPr="00CF5CA8">
        <w:t>Fixed NBN connections, including:</w:t>
      </w:r>
    </w:p>
    <w:p w:rsidR="000C30DA" w:rsidRPr="00CF5CA8" w:rsidRDefault="000C30DA" w:rsidP="00CF5CA8">
      <w:pPr>
        <w:pStyle w:val="Bulletlevel1"/>
      </w:pPr>
      <w:r w:rsidRPr="00CF5CA8">
        <w:t>Fibre to the Premise (FTTP)</w:t>
      </w:r>
    </w:p>
    <w:p w:rsidR="000C30DA" w:rsidRPr="00CF5CA8" w:rsidRDefault="000C30DA" w:rsidP="00CF5CA8">
      <w:pPr>
        <w:pStyle w:val="Bulletlevel1"/>
      </w:pPr>
      <w:r w:rsidRPr="00CF5CA8">
        <w:t>Fibre to the Basement (FTTB)</w:t>
      </w:r>
    </w:p>
    <w:p w:rsidR="000C30DA" w:rsidRPr="00CF5CA8" w:rsidRDefault="000C30DA" w:rsidP="00CF5CA8">
      <w:pPr>
        <w:pStyle w:val="Bulletlevel1"/>
      </w:pPr>
      <w:r w:rsidRPr="00CF5CA8">
        <w:t>Fibre to the Node (FTTN)</w:t>
      </w:r>
    </w:p>
    <w:p w:rsidR="000C30DA" w:rsidRPr="00CF5CA8" w:rsidRDefault="000C30DA" w:rsidP="00CF5CA8">
      <w:pPr>
        <w:pStyle w:val="Bulletlevel1"/>
      </w:pPr>
      <w:r w:rsidRPr="00CF5CA8">
        <w:t>Hybrid fibre-coax (HFC)</w:t>
      </w:r>
    </w:p>
    <w:p w:rsidR="000C30DA" w:rsidRPr="00CF5CA8" w:rsidRDefault="000C30DA" w:rsidP="00CF5CA8">
      <w:pPr>
        <w:pStyle w:val="Bulletlevel1"/>
      </w:pPr>
      <w:r w:rsidRPr="00CF5CA8">
        <w:t>Fixed wireless NBN</w:t>
      </w:r>
    </w:p>
    <w:p w:rsidR="000C30DA" w:rsidRDefault="000C30DA" w:rsidP="00CF5CA8">
      <w:pPr>
        <w:pStyle w:val="Bulletlevel1"/>
      </w:pPr>
      <w:r w:rsidRPr="00CF5CA8">
        <w:t>Satellite NBN</w:t>
      </w:r>
      <w:r w:rsidR="00B01D71">
        <w:t>.</w:t>
      </w:r>
    </w:p>
    <w:p w:rsidR="000C30DA" w:rsidRDefault="000C30DA" w:rsidP="000C30DA">
      <w:r>
        <w:t>With the exception of TPG, all providers offered identical pricing across fixed-line and fixed wireless NBN connection types. The pricing of TPG</w:t>
      </w:r>
      <w:r w:rsidR="00B6693F">
        <w:t>’</w:t>
      </w:r>
      <w:r>
        <w:t>s NBN fixed wireless differed from its other NBN plans. As a result, TPG</w:t>
      </w:r>
      <w:r w:rsidR="00B6693F">
        <w:t>’</w:t>
      </w:r>
      <w:r>
        <w:t>s fixed wireless plans were excluded from the analysis. For all other providers, a single ‘fixed NBN’ price was recorded for each plan.</w:t>
      </w:r>
    </w:p>
    <w:p w:rsidR="000C30DA" w:rsidRDefault="000C30DA" w:rsidP="000C30DA">
      <w:r>
        <w:t>All other connection types, including non-NBN HFC/FTTP/FTTB/FTTN and fixed wireless, were excluded from the analysis.</w:t>
      </w:r>
    </w:p>
    <w:p w:rsidR="000C30DA" w:rsidRDefault="000C30DA" w:rsidP="000C30DA">
      <w:r>
        <w:t xml:space="preserve">A key assumption was that these providers will eventually offer plans across the entire NBN (all 121 points of interconnection (POIs)). As at 31 March, the ACCC reports that at least four access seeker groups are connecting to each POI. Additionally, Telstra, Optus and Vocus offer wholesale broadband products to all NBN-enabled premises. As a result, it is </w:t>
      </w:r>
      <w:r>
        <w:lastRenderedPageBreak/>
        <w:t>likely that the fixed broadband providers surveyed are, or will be, widely available across the NBN. This may not apply to smaller providers.</w:t>
      </w:r>
    </w:p>
    <w:p w:rsidR="000C30DA" w:rsidRDefault="000C30DA" w:rsidP="000C30DA">
      <w:pPr>
        <w:pStyle w:val="Heading4"/>
      </w:pPr>
      <w:bookmarkStart w:id="297" w:name="_Toc487184176"/>
      <w:bookmarkStart w:id="298" w:name="_Toc487188567"/>
      <w:bookmarkStart w:id="299" w:name="_Toc487206069"/>
      <w:r>
        <w:t>Voice and calling packs</w:t>
      </w:r>
      <w:bookmarkEnd w:id="297"/>
      <w:bookmarkEnd w:id="298"/>
      <w:bookmarkEnd w:id="299"/>
    </w:p>
    <w:p w:rsidR="000C30DA" w:rsidRDefault="000C30DA" w:rsidP="000C30DA">
      <w:r>
        <w:t>Some pr</w:t>
      </w:r>
      <w:r w:rsidR="00B6693F">
        <w:t xml:space="preserve">oviders offered optional voice </w:t>
      </w:r>
      <w:r>
        <w:t>add-ons which increased the monthly broadband access fee. For example, Belong offers unlimited calls to Australian numbers on all its plans, for an additional $10 per month. In these cases, the original plan and the plan with the calling pack were recorded separately. International call packs were not included in the analysis</w:t>
      </w:r>
      <w:r w:rsidR="00B01D71">
        <w:t>.</w:t>
      </w:r>
    </w:p>
    <w:p w:rsidR="000C30DA" w:rsidRDefault="000C30DA" w:rsidP="000C30DA">
      <w:pPr>
        <w:pStyle w:val="Heading4"/>
      </w:pPr>
      <w:bookmarkStart w:id="300" w:name="_Toc487184177"/>
      <w:bookmarkStart w:id="301" w:name="_Toc487188568"/>
      <w:bookmarkStart w:id="302" w:name="_Toc487206070"/>
      <w:r>
        <w:t>Speed tiers</w:t>
      </w:r>
      <w:bookmarkEnd w:id="300"/>
      <w:bookmarkEnd w:id="301"/>
      <w:bookmarkEnd w:id="302"/>
    </w:p>
    <w:p w:rsidR="000C30DA" w:rsidRDefault="000C30DA" w:rsidP="00B01D71">
      <w:pPr>
        <w:keepNext/>
      </w:pPr>
      <w:r>
        <w:t>Most providers offered optional speed add-ons for their NBN plans, where customers could upgrade to a higher speed tier for an additional monthly cost. All NBN plans were recorded at the lowest speed tier (12/1Mbps), with two exceptions:</w:t>
      </w:r>
    </w:p>
    <w:p w:rsidR="000C30DA" w:rsidRDefault="000C30DA" w:rsidP="00B01D71">
      <w:pPr>
        <w:pStyle w:val="Bulletlevel1"/>
        <w:keepNext/>
      </w:pPr>
      <w:r>
        <w:t>Telstra does not offer 12/1Mbps plans. Plans from its lowest speed tier (25/5Mbps) have been included instead.</w:t>
      </w:r>
    </w:p>
    <w:p w:rsidR="000C30DA" w:rsidRDefault="000C30DA" w:rsidP="00870DD3">
      <w:pPr>
        <w:pStyle w:val="Bulletlevel1"/>
      </w:pPr>
      <w:r>
        <w:t>Optus offers three broadband plans. Plans from its lowest speed tier (25/5Mbps) have been included.</w:t>
      </w:r>
    </w:p>
    <w:p w:rsidR="000C30DA" w:rsidRDefault="000C30DA" w:rsidP="00870DD3">
      <w:pPr>
        <w:pStyle w:val="Bulletlevel1"/>
      </w:pPr>
      <w:r>
        <w:t>Satellite plans were collected at both the 12/1Mbps and 25/5Mbps speed tiers.</w:t>
      </w:r>
    </w:p>
    <w:p w:rsidR="000C30DA" w:rsidRDefault="000C30DA" w:rsidP="000C30DA">
      <w:pPr>
        <w:pStyle w:val="Heading4"/>
      </w:pPr>
      <w:bookmarkStart w:id="303" w:name="_Toc487184178"/>
      <w:bookmarkStart w:id="304" w:name="_Toc487188569"/>
      <w:bookmarkStart w:id="305" w:name="_Toc487206071"/>
      <w:r>
        <w:t>Unlimited data</w:t>
      </w:r>
      <w:bookmarkEnd w:id="303"/>
      <w:bookmarkEnd w:id="304"/>
      <w:bookmarkEnd w:id="305"/>
    </w:p>
    <w:p w:rsidR="000C30DA" w:rsidRPr="00CB3F2A" w:rsidRDefault="000C30DA" w:rsidP="000C30DA">
      <w:r>
        <w:t xml:space="preserve">Where providers offered unlimited data, an allowance of 1500GB was used for comparison purposes. </w:t>
      </w:r>
    </w:p>
    <w:p w:rsidR="000C30DA" w:rsidRDefault="000C30DA" w:rsidP="000C30DA">
      <w:pPr>
        <w:pStyle w:val="Heading4"/>
      </w:pPr>
      <w:bookmarkStart w:id="306" w:name="_Toc487184179"/>
      <w:bookmarkStart w:id="307" w:name="_Toc487188570"/>
      <w:bookmarkStart w:id="308" w:name="_Toc487206072"/>
      <w:r>
        <w:t>Off-Peak data</w:t>
      </w:r>
      <w:bookmarkEnd w:id="306"/>
      <w:bookmarkEnd w:id="307"/>
      <w:bookmarkEnd w:id="308"/>
    </w:p>
    <w:p w:rsidR="000C30DA" w:rsidRPr="00AF6247" w:rsidRDefault="000C30DA" w:rsidP="000C30DA">
      <w:r>
        <w:t>Plans including off-peak data were relatively rare, except for NBN-Satellite plans. Some NBN satellite plans included a small amount of on</w:t>
      </w:r>
      <w:r w:rsidR="00B6693F">
        <w:noBreakHyphen/>
      </w:r>
      <w:r>
        <w:t>peak data with a much larger (more than ten times) amount of off</w:t>
      </w:r>
      <w:r w:rsidR="00B6693F">
        <w:noBreakHyphen/>
      </w:r>
      <w:r>
        <w:t>peak data. These night-owl plans were excluded from the analysis. Otherwise, off-peak data inclusions were not analysed in detail.</w:t>
      </w:r>
    </w:p>
    <w:p w:rsidR="000C30DA" w:rsidRDefault="000C30DA" w:rsidP="000C30DA">
      <w:pPr>
        <w:pStyle w:val="Heading4"/>
      </w:pPr>
      <w:bookmarkStart w:id="309" w:name="_Toc487184180"/>
      <w:bookmarkStart w:id="310" w:name="_Toc487188571"/>
      <w:bookmarkStart w:id="311" w:name="_Toc487206073"/>
      <w:r>
        <w:t>Foxtel</w:t>
      </w:r>
      <w:bookmarkEnd w:id="309"/>
      <w:bookmarkEnd w:id="310"/>
      <w:bookmarkEnd w:id="311"/>
    </w:p>
    <w:p w:rsidR="000C30DA" w:rsidRDefault="000C30DA" w:rsidP="000C30DA">
      <w:r>
        <w:t>Several Telstra plans were bundled with a Foxtel service. These plans, which were more expensive than comparable broadband plans, were excluded from the analysis.</w:t>
      </w:r>
    </w:p>
    <w:p w:rsidR="000C30DA" w:rsidRDefault="000C30DA" w:rsidP="000C30DA">
      <w:pPr>
        <w:pStyle w:val="Heading4"/>
      </w:pPr>
      <w:bookmarkStart w:id="312" w:name="_Toc487184181"/>
      <w:bookmarkStart w:id="313" w:name="_Toc487188572"/>
      <w:bookmarkStart w:id="314" w:name="_Toc487206074"/>
      <w:r>
        <w:lastRenderedPageBreak/>
        <w:t>Phone line rental</w:t>
      </w:r>
      <w:bookmarkEnd w:id="312"/>
      <w:bookmarkEnd w:id="313"/>
      <w:bookmarkEnd w:id="314"/>
    </w:p>
    <w:p w:rsidR="000C30DA" w:rsidRPr="00AF6247" w:rsidRDefault="000C30DA" w:rsidP="000C30DA">
      <w:r>
        <w:t>Both standalone broadband and broadband-voice bundles were included in the analysis. Where a plan required an active phone line, the price of Telstra Home Phone Basic ($25.95) was added to the monthly cost. Some providers offered a broadband-voice bundle at the same price as a standalone ADSL2+ connection. In these cases, only the bundle price was included. NBN-Satellite voice bundles were not considered in the analysis.</w:t>
      </w:r>
    </w:p>
    <w:p w:rsidR="000C30DA" w:rsidRPr="00D863D3" w:rsidRDefault="000C30DA" w:rsidP="000C30DA">
      <w:pPr>
        <w:pStyle w:val="Heading4"/>
      </w:pPr>
      <w:bookmarkStart w:id="315" w:name="_Toc487184182"/>
      <w:bookmarkStart w:id="316" w:name="_Toc487188573"/>
      <w:bookmarkStart w:id="317" w:name="_Toc487206075"/>
      <w:r>
        <w:t>Other product inclusions</w:t>
      </w:r>
      <w:bookmarkEnd w:id="315"/>
      <w:bookmarkEnd w:id="316"/>
      <w:bookmarkEnd w:id="317"/>
    </w:p>
    <w:p w:rsidR="000C30DA" w:rsidRDefault="000C30DA" w:rsidP="000C30DA">
      <w:r>
        <w:t xml:space="preserve">For all other optional inclusions that affect price (i.e. apart from calls or speed tier), the option with the </w:t>
      </w:r>
      <w:r>
        <w:rPr>
          <w:i/>
        </w:rPr>
        <w:t>cheapest monthly price</w:t>
      </w:r>
      <w:r>
        <w:t xml:space="preserve"> is selected. For example, some providers offer month-to-month plans with no minimum contract length but an increased monthly cost. These plans were excluded from the analysis.</w:t>
      </w:r>
    </w:p>
    <w:p w:rsidR="000C30DA" w:rsidRDefault="000C30DA" w:rsidP="000C30DA">
      <w:r>
        <w:t>A range of other product inclusions may differentiate the quality of fixed broadband services</w:t>
      </w:r>
      <w:r w:rsidRPr="00BB2861">
        <w:t>, but were not analysed in depth.</w:t>
      </w:r>
      <w:r>
        <w:t xml:space="preserve"> This includes contract length, voice inclusions, streaming/video on demand, and zero rated data inclusions.</w:t>
      </w:r>
    </w:p>
    <w:p w:rsidR="000C30DA" w:rsidRDefault="000C30DA" w:rsidP="000C30DA">
      <w:pPr>
        <w:pStyle w:val="Heading4"/>
      </w:pPr>
      <w:bookmarkStart w:id="318" w:name="_Toc487184183"/>
      <w:bookmarkStart w:id="319" w:name="_Toc487188574"/>
      <w:bookmarkStart w:id="320" w:name="_Toc487206076"/>
      <w:r>
        <w:t>Setup costs</w:t>
      </w:r>
      <w:bookmarkEnd w:id="318"/>
      <w:bookmarkEnd w:id="319"/>
      <w:bookmarkEnd w:id="320"/>
    </w:p>
    <w:p w:rsidR="000C30DA" w:rsidRDefault="000C30DA" w:rsidP="000C30DA">
      <w:r>
        <w:t>Equipment, installation and other setup costs were not considered in the analysis.</w:t>
      </w:r>
    </w:p>
    <w:p w:rsidR="000C30DA" w:rsidRDefault="000C30DA" w:rsidP="000C30DA">
      <w:pPr>
        <w:pStyle w:val="Heading4"/>
      </w:pPr>
      <w:bookmarkStart w:id="321" w:name="_Toc487184184"/>
      <w:bookmarkStart w:id="322" w:name="_Toc487188575"/>
      <w:bookmarkStart w:id="323" w:name="_Toc487206077"/>
      <w:r>
        <w:t>Connection type</w:t>
      </w:r>
      <w:bookmarkEnd w:id="321"/>
      <w:bookmarkEnd w:id="322"/>
      <w:bookmarkEnd w:id="323"/>
    </w:p>
    <w:p w:rsidR="000C30DA" w:rsidRDefault="000C30DA" w:rsidP="00B01D71">
      <w:pPr>
        <w:keepNext/>
      </w:pPr>
      <w:r>
        <w:t xml:space="preserve">Most provider websites do not present </w:t>
      </w:r>
      <w:r w:rsidR="00FB0A80">
        <w:t>customers</w:t>
      </w:r>
      <w:r w:rsidR="00780B64">
        <w:t xml:space="preserve"> with all the plans available in their area</w:t>
      </w:r>
      <w:r w:rsidR="00233092">
        <w:t xml:space="preserve"> up front</w:t>
      </w:r>
      <w:r>
        <w:t>. Instead, customers are asked to input their address and a range of options and prices is presented, based on the type of broadband connections available.</w:t>
      </w:r>
    </w:p>
    <w:p w:rsidR="000C30DA" w:rsidRDefault="000C30DA" w:rsidP="000C30DA">
      <w:r>
        <w:t>To determine prices for different technology types, a list of addresses with access to specific connection types was developed internally. These addresses were then entered into each provider website to determine pricing for each service.</w:t>
      </w:r>
    </w:p>
    <w:p w:rsidR="000C30DA" w:rsidRDefault="000C30DA" w:rsidP="000C30DA">
      <w:r>
        <w:t xml:space="preserve">For example, an address that could only access Telstra ADSL (wholesale or retail) was used to determine the off-net ADSL pricing of each provider. Similarly, an address that could only access NBN fixed wireless was </w:t>
      </w:r>
      <w:r>
        <w:lastRenderedPageBreak/>
        <w:t>used to determine prices and offers over the NBN fixed wireless footprint.</w:t>
      </w:r>
    </w:p>
    <w:p w:rsidR="000C30DA" w:rsidRDefault="000C30DA" w:rsidP="000C30DA">
      <w:r>
        <w:t xml:space="preserve">It </w:t>
      </w:r>
      <w:r w:rsidR="00BB2861">
        <w:t>was not able to be determined</w:t>
      </w:r>
      <w:r>
        <w:t xml:space="preserve"> if each of the providers examined offer products across the entire NBN. As at March 2017, at least four access seeker groups were present at each NBN point of interconnect, suggesting that many providers are widely available on the NBN.</w:t>
      </w:r>
    </w:p>
    <w:p w:rsidR="000C30DA" w:rsidRDefault="000C30DA" w:rsidP="000C30DA">
      <w:r>
        <w:t>It is unclear if providers vary pricing based on location, outside of connection type.</w:t>
      </w:r>
    </w:p>
    <w:p w:rsidR="000C30DA" w:rsidRPr="007E0C74" w:rsidRDefault="000C30DA" w:rsidP="000C30DA">
      <w:r>
        <w:t>Where providers offer a range of off-net or regional products (i.e. resell a non-Telstra ADSL network) off-net pricing was taken to be the price of a connection at a Zone 2 Telstra-only exchange.</w:t>
      </w:r>
    </w:p>
    <w:p w:rsidR="000C30DA" w:rsidRDefault="000C30DA" w:rsidP="00870DD3">
      <w:r>
        <w:br w:type="page"/>
      </w:r>
    </w:p>
    <w:p w:rsidR="000C30DA" w:rsidRPr="00230749" w:rsidRDefault="000C30DA" w:rsidP="000C30DA">
      <w:pPr>
        <w:pStyle w:val="Heading3"/>
      </w:pPr>
      <w:bookmarkStart w:id="324" w:name="_Toc486867522"/>
      <w:bookmarkStart w:id="325" w:name="_Toc487184185"/>
      <w:bookmarkStart w:id="326" w:name="_Toc487188576"/>
      <w:bookmarkStart w:id="327" w:name="_Toc487206078"/>
      <w:r w:rsidRPr="00230749">
        <w:lastRenderedPageBreak/>
        <w:t xml:space="preserve">Mobile handset and </w:t>
      </w:r>
      <w:r>
        <w:t>m</w:t>
      </w:r>
      <w:r w:rsidRPr="00230749">
        <w:t>obile wireless broadband products</w:t>
      </w:r>
      <w:bookmarkEnd w:id="324"/>
      <w:bookmarkEnd w:id="325"/>
      <w:bookmarkEnd w:id="326"/>
      <w:bookmarkEnd w:id="327"/>
    </w:p>
    <w:p w:rsidR="000C30DA" w:rsidRDefault="000C30DA" w:rsidP="000C30DA">
      <w:pPr>
        <w:pStyle w:val="Heading4"/>
      </w:pPr>
      <w:bookmarkStart w:id="328" w:name="_Toc487184186"/>
      <w:bookmarkStart w:id="329" w:name="_Toc487188577"/>
      <w:bookmarkStart w:id="330" w:name="_Toc487206079"/>
      <w:r>
        <w:t>Providers</w:t>
      </w:r>
      <w:bookmarkEnd w:id="328"/>
      <w:bookmarkEnd w:id="329"/>
      <w:bookmarkEnd w:id="330"/>
    </w:p>
    <w:p w:rsidR="000C30DA" w:rsidRDefault="000C30DA" w:rsidP="000C30DA">
      <w:r>
        <w:t xml:space="preserve">Mobile voice services from the following providers were collected: Telstra and its resellers Boost and Aldi, Optus and its resellers Amaysim and Virgin, and Vodafone and its reseller TPG. The three MNOs account for 90 per cent of the retail mobile handset services market and 85 per cent of the wireless broadband services market, as at June </w:t>
      </w:r>
      <w:r w:rsidR="00B6693F">
        <w:t>20</w:t>
      </w:r>
      <w:r>
        <w:t>.</w:t>
      </w:r>
    </w:p>
    <w:p w:rsidR="000C30DA" w:rsidRPr="00D863D3" w:rsidRDefault="000C30DA" w:rsidP="000C30DA">
      <w:pPr>
        <w:pStyle w:val="Heading4"/>
      </w:pPr>
      <w:bookmarkStart w:id="331" w:name="_Toc487184187"/>
      <w:bookmarkStart w:id="332" w:name="_Toc487188578"/>
      <w:bookmarkStart w:id="333" w:name="_Toc487206080"/>
      <w:r>
        <w:t>Plans</w:t>
      </w:r>
      <w:bookmarkEnd w:id="331"/>
      <w:bookmarkEnd w:id="332"/>
      <w:bookmarkEnd w:id="333"/>
    </w:p>
    <w:p w:rsidR="00FB0A80" w:rsidRPr="00014684" w:rsidRDefault="00FB0A80" w:rsidP="00014684">
      <w:bookmarkStart w:id="334" w:name="_Toc487184188"/>
      <w:r w:rsidRPr="00622019">
        <w:t xml:space="preserve">The analysis </w:t>
      </w:r>
      <w:r w:rsidR="00014684">
        <w:t>covered</w:t>
      </w:r>
      <w:r w:rsidR="000C30DA" w:rsidRPr="00622019">
        <w:t xml:space="preserve"> products advertised on websites.</w:t>
      </w:r>
      <w:r w:rsidR="00191797" w:rsidRPr="00622019">
        <w:t xml:space="preserve"> The analysis </w:t>
      </w:r>
      <w:r w:rsidR="007C0A3B" w:rsidRPr="0032577F">
        <w:t>does not include p</w:t>
      </w:r>
      <w:r w:rsidR="007C0A3B">
        <w:t>roducts</w:t>
      </w:r>
      <w:r w:rsidR="005619F0" w:rsidRPr="00622019">
        <w:t xml:space="preserve"> offered to cu</w:t>
      </w:r>
      <w:r w:rsidR="004B3430" w:rsidRPr="00622019">
        <w:t>stomers over other media such as telemarketing and in store.</w:t>
      </w:r>
      <w:bookmarkEnd w:id="334"/>
    </w:p>
    <w:p w:rsidR="000C30DA" w:rsidRDefault="000C30DA" w:rsidP="000C30DA">
      <w:pPr>
        <w:pStyle w:val="Heading4"/>
      </w:pPr>
      <w:bookmarkStart w:id="335" w:name="_Toc487184189"/>
      <w:bookmarkStart w:id="336" w:name="_Toc487188579"/>
      <w:bookmarkStart w:id="337" w:name="_Toc487206081"/>
      <w:r>
        <w:t>Mobile wireless broadband</w:t>
      </w:r>
      <w:bookmarkEnd w:id="335"/>
      <w:bookmarkEnd w:id="336"/>
      <w:bookmarkEnd w:id="337"/>
    </w:p>
    <w:p w:rsidR="000C30DA" w:rsidRDefault="000C30DA" w:rsidP="000C30DA">
      <w:r>
        <w:t>Plans that were advertised as mobile broadband, or did not offer voice inclusions, were analysed separately as mobile wireless broadband.</w:t>
      </w:r>
    </w:p>
    <w:p w:rsidR="000C30DA" w:rsidRDefault="000C30DA" w:rsidP="000C30DA">
      <w:pPr>
        <w:pStyle w:val="Heading4"/>
      </w:pPr>
      <w:bookmarkStart w:id="338" w:name="_Toc487184190"/>
      <w:bookmarkStart w:id="339" w:name="_Toc487188580"/>
      <w:bookmarkStart w:id="340" w:name="_Toc487206082"/>
      <w:r>
        <w:t>Plan type</w:t>
      </w:r>
      <w:bookmarkEnd w:id="338"/>
      <w:bookmarkEnd w:id="339"/>
      <w:bookmarkEnd w:id="340"/>
    </w:p>
    <w:p w:rsidR="000C30DA" w:rsidRDefault="000C30DA" w:rsidP="000C30DA">
      <w:r>
        <w:t>Both pre and post-paid mobile plans were collected. The recharge price and data included with prepaid plans with an expiry period of less than a month was adjusted to one month on a pro-rata basis, with the exception of daily prepaid plans which were excluded from all analysis. Prepaid voice plans with expiry periods of more than one month (long-life) were collected but analysed separately.</w:t>
      </w:r>
    </w:p>
    <w:p w:rsidR="000C30DA" w:rsidRDefault="000C30DA" w:rsidP="000C30DA">
      <w:r>
        <w:t xml:space="preserve">Due to the smaller number of plans, </w:t>
      </w:r>
      <w:r w:rsidR="00B6693F">
        <w:t>l</w:t>
      </w:r>
      <w:r>
        <w:t>ong-life mobile wireless broadband plans were included in the analysis. A single</w:t>
      </w:r>
      <w:r w:rsidR="00B6693F">
        <w:t xml:space="preserve"> daily</w:t>
      </w:r>
      <w:r>
        <w:t xml:space="preserve"> plan was excluded.</w:t>
      </w:r>
    </w:p>
    <w:p w:rsidR="000C30DA" w:rsidRDefault="000C30DA" w:rsidP="000C30DA">
      <w:pPr>
        <w:pStyle w:val="Heading4"/>
      </w:pPr>
      <w:bookmarkStart w:id="341" w:name="_Toc487184191"/>
      <w:bookmarkStart w:id="342" w:name="_Toc487188581"/>
      <w:bookmarkStart w:id="343" w:name="_Toc487206083"/>
      <w:r>
        <w:t>Bundled hardware</w:t>
      </w:r>
      <w:bookmarkEnd w:id="341"/>
      <w:bookmarkEnd w:id="342"/>
      <w:bookmarkEnd w:id="343"/>
    </w:p>
    <w:p w:rsidR="000C30DA" w:rsidRDefault="000C30DA" w:rsidP="000C30DA">
      <w:r>
        <w:t>Plans that included subsidised hardware (i.e. a phone/wireless modem at reduced/no up-front cost) were not included in the analysis. Plans that include a free sim card were included.</w:t>
      </w:r>
    </w:p>
    <w:p w:rsidR="000C30DA" w:rsidRDefault="000C30DA" w:rsidP="000C30DA">
      <w:pPr>
        <w:pStyle w:val="Heading4"/>
      </w:pPr>
      <w:bookmarkStart w:id="344" w:name="_Toc487184192"/>
      <w:bookmarkStart w:id="345" w:name="_Toc487188582"/>
      <w:bookmarkStart w:id="346" w:name="_Toc487206084"/>
      <w:r>
        <w:lastRenderedPageBreak/>
        <w:t>Contract length</w:t>
      </w:r>
      <w:bookmarkEnd w:id="344"/>
      <w:bookmarkEnd w:id="345"/>
      <w:bookmarkEnd w:id="346"/>
    </w:p>
    <w:p w:rsidR="000C30DA" w:rsidRPr="00395B25" w:rsidRDefault="000C30DA" w:rsidP="000C30DA">
      <w:r>
        <w:t>Unlike with fixed-line services, where contract length affected plan price</w:t>
      </w:r>
      <w:r w:rsidR="00220F7A">
        <w:t>,</w:t>
      </w:r>
      <w:r>
        <w:t xml:space="preserve"> all options were recorded. This is because the pricing structure of contracted plans appears to be substantively different from uncontracted plans.</w:t>
      </w:r>
    </w:p>
    <w:p w:rsidR="000C30DA" w:rsidRDefault="000C30DA" w:rsidP="000C30DA">
      <w:pPr>
        <w:pStyle w:val="Heading4"/>
      </w:pPr>
      <w:bookmarkStart w:id="347" w:name="_Toc487184193"/>
      <w:bookmarkStart w:id="348" w:name="_Toc487188583"/>
      <w:bookmarkStart w:id="349" w:name="_Toc487206085"/>
      <w:r>
        <w:t>Bonus data</w:t>
      </w:r>
      <w:bookmarkEnd w:id="347"/>
      <w:bookmarkEnd w:id="348"/>
      <w:bookmarkEnd w:id="349"/>
    </w:p>
    <w:p w:rsidR="000C30DA" w:rsidRPr="009072E9" w:rsidRDefault="000C30DA" w:rsidP="000C30DA">
      <w:r>
        <w:t>Some providers offered significant additional monthly data, badged as ‘bonus data.’ Where this is available over the course of the plan, it is added to standard data inclusions.</w:t>
      </w:r>
    </w:p>
    <w:p w:rsidR="000C30DA" w:rsidRPr="00D863D3" w:rsidRDefault="000C30DA" w:rsidP="000C30DA">
      <w:pPr>
        <w:pStyle w:val="Heading4"/>
      </w:pPr>
      <w:bookmarkStart w:id="350" w:name="_Toc487184194"/>
      <w:bookmarkStart w:id="351" w:name="_Toc487188584"/>
      <w:bookmarkStart w:id="352" w:name="_Toc487206086"/>
      <w:r>
        <w:t>Other product inclusions</w:t>
      </w:r>
      <w:bookmarkEnd w:id="350"/>
      <w:bookmarkEnd w:id="351"/>
      <w:bookmarkEnd w:id="352"/>
    </w:p>
    <w:p w:rsidR="000C30DA" w:rsidRDefault="000C30DA" w:rsidP="000C30DA">
      <w:r>
        <w:t>A range of other product inclusions may differentiate the quality of fixed broadband services, but were not analysed in depth. This includes international call inclusions, streaming/video on demand, and zero rated data inclusions.</w:t>
      </w:r>
    </w:p>
    <w:p w:rsidR="000C30DA" w:rsidRDefault="000C30DA" w:rsidP="00B01D71">
      <w:pPr>
        <w:rPr>
          <w:rFonts w:ascii="Roboto" w:eastAsiaTheme="majorEastAsia" w:hAnsi="Roboto" w:cstheme="majorBidi"/>
          <w:color w:val="5B9BD5" w:themeColor="accent1"/>
          <w:szCs w:val="24"/>
        </w:rPr>
      </w:pPr>
      <w:r>
        <w:br w:type="page"/>
      </w:r>
    </w:p>
    <w:p w:rsidR="000C30DA" w:rsidRDefault="009E52E3" w:rsidP="000C30DA">
      <w:pPr>
        <w:pStyle w:val="Heading2"/>
      </w:pPr>
      <w:bookmarkStart w:id="353" w:name="_Toc482617462"/>
      <w:bookmarkStart w:id="354" w:name="_Toc482624101"/>
      <w:bookmarkStart w:id="355" w:name="_Toc482956650"/>
      <w:bookmarkEnd w:id="5"/>
      <w:bookmarkEnd w:id="22"/>
      <w:bookmarkEnd w:id="23"/>
      <w:bookmarkEnd w:id="24"/>
      <w:bookmarkEnd w:id="25"/>
      <w:bookmarkEnd w:id="270"/>
      <w:bookmarkEnd w:id="271"/>
      <w:bookmarkEnd w:id="272"/>
      <w:bookmarkEnd w:id="273"/>
      <w:bookmarkEnd w:id="274"/>
      <w:bookmarkEnd w:id="353"/>
      <w:bookmarkEnd w:id="354"/>
      <w:bookmarkEnd w:id="355"/>
      <w:r>
        <w:lastRenderedPageBreak/>
        <w:t>Endnotes</w:t>
      </w:r>
    </w:p>
    <w:sectPr w:rsidR="000C30DA" w:rsidSect="000C30DA">
      <w:headerReference w:type="first" r:id="rId57"/>
      <w:footerReference w:type="first" r:id="rId58"/>
      <w:footnotePr>
        <w:numRestart w:val="eachPage"/>
      </w:footnotePr>
      <w:endnotePr>
        <w:numFmt w:val="decimal"/>
      </w:endnotePr>
      <w:pgSz w:w="11906" w:h="16838"/>
      <w:pgMar w:top="1440" w:right="1133" w:bottom="1440" w:left="1440" w:header="397" w:footer="39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6109" w:rsidRDefault="00F66109" w:rsidP="003F0A2D">
      <w:pPr>
        <w:spacing w:after="0"/>
      </w:pPr>
      <w:r>
        <w:separator/>
      </w:r>
    </w:p>
  </w:endnote>
  <w:endnote w:type="continuationSeparator" w:id="0">
    <w:p w:rsidR="00F66109" w:rsidRDefault="00F66109" w:rsidP="003F0A2D">
      <w:pPr>
        <w:spacing w:after="0"/>
      </w:pPr>
      <w:r>
        <w:continuationSeparator/>
      </w:r>
    </w:p>
  </w:endnote>
  <w:endnote w:type="continuationNotice" w:id="1">
    <w:p w:rsidR="00F66109" w:rsidRDefault="00F66109">
      <w:pPr>
        <w:spacing w:after="0"/>
      </w:pPr>
    </w:p>
  </w:endnote>
  <w:endnote w:id="2">
    <w:p w:rsidR="00DA4FBA" w:rsidRPr="00D64E57" w:rsidRDefault="00DA4FBA" w:rsidP="000E35DC">
      <w:pPr>
        <w:pStyle w:val="EndnoteText"/>
      </w:pPr>
      <w:r w:rsidRPr="00D64E57">
        <w:rPr>
          <w:rStyle w:val="EndnoteReference"/>
        </w:rPr>
        <w:endnoteRef/>
      </w:r>
      <w:r w:rsidRPr="00D64E57">
        <w:t xml:space="preserve"> This paper uses unit record data from the Household, Income and Labour Dynamics in Australia (HILDA) Survey. The HILDA Project was initiated and is funded by the Australian Government Department of Social Services (DSS) and is managed by the Melbourne Institute of Applied Economic and Social Research (Melbourne Institute). The findings and views reported in this paper, however, are those of the author and should not be attributed to either DSS or the Melbourne Institute.</w:t>
      </w:r>
    </w:p>
  </w:endnote>
  <w:endnote w:id="3">
    <w:p w:rsidR="00DA4FBA" w:rsidRPr="00420674" w:rsidRDefault="00DA4FBA" w:rsidP="000C30DA">
      <w:pPr>
        <w:pStyle w:val="EndnoteText"/>
      </w:pPr>
      <w:r>
        <w:rPr>
          <w:rStyle w:val="EndnoteReference"/>
        </w:rPr>
        <w:endnoteRef/>
      </w:r>
      <w:r>
        <w:t xml:space="preserve"> </w:t>
      </w:r>
      <w:r w:rsidRPr="00420674">
        <w:t>ABS (2015), Household and Family Projections, Australia, 2011 to 2036</w:t>
      </w:r>
      <w:r>
        <w:t>.</w:t>
      </w:r>
    </w:p>
  </w:endnote>
  <w:endnote w:id="4">
    <w:p w:rsidR="00DA4FBA" w:rsidRPr="00420674" w:rsidRDefault="00DA4FBA" w:rsidP="000C30DA">
      <w:pPr>
        <w:pStyle w:val="EndnoteText"/>
      </w:pPr>
      <w:r w:rsidRPr="00420674">
        <w:rPr>
          <w:rStyle w:val="EndnoteReference"/>
        </w:rPr>
        <w:endnoteRef/>
      </w:r>
      <w:r w:rsidRPr="00420674">
        <w:t xml:space="preserve"> </w:t>
      </w:r>
      <w:r>
        <w:t>Ibid.</w:t>
      </w:r>
    </w:p>
  </w:endnote>
  <w:endnote w:id="5">
    <w:p w:rsidR="00DA4FBA" w:rsidRPr="00420674" w:rsidRDefault="00DA4FBA" w:rsidP="000C30DA">
      <w:pPr>
        <w:pStyle w:val="EndnoteText"/>
      </w:pPr>
      <w:r w:rsidRPr="00420674">
        <w:rPr>
          <w:rStyle w:val="EndnoteReference"/>
        </w:rPr>
        <w:endnoteRef/>
      </w:r>
      <w:r w:rsidRPr="00420674">
        <w:t xml:space="preserve"> ACMA (2016), Communications report 2015-16, p.60</w:t>
      </w:r>
      <w:r>
        <w:t>.</w:t>
      </w:r>
    </w:p>
  </w:endnote>
  <w:endnote w:id="6">
    <w:p w:rsidR="00DA4FBA" w:rsidRPr="00420674" w:rsidRDefault="00DA4FBA" w:rsidP="000C30DA">
      <w:pPr>
        <w:pStyle w:val="EndnoteText"/>
      </w:pPr>
      <w:r w:rsidRPr="00420674">
        <w:rPr>
          <w:rStyle w:val="EndnoteReference"/>
        </w:rPr>
        <w:endnoteRef/>
      </w:r>
      <w:r w:rsidRPr="00420674">
        <w:t xml:space="preserve"> </w:t>
      </w:r>
      <w:r w:rsidRPr="000E35DC">
        <w:rPr>
          <w:rStyle w:val="Emphasis"/>
          <w:rFonts w:cs="Helvetica"/>
          <w:i w:val="0"/>
          <w:shd w:val="clear" w:color="auto" w:fill="FFFFFF"/>
        </w:rPr>
        <w:t>ABS (2017), 8153.0</w:t>
      </w:r>
      <w:r>
        <w:rPr>
          <w:rStyle w:val="Emphasis"/>
          <w:rFonts w:cs="Helvetica"/>
          <w:i w:val="0"/>
          <w:shd w:val="clear" w:color="auto" w:fill="FFFFFF"/>
        </w:rPr>
        <w:t>—</w:t>
      </w:r>
      <w:r w:rsidRPr="00923045">
        <w:rPr>
          <w:rStyle w:val="Emphasis"/>
          <w:rFonts w:cs="Helvetica"/>
          <w:i w:val="0"/>
          <w:shd w:val="clear" w:color="auto" w:fill="FFFFFF"/>
        </w:rPr>
        <w:t xml:space="preserve">Internet Activity, Australia, December </w:t>
      </w:r>
      <w:r w:rsidRPr="00BB2861">
        <w:rPr>
          <w:rStyle w:val="Emphasis"/>
          <w:rFonts w:cs="Helvetica"/>
          <w:i w:val="0"/>
          <w:shd w:val="clear" w:color="auto" w:fill="FFFFFF"/>
        </w:rPr>
        <w:t>2016.</w:t>
      </w:r>
    </w:p>
  </w:endnote>
  <w:endnote w:id="7">
    <w:p w:rsidR="00DA4FBA" w:rsidRPr="00420674" w:rsidRDefault="00DA4FBA" w:rsidP="000C30DA">
      <w:pPr>
        <w:pStyle w:val="EndnoteText"/>
      </w:pPr>
      <w:r w:rsidRPr="00420674">
        <w:rPr>
          <w:rStyle w:val="EndnoteReference"/>
        </w:rPr>
        <w:endnoteRef/>
      </w:r>
      <w:r w:rsidRPr="00420674">
        <w:t xml:space="preserve"> </w:t>
      </w:r>
      <w:r>
        <w:t>Ibid</w:t>
      </w:r>
      <w:r w:rsidRPr="00420674">
        <w:t>.</w:t>
      </w:r>
    </w:p>
  </w:endnote>
  <w:endnote w:id="8">
    <w:p w:rsidR="00DA4FBA" w:rsidRPr="00420674" w:rsidRDefault="00DA4FBA" w:rsidP="000C30DA">
      <w:pPr>
        <w:pStyle w:val="EndnoteText"/>
      </w:pPr>
      <w:r w:rsidRPr="00420674">
        <w:rPr>
          <w:rStyle w:val="EndnoteReference"/>
        </w:rPr>
        <w:endnoteRef/>
      </w:r>
      <w:r w:rsidRPr="00420674">
        <w:t xml:space="preserve"> The ACCC produces an annual index of communications prices to indicate movements in prices for a basket of telecommunications services. The fixed-line voice services index is calculated using a unit value approach based on company level revenue and usage data and takes into account changes in product inclusions. The internet and mobile services indices are created using consumer </w:t>
      </w:r>
      <w:r>
        <w:t>‘</w:t>
      </w:r>
      <w:r w:rsidRPr="00420674">
        <w:t>profiles</w:t>
      </w:r>
      <w:r>
        <w:t>’</w:t>
      </w:r>
      <w:r w:rsidRPr="00420674">
        <w:t xml:space="preserve"> generated from a sample of internet or mobile bills. The profiles are based on expenditure quintile (i.e. average consumption from the lowest spending fifth through to average consumption by the highest spending fifth). The most appropriate plan is selected for each group, and price compared with previous periods. Price change is averaged over each group (for the mobile index) or over each group for each provider, weighted by expenditure (for the internet index). These indices do not directly account for changes in product inclusions and are currently being reviewed by the ACCC. All three indices are adjusted for </w:t>
      </w:r>
      <w:r>
        <w:t xml:space="preserve">inflation; </w:t>
      </w:r>
      <w:r w:rsidRPr="00F96B32">
        <w:t>ACCC (2017), Competition in the Australian telecommunications sector: Price changes for telecommunications services in Australia, p</w:t>
      </w:r>
      <w:r>
        <w:t>p</w:t>
      </w:r>
      <w:r w:rsidRPr="00F96B32">
        <w:t>.108, 110</w:t>
      </w:r>
      <w:r>
        <w:t>.</w:t>
      </w:r>
    </w:p>
  </w:endnote>
  <w:endnote w:id="9">
    <w:p w:rsidR="00DA4FBA" w:rsidRPr="00420674" w:rsidRDefault="00DA4FBA" w:rsidP="000C30DA">
      <w:pPr>
        <w:pStyle w:val="EndnoteText"/>
      </w:pPr>
      <w:r w:rsidRPr="00420674">
        <w:rPr>
          <w:rStyle w:val="EndnoteReference"/>
        </w:rPr>
        <w:endnoteRef/>
      </w:r>
      <w:r w:rsidRPr="00420674">
        <w:t xml:space="preserve"> </w:t>
      </w:r>
      <w:r w:rsidRPr="005D6F70">
        <w:t xml:space="preserve">ACCC (2017), Competition in the Australian telecommunications sector: Price changes for telecommunications services in Australia, </w:t>
      </w:r>
      <w:r w:rsidRPr="00420674">
        <w:t>p.105</w:t>
      </w:r>
      <w:r>
        <w:t>.</w:t>
      </w:r>
    </w:p>
  </w:endnote>
  <w:endnote w:id="10">
    <w:p w:rsidR="00DA4FBA" w:rsidRPr="00420674" w:rsidRDefault="00DA4FBA" w:rsidP="000C30DA">
      <w:pPr>
        <w:pStyle w:val="EndnoteText"/>
      </w:pPr>
      <w:r w:rsidRPr="00420674">
        <w:rPr>
          <w:rStyle w:val="EndnoteReference"/>
        </w:rPr>
        <w:endnoteRef/>
      </w:r>
      <w:r w:rsidRPr="00420674">
        <w:t xml:space="preserve"> </w:t>
      </w:r>
      <w:r w:rsidRPr="005D6F70">
        <w:t>ACCC (2017), Competition in the Australian telecommunications sector: Price changes for telecommunications services in Australia,</w:t>
      </w:r>
      <w:r w:rsidRPr="00420674">
        <w:t xml:space="preserve"> p.99</w:t>
      </w:r>
      <w:r>
        <w:t>.</w:t>
      </w:r>
    </w:p>
  </w:endnote>
  <w:endnote w:id="11">
    <w:p w:rsidR="00DA4FBA" w:rsidRDefault="00DA4FBA" w:rsidP="000C30DA">
      <w:pPr>
        <w:pStyle w:val="EndnoteText"/>
      </w:pPr>
      <w:r w:rsidRPr="00420674">
        <w:rPr>
          <w:rStyle w:val="EndnoteReference"/>
        </w:rPr>
        <w:endnoteRef/>
      </w:r>
      <w:r w:rsidRPr="00420674">
        <w:t xml:space="preserve"> </w:t>
      </w:r>
      <w:r w:rsidRPr="00F96B32">
        <w:t>With the exception of TPG, providers offered identical plans over fixed-line NBN (FTTP, FTTB, FTTB and HFC) and fixed</w:t>
      </w:r>
      <w:r>
        <w:t xml:space="preserve"> </w:t>
      </w:r>
      <w:r w:rsidRPr="00F96B32">
        <w:t>wireless NBN. Consequently, these groups have been merged in the analysis with TPG’s fixed</w:t>
      </w:r>
      <w:r>
        <w:t xml:space="preserve"> </w:t>
      </w:r>
      <w:r w:rsidRPr="00F96B32">
        <w:t>wireless plans excluded.</w:t>
      </w:r>
    </w:p>
  </w:endnote>
  <w:endnote w:id="12">
    <w:p w:rsidR="00DA4FBA" w:rsidRDefault="00DA4FBA" w:rsidP="000C30DA">
      <w:pPr>
        <w:pStyle w:val="EndnoteText"/>
      </w:pPr>
      <w:r>
        <w:rPr>
          <w:rStyle w:val="EndnoteReference"/>
        </w:rPr>
        <w:endnoteRef/>
      </w:r>
      <w:r>
        <w:t xml:space="preserve"> Data on advertised plans was collected directly from provider websites in May 2017 for the following retail service providers: Telstra, Optus, iiNet, TPG, Internode, iPrimus, Belong and Dodo. The ACCC </w:t>
      </w:r>
      <w:r w:rsidRPr="00BA1FE9">
        <w:t>reports that Telstra, Optus, TPG group (TPG, iiNet, Internode) and Vocus (Dodo and iPrimus) provided 94% of wholesale NBN connections, and 90% of retail fixed broadband services overall, as at June 2016; Competition in the Australian telecommunications sector: Price changes for telecommunications services in Australia</w:t>
      </w:r>
      <w:r w:rsidRPr="00F96B32">
        <w:t>, pp. 16-25.</w:t>
      </w:r>
    </w:p>
  </w:endnote>
  <w:endnote w:id="13">
    <w:p w:rsidR="00DA4FBA" w:rsidRDefault="00DA4FBA" w:rsidP="000C30DA">
      <w:pPr>
        <w:pStyle w:val="EndnoteText"/>
      </w:pPr>
      <w:r>
        <w:rPr>
          <w:rStyle w:val="EndnoteReference"/>
        </w:rPr>
        <w:endnoteRef/>
      </w:r>
      <w:r>
        <w:t xml:space="preserve"> The analysis includes both </w:t>
      </w:r>
      <w:r w:rsidDel="00D70AE8">
        <w:t>fixed</w:t>
      </w:r>
      <w:r>
        <w:t>-line and fixed wireless NBN plans. All of the providers surveyed offered identical plans across these technologies with the exception of TPG which charges slightly more for fixed wireless plans.</w:t>
      </w:r>
    </w:p>
  </w:endnote>
  <w:endnote w:id="14">
    <w:p w:rsidR="00DA4FBA" w:rsidRDefault="00DA4FBA" w:rsidP="000C30DA">
      <w:pPr>
        <w:pStyle w:val="EndnoteText"/>
      </w:pPr>
      <w:r>
        <w:rPr>
          <w:rStyle w:val="EndnoteReference"/>
        </w:rPr>
        <w:endnoteRef/>
      </w:r>
      <w:r>
        <w:t xml:space="preserve"> The analysis has focused on fixed NBN plans available at the 12/1 Mbps speed tier, except where providers do not offer plans at this speed tier (i.e. Telstra and Optus). In general providers charge extra for higher speed tiers.</w:t>
      </w:r>
    </w:p>
  </w:endnote>
  <w:endnote w:id="15">
    <w:p w:rsidR="00DA4FBA" w:rsidRDefault="00DA4FBA" w:rsidP="000C30DA">
      <w:pPr>
        <w:pStyle w:val="EndnoteText"/>
      </w:pPr>
      <w:r>
        <w:rPr>
          <w:rStyle w:val="EndnoteReference"/>
        </w:rPr>
        <w:endnoteRef/>
      </w:r>
      <w:r>
        <w:t xml:space="preserve"> nbn (2016), nbn Corporate Plan 2017. </w:t>
      </w:r>
    </w:p>
  </w:endnote>
  <w:endnote w:id="16">
    <w:p w:rsidR="00DA4FBA" w:rsidRDefault="00DA4FBA" w:rsidP="000C30DA">
      <w:pPr>
        <w:pStyle w:val="EndnoteText"/>
      </w:pPr>
      <w:r>
        <w:rPr>
          <w:rStyle w:val="EndnoteReference"/>
        </w:rPr>
        <w:endnoteRef/>
      </w:r>
      <w:r>
        <w:t xml:space="preserve"> </w:t>
      </w:r>
      <w:r w:rsidRPr="00A96066">
        <w:t xml:space="preserve">ABS </w:t>
      </w:r>
      <w:r>
        <w:t xml:space="preserve">(2017), </w:t>
      </w:r>
      <w:r w:rsidRPr="00A96066">
        <w:t>8153.0 Internet Activity</w:t>
      </w:r>
      <w:r>
        <w:t>, December 2016.</w:t>
      </w:r>
    </w:p>
  </w:endnote>
  <w:endnote w:id="17">
    <w:p w:rsidR="00DA4FBA" w:rsidRPr="00D64E57" w:rsidRDefault="00DA4FBA" w:rsidP="000C30DA">
      <w:pPr>
        <w:pStyle w:val="EndnoteText"/>
      </w:pPr>
      <w:r w:rsidRPr="00D64E57">
        <w:rPr>
          <w:rStyle w:val="EndnoteReference"/>
        </w:rPr>
        <w:endnoteRef/>
      </w:r>
      <w:r w:rsidRPr="00D64E57">
        <w:t xml:space="preserve"> ACCAN (2013), Wise, Trying to connect</w:t>
      </w:r>
      <w:r>
        <w:t>—</w:t>
      </w:r>
      <w:r w:rsidRPr="00D64E57">
        <w:t>Telecommunications access and affordability among people experiencing financial hardship.</w:t>
      </w:r>
    </w:p>
  </w:endnote>
  <w:endnote w:id="18">
    <w:p w:rsidR="00DA4FBA" w:rsidRPr="00D64E57" w:rsidRDefault="00DA4FBA" w:rsidP="000C30DA">
      <w:pPr>
        <w:pStyle w:val="EndnoteText"/>
      </w:pPr>
      <w:r w:rsidRPr="00D64E57">
        <w:rPr>
          <w:rStyle w:val="EndnoteReference"/>
        </w:rPr>
        <w:endnoteRef/>
      </w:r>
      <w:r w:rsidRPr="00D64E57">
        <w:t xml:space="preserve"> Ogle &amp; Musolino (2016), Connectivity Costs, South Australian Council of Social Services.</w:t>
      </w:r>
    </w:p>
  </w:endnote>
  <w:endnote w:id="19">
    <w:p w:rsidR="00DA4FBA" w:rsidRPr="00D64E57" w:rsidRDefault="00DA4FBA" w:rsidP="000C30DA">
      <w:pPr>
        <w:pStyle w:val="EndnoteText"/>
      </w:pPr>
      <w:r w:rsidRPr="00D64E57">
        <w:rPr>
          <w:rStyle w:val="EndnoteReference"/>
        </w:rPr>
        <w:endnoteRef/>
      </w:r>
      <w:r w:rsidRPr="00D64E57">
        <w:t xml:space="preserve"> ACCC (2016), Domestic Mobile Roaming Declaration Inquiry 2016</w:t>
      </w:r>
      <w:r>
        <w:t>—</w:t>
      </w:r>
      <w:r w:rsidRPr="00D64E57">
        <w:t>Discussion Paper, p. 14.</w:t>
      </w:r>
    </w:p>
  </w:endnote>
  <w:endnote w:id="20">
    <w:p w:rsidR="00DA4FBA" w:rsidRPr="00D64E57" w:rsidRDefault="00DA4FBA" w:rsidP="000C30DA">
      <w:pPr>
        <w:pStyle w:val="EndnoteText"/>
        <w:tabs>
          <w:tab w:val="left" w:pos="7771"/>
        </w:tabs>
      </w:pPr>
      <w:r w:rsidRPr="00D64E57">
        <w:rPr>
          <w:rStyle w:val="EndnoteReference"/>
        </w:rPr>
        <w:endnoteRef/>
      </w:r>
      <w:r w:rsidRPr="00D64E57">
        <w:t xml:space="preserve"> Expiry period increases with recharge value.</w:t>
      </w:r>
      <w:r w:rsidRPr="00D64E57">
        <w:tab/>
      </w:r>
    </w:p>
  </w:endnote>
  <w:endnote w:id="21">
    <w:p w:rsidR="00DA4FBA" w:rsidRPr="00D64E57" w:rsidRDefault="00DA4FBA" w:rsidP="000C30DA">
      <w:pPr>
        <w:pStyle w:val="EndnoteText"/>
        <w:tabs>
          <w:tab w:val="left" w:pos="7798"/>
        </w:tabs>
      </w:pPr>
      <w:r w:rsidRPr="00D64E57">
        <w:rPr>
          <w:rStyle w:val="EndnoteReference"/>
        </w:rPr>
        <w:endnoteRef/>
      </w:r>
      <w:r w:rsidRPr="00D64E57">
        <w:t xml:space="preserve"> Expiry period increases with recharge value.</w:t>
      </w:r>
      <w:r>
        <w:t xml:space="preserve"> Call rates to other Virgin services are lower. Data price on the Optus APN, with the Virgin APN being significantly more expensive.</w:t>
      </w:r>
      <w:r w:rsidRPr="00D64E57">
        <w:tab/>
      </w:r>
    </w:p>
  </w:endnote>
  <w:endnote w:id="22">
    <w:p w:rsidR="00DA4FBA" w:rsidRPr="00D64E57" w:rsidRDefault="00DA4FBA" w:rsidP="000C30DA">
      <w:pPr>
        <w:pStyle w:val="EndnoteText"/>
      </w:pPr>
      <w:r w:rsidRPr="00D64E57">
        <w:rPr>
          <w:rStyle w:val="EndnoteReference"/>
        </w:rPr>
        <w:endnoteRef/>
      </w:r>
      <w:r w:rsidRPr="00D64E57">
        <w:t xml:space="preserve"> ABS (2017), 8153.0 Internet Activity, December 2016.</w:t>
      </w:r>
    </w:p>
  </w:endnote>
  <w:endnote w:id="23">
    <w:p w:rsidR="00DA4FBA" w:rsidRPr="00D64E57" w:rsidRDefault="00DA4FBA" w:rsidP="000C30DA">
      <w:pPr>
        <w:pStyle w:val="EndnoteText"/>
      </w:pPr>
      <w:r w:rsidRPr="00D64E57">
        <w:rPr>
          <w:rStyle w:val="EndnoteReference"/>
        </w:rPr>
        <w:endnoteRef/>
      </w:r>
      <w:r w:rsidRPr="00D64E57">
        <w:t xml:space="preserve"> Mobile wireless broadband is defined by the ABS as an internet connection which provides short range, high data rate connections between mobile data devices and access points connected to a network e.g. mobile WiMax and 3G/4G accessed through a datacard, USB modem, tablet SIM card or any other device used to connect a computer to a cellular network (excluding a mobile handset); ABS (2017), 8153.0 Internet Activity, December 2016.</w:t>
      </w:r>
    </w:p>
  </w:endnote>
  <w:endnote w:id="24">
    <w:p w:rsidR="00DA4FBA" w:rsidRPr="00D64E57" w:rsidRDefault="00DA4FBA" w:rsidP="000C30DA">
      <w:pPr>
        <w:pStyle w:val="EndnoteText"/>
      </w:pPr>
      <w:r w:rsidRPr="00D64E57">
        <w:rPr>
          <w:rStyle w:val="EndnoteReference"/>
        </w:rPr>
        <w:endnoteRef/>
      </w:r>
      <w:r w:rsidRPr="00D64E57">
        <w:t xml:space="preserve"> ACCC (2017), Competition in the Australian telecommunications sector: Price changes for telecommunications services in Australia, p. 29-30.</w:t>
      </w:r>
    </w:p>
  </w:endnote>
  <w:endnote w:id="25">
    <w:p w:rsidR="00DA4FBA" w:rsidRPr="00D64E57" w:rsidRDefault="00DA4FBA" w:rsidP="000C30DA">
      <w:pPr>
        <w:pStyle w:val="EndnoteText"/>
      </w:pPr>
      <w:r w:rsidRPr="00D64E57">
        <w:rPr>
          <w:rStyle w:val="EndnoteReference"/>
        </w:rPr>
        <w:endnoteRef/>
      </w:r>
      <w:r w:rsidRPr="00D64E57">
        <w:t xml:space="preserve"> ACCC (2017), Competition in the Australian telecommunications sector: Price changes for telecommunications services in Australia, p. 102.</w:t>
      </w:r>
    </w:p>
  </w:endnote>
  <w:endnote w:id="26">
    <w:p w:rsidR="00DA4FBA" w:rsidRPr="00D64E57" w:rsidRDefault="00DA4FBA" w:rsidP="000C30DA">
      <w:pPr>
        <w:pStyle w:val="EndnoteText"/>
      </w:pPr>
      <w:r w:rsidRPr="00D64E57">
        <w:rPr>
          <w:rStyle w:val="EndnoteReference"/>
        </w:rPr>
        <w:endnoteRef/>
      </w:r>
      <w:r w:rsidRPr="00D64E57">
        <w:t xml:space="preserve"> Half the median income is a standard measure of income poverty which has been used by the OECD and in previous Australian research to calculate poverty rates. https://data.oecd.org/inequality/poverty-rate.htm </w:t>
      </w:r>
      <w:hyperlink r:id="rId1" w:history="1">
        <w:r w:rsidRPr="00D64E57">
          <w:rPr>
            <w:rStyle w:val="Hyperlink"/>
          </w:rPr>
          <w:t>http://www.acoss.org.au/wp-content/uploads/2016/10/PovertyMethods2016.pdf</w:t>
        </w:r>
      </w:hyperlink>
      <w:r w:rsidRPr="00D64E57">
        <w:t>. Based on analysis of the HILDA data, three times the median share was the most appropriate metric to capture those households spending an unusually large share of their income on communications services. A multiple other than three could also be chosen.</w:t>
      </w:r>
    </w:p>
  </w:endnote>
  <w:endnote w:id="27">
    <w:p w:rsidR="00DA4FBA" w:rsidRPr="00D64E57" w:rsidRDefault="00DA4FBA" w:rsidP="000C30DA">
      <w:pPr>
        <w:pStyle w:val="EndnoteText"/>
      </w:pPr>
      <w:r w:rsidRPr="00D64E57">
        <w:rPr>
          <w:rStyle w:val="EndnoteReference"/>
        </w:rPr>
        <w:endnoteRef/>
      </w:r>
      <w:r w:rsidRPr="00D64E57">
        <w:t xml:space="preserve"> ACMA (2016), Communications report 2015-16, p. 64.</w:t>
      </w:r>
    </w:p>
  </w:endnote>
  <w:endnote w:id="28">
    <w:p w:rsidR="00DA4FBA" w:rsidRPr="00D64E57" w:rsidRDefault="00DA4FBA" w:rsidP="000C30DA">
      <w:pPr>
        <w:pStyle w:val="EndnoteText"/>
      </w:pPr>
      <w:r w:rsidRPr="00D64E57">
        <w:rPr>
          <w:rStyle w:val="EndnoteReference"/>
        </w:rPr>
        <w:endnoteRef/>
      </w:r>
      <w:r w:rsidRPr="00D64E57">
        <w:t xml:space="preserve"> ABS (2016), Household use of information technology, Australia, 2014</w:t>
      </w:r>
      <w:r>
        <w:t>–</w:t>
      </w:r>
      <w:r w:rsidRPr="00D64E57">
        <w:t>15, Table 1: Persons, by internet use; Table 5: Households without internet access, by reasons for no internet access at home</w:t>
      </w:r>
    </w:p>
  </w:endnote>
  <w:endnote w:id="29">
    <w:p w:rsidR="00DA4FBA" w:rsidRPr="00D64E57" w:rsidRDefault="00DA4FBA" w:rsidP="000C30DA">
      <w:pPr>
        <w:pStyle w:val="EndnoteText"/>
      </w:pPr>
      <w:r w:rsidRPr="00D64E57">
        <w:rPr>
          <w:rStyle w:val="EndnoteReference"/>
        </w:rPr>
        <w:endnoteRef/>
      </w:r>
      <w:r w:rsidRPr="00D64E57">
        <w:t xml:space="preserve"> The affordability measure takes into account the cost of entry-level data plans, entry-level handset prices, average income, degree of inequality and taxation; GSMA (2016), </w:t>
      </w:r>
      <w:hyperlink r:id="rId2" w:history="1">
        <w:r w:rsidRPr="00D64E57">
          <w:rPr>
            <w:rStyle w:val="Hyperlink"/>
          </w:rPr>
          <w:t>Mobile Connectivity Index: Australia</w:t>
        </w:r>
      </w:hyperlink>
      <w:r w:rsidRPr="00D64E57">
        <w:t>.</w:t>
      </w:r>
    </w:p>
  </w:endnote>
  <w:endnote w:id="30">
    <w:p w:rsidR="00DA4FBA" w:rsidRPr="00D64E57" w:rsidRDefault="00DA4FBA" w:rsidP="000C30DA">
      <w:pPr>
        <w:pStyle w:val="EndnoteText"/>
      </w:pPr>
      <w:r w:rsidRPr="00D64E57">
        <w:rPr>
          <w:rStyle w:val="EndnoteReference"/>
        </w:rPr>
        <w:endnoteRef/>
      </w:r>
      <w:r w:rsidRPr="00D64E57">
        <w:t xml:space="preserve"> </w:t>
      </w:r>
      <w:r>
        <w:t xml:space="preserve">The mobile-cellular sub-basket of ICT prices refers to the price of a standard basket of 30 outgoing calls per month (on-net/off-net to a fixed-line and for peak and off-peak times, in predetermined ratios), plus 100 SMS messages. </w:t>
      </w:r>
      <w:r w:rsidRPr="00D64E57">
        <w:t xml:space="preserve">ITU (2016), </w:t>
      </w:r>
      <w:hyperlink r:id="rId3" w:history="1">
        <w:r w:rsidRPr="00D64E57">
          <w:rPr>
            <w:rStyle w:val="Hyperlink"/>
          </w:rPr>
          <w:t>Measuring the Information Society Report 2016</w:t>
        </w:r>
      </w:hyperlink>
      <w:r w:rsidRPr="00D64E57">
        <w:t>, p</w:t>
      </w:r>
      <w:r>
        <w:t>p</w:t>
      </w:r>
      <w:r w:rsidRPr="00D64E57">
        <w:t xml:space="preserve">. </w:t>
      </w:r>
      <w:r>
        <w:t xml:space="preserve">105, </w:t>
      </w:r>
      <w:r w:rsidRPr="00D64E57">
        <w:t>107</w:t>
      </w:r>
      <w:r>
        <w:t>.</w:t>
      </w:r>
    </w:p>
  </w:endnote>
  <w:endnote w:id="31">
    <w:p w:rsidR="00DA4FBA" w:rsidRPr="00D64E57" w:rsidRDefault="00DA4FBA" w:rsidP="000C30DA">
      <w:pPr>
        <w:pStyle w:val="EndnoteText"/>
      </w:pPr>
      <w:r w:rsidRPr="00D64E57">
        <w:rPr>
          <w:rStyle w:val="EndnoteReference"/>
        </w:rPr>
        <w:endnoteRef/>
      </w:r>
      <w:r w:rsidRPr="00D64E57">
        <w:t xml:space="preserve"> World Economic Forum (2016), </w:t>
      </w:r>
      <w:hyperlink r:id="rId4" w:history="1">
        <w:r w:rsidRPr="00D64E57">
          <w:rPr>
            <w:rStyle w:val="Hyperlink"/>
          </w:rPr>
          <w:t>Global Information Technology Report 2016</w:t>
        </w:r>
      </w:hyperlink>
      <w:r w:rsidRPr="00D64E57">
        <w:t>, p. 60.</w:t>
      </w:r>
      <w:r>
        <w:t xml:space="preserve"> </w:t>
      </w:r>
    </w:p>
  </w:endnote>
  <w:endnote w:id="32">
    <w:p w:rsidR="00DA4FBA" w:rsidRPr="00D64E57" w:rsidRDefault="00DA4FBA" w:rsidP="000C30DA">
      <w:pPr>
        <w:pStyle w:val="EndnoteText"/>
      </w:pPr>
      <w:r w:rsidRPr="00D64E57">
        <w:rPr>
          <w:rStyle w:val="EndnoteReference"/>
        </w:rPr>
        <w:endnoteRef/>
      </w:r>
      <w:r w:rsidRPr="00D64E57">
        <w:t xml:space="preserve"> </w:t>
      </w:r>
      <w:r>
        <w:t>Ibid</w:t>
      </w:r>
      <w:r w:rsidRPr="00D64E57">
        <w:t>.</w:t>
      </w:r>
    </w:p>
  </w:endnote>
  <w:endnote w:id="33">
    <w:p w:rsidR="00DA4FBA" w:rsidRPr="00D64E57" w:rsidRDefault="00DA4FBA" w:rsidP="000C30DA">
      <w:pPr>
        <w:pStyle w:val="EndnoteText"/>
      </w:pPr>
      <w:r w:rsidRPr="00D64E57">
        <w:rPr>
          <w:rStyle w:val="EndnoteReference"/>
        </w:rPr>
        <w:endnoteRef/>
      </w:r>
      <w:r w:rsidRPr="00D64E57">
        <w:t xml:space="preserve"> ITU (2016), </w:t>
      </w:r>
      <w:hyperlink r:id="rId5" w:history="1">
        <w:r w:rsidRPr="00D64E57">
          <w:rPr>
            <w:rStyle w:val="Hyperlink"/>
          </w:rPr>
          <w:t>Measuring the Information Society Report 2016</w:t>
        </w:r>
      </w:hyperlink>
      <w:r w:rsidRPr="00D64E57">
        <w:t>, p. 120</w:t>
      </w:r>
      <w:r>
        <w:t>.</w:t>
      </w:r>
    </w:p>
  </w:endnote>
  <w:endnote w:id="34">
    <w:p w:rsidR="00DA4FBA" w:rsidRPr="00D64E57" w:rsidRDefault="00DA4FBA" w:rsidP="000C30DA">
      <w:pPr>
        <w:pStyle w:val="EndnoteText"/>
      </w:pPr>
      <w:r w:rsidRPr="00D64E57">
        <w:rPr>
          <w:rStyle w:val="EndnoteReference"/>
        </w:rPr>
        <w:endnoteRef/>
      </w:r>
      <w:r w:rsidRPr="00D64E57">
        <w:t xml:space="preserve"> Noting that this score is derived from the price of a single plan from a single provider, and therefore may not be representative of the affordability of the wider market.</w:t>
      </w:r>
    </w:p>
  </w:endnote>
  <w:endnote w:id="35">
    <w:p w:rsidR="00DA4FBA" w:rsidRPr="00D64E57" w:rsidRDefault="00DA4FBA" w:rsidP="000C30DA">
      <w:pPr>
        <w:pStyle w:val="EndnoteText"/>
      </w:pPr>
      <w:r w:rsidRPr="00D64E57">
        <w:rPr>
          <w:rStyle w:val="EndnoteReference"/>
        </w:rPr>
        <w:endnoteRef/>
      </w:r>
      <w:r w:rsidRPr="00D64E57">
        <w:t xml:space="preserve"> nbn (2017), Aussie OTT subscribers set to treble [media release], 28 March.</w:t>
      </w:r>
    </w:p>
  </w:endnote>
  <w:endnote w:id="36">
    <w:p w:rsidR="00DA4FBA" w:rsidRPr="00D64E57" w:rsidRDefault="00DA4FBA" w:rsidP="000C30DA">
      <w:pPr>
        <w:pStyle w:val="EndnoteText"/>
      </w:pPr>
      <w:r w:rsidRPr="00D64E57">
        <w:rPr>
          <w:rStyle w:val="EndnoteReference"/>
        </w:rPr>
        <w:endnoteRef/>
      </w:r>
      <w:r w:rsidRPr="00D64E57">
        <w:t xml:space="preserve"> The average fixed-line broadband subscriber downloaded 117GB of monthly data in December 2016; ABS (2017), 8153.0 - Internet Activity, Australia, December 2012-2016.</w:t>
      </w:r>
    </w:p>
  </w:endnote>
  <w:endnote w:id="37">
    <w:p w:rsidR="00DA4FBA" w:rsidRPr="00D64E57" w:rsidRDefault="00DA4FBA" w:rsidP="000C30DA">
      <w:pPr>
        <w:pStyle w:val="EndnoteText"/>
      </w:pPr>
      <w:r w:rsidRPr="00D64E57">
        <w:rPr>
          <w:rStyle w:val="EndnoteReference"/>
        </w:rPr>
        <w:endnoteRef/>
      </w:r>
      <w:r w:rsidRPr="00D64E57">
        <w:t xml:space="preserve"> ACCC, Telecommunications reports 2014</w:t>
      </w:r>
      <w:r>
        <w:t>–</w:t>
      </w:r>
      <w:r w:rsidRPr="00D64E57">
        <w:t>15, p.</w:t>
      </w:r>
      <w:r>
        <w:t xml:space="preserve"> </w:t>
      </w:r>
      <w:r w:rsidRPr="00D64E57">
        <w:t>7</w:t>
      </w:r>
      <w:r>
        <w:t>.</w:t>
      </w:r>
    </w:p>
  </w:endnote>
  <w:endnote w:id="38">
    <w:p w:rsidR="00DA4FBA" w:rsidRDefault="00DA4FBA" w:rsidP="000C30DA">
      <w:pPr>
        <w:pStyle w:val="EndnoteText"/>
      </w:pPr>
      <w:r w:rsidRPr="00D64E57">
        <w:rPr>
          <w:rStyle w:val="EndnoteReference"/>
        </w:rPr>
        <w:endnoteRef/>
      </w:r>
      <w:r w:rsidRPr="00D64E57">
        <w:t xml:space="preserve"> ACCC (2017), Domestic mobile roaming declaration inquiry: draft decision, May.</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radeGothicLTStd-Light">
    <w:altName w:val="Trade Gothic LT Std Light"/>
    <w:panose1 w:val="00000000000000000000"/>
    <w:charset w:val="4D"/>
    <w:family w:val="auto"/>
    <w:notTrueType/>
    <w:pitch w:val="default"/>
    <w:sig w:usb0="00000003" w:usb1="00000000" w:usb2="00000000" w:usb3="00000000" w:csb0="00000001" w:csb1="00000000"/>
  </w:font>
  <w:font w:name="Geogrotesque-Light">
    <w:altName w:val="Geogrotesque Light"/>
    <w:panose1 w:val="00000000000000000000"/>
    <w:charset w:val="4D"/>
    <w:family w:val="auto"/>
    <w:notTrueType/>
    <w:pitch w:val="default"/>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Gafata">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Roboto">
    <w:panose1 w:val="00000000000000000000"/>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4FBA" w:rsidRDefault="00DA4FBA" w:rsidP="00297528">
    <w:pPr>
      <w:pStyle w:val="Footer"/>
      <w:ind w:left="-1418"/>
    </w:pPr>
    <w:r>
      <w:rPr>
        <w:noProof/>
        <w:lang w:eastAsia="en-AU"/>
      </w:rPr>
      <w:drawing>
        <wp:inline distT="0" distB="0" distL="0" distR="0" wp14:anchorId="6CFFE327" wp14:editId="2FBA372B">
          <wp:extent cx="7599486" cy="767021"/>
          <wp:effectExtent l="0" t="0" r="1905" b="0"/>
          <wp:docPr id="35" name="Picture 35" descr="Australian Government, Department of Communications and the Arts.&#10;http://www.communications.gov.au&#10;http://www.arts.gov.au&#10;http://www.classification.gov.au&#10;&#10;GPO Box 2154, Canberra ACT 2601 Australia.&#10;Telephone 02 6271 1000" title="Contact the Department of Communications and the 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footer-bann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26550" cy="779846"/>
                  </a:xfrm>
                  <a:prstGeom prst="rect">
                    <a:avLst/>
                  </a:prstGeom>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07478C"/>
      </w:rPr>
      <w:id w:val="1214160386"/>
      <w:docPartObj>
        <w:docPartGallery w:val="Page Numbers (Bottom of Page)"/>
        <w:docPartUnique/>
      </w:docPartObj>
    </w:sdtPr>
    <w:sdtEndPr>
      <w:rPr>
        <w:noProof/>
        <w:sz w:val="16"/>
        <w:szCs w:val="16"/>
      </w:rPr>
    </w:sdtEndPr>
    <w:sdtContent>
      <w:p w:rsidR="00DA4FBA" w:rsidRPr="00E44746" w:rsidRDefault="00DA4FBA" w:rsidP="00666FC7">
        <w:pPr>
          <w:pStyle w:val="Footer"/>
          <w:rPr>
            <w:color w:val="07478C"/>
            <w:sz w:val="16"/>
            <w:szCs w:val="16"/>
          </w:rPr>
        </w:pPr>
        <w:r w:rsidRPr="00E44746">
          <w:rPr>
            <w:color w:val="07478C"/>
          </w:rPr>
          <w:t>Private sector support for the arts in Australia</w:t>
        </w:r>
        <w:r w:rsidRPr="00E44746">
          <w:rPr>
            <w:color w:val="07478C"/>
          </w:rPr>
          <w:tab/>
        </w:r>
        <w:r w:rsidRPr="00E44746">
          <w:rPr>
            <w:color w:val="07478C"/>
          </w:rPr>
          <w:tab/>
        </w:r>
        <w:r w:rsidRPr="00E44746">
          <w:rPr>
            <w:color w:val="07478C"/>
            <w:sz w:val="16"/>
            <w:szCs w:val="16"/>
          </w:rPr>
          <w:fldChar w:fldCharType="begin"/>
        </w:r>
        <w:r w:rsidRPr="00E44746">
          <w:rPr>
            <w:color w:val="07478C"/>
            <w:sz w:val="16"/>
            <w:szCs w:val="16"/>
          </w:rPr>
          <w:instrText xml:space="preserve"> PAGE   \* MERGEFORMAT </w:instrText>
        </w:r>
        <w:r w:rsidRPr="00E44746">
          <w:rPr>
            <w:color w:val="07478C"/>
            <w:sz w:val="16"/>
            <w:szCs w:val="16"/>
          </w:rPr>
          <w:fldChar w:fldCharType="separate"/>
        </w:r>
        <w:r>
          <w:rPr>
            <w:noProof/>
            <w:color w:val="07478C"/>
            <w:sz w:val="16"/>
            <w:szCs w:val="16"/>
          </w:rPr>
          <w:t>6</w:t>
        </w:r>
        <w:r w:rsidRPr="00E44746">
          <w:rPr>
            <w:noProof/>
            <w:color w:val="07478C"/>
            <w:sz w:val="16"/>
            <w:szCs w:val="16"/>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07478C"/>
      </w:rPr>
      <w:id w:val="563215974"/>
      <w:docPartObj>
        <w:docPartGallery w:val="Page Numbers (Bottom of Page)"/>
        <w:docPartUnique/>
      </w:docPartObj>
    </w:sdtPr>
    <w:sdtEndPr>
      <w:rPr>
        <w:noProof/>
        <w:sz w:val="16"/>
        <w:szCs w:val="16"/>
      </w:rPr>
    </w:sdtEndPr>
    <w:sdtContent>
      <w:p w:rsidR="00DA4FBA" w:rsidRPr="00E44746" w:rsidRDefault="00DA4FBA" w:rsidP="00666FC7">
        <w:pPr>
          <w:pStyle w:val="Footer"/>
          <w:rPr>
            <w:color w:val="07478C"/>
            <w:sz w:val="16"/>
            <w:szCs w:val="16"/>
          </w:rPr>
        </w:pPr>
        <w:r w:rsidRPr="00870DD3">
          <w:rPr>
            <w:color w:val="07478C"/>
          </w:rPr>
          <w:t xml:space="preserve">Trends and drivers in the affordability of communications services </w:t>
        </w:r>
        <w:r>
          <w:rPr>
            <w:color w:val="07478C"/>
          </w:rPr>
          <w:br/>
        </w:r>
        <w:r w:rsidRPr="00870DD3">
          <w:rPr>
            <w:color w:val="07478C"/>
          </w:rPr>
          <w:t>for Australian households—working paper</w:t>
        </w:r>
        <w:r w:rsidRPr="00E44746">
          <w:rPr>
            <w:color w:val="07478C"/>
          </w:rPr>
          <w:tab/>
        </w:r>
        <w:r w:rsidRPr="00E44746">
          <w:rPr>
            <w:color w:val="07478C"/>
          </w:rPr>
          <w:tab/>
        </w:r>
        <w:r w:rsidRPr="00E44746">
          <w:rPr>
            <w:color w:val="07478C"/>
            <w:sz w:val="16"/>
            <w:szCs w:val="16"/>
          </w:rPr>
          <w:fldChar w:fldCharType="begin"/>
        </w:r>
        <w:r w:rsidRPr="00E44746">
          <w:rPr>
            <w:color w:val="07478C"/>
            <w:sz w:val="16"/>
            <w:szCs w:val="16"/>
          </w:rPr>
          <w:instrText xml:space="preserve"> PAGE   \* MERGEFORMAT </w:instrText>
        </w:r>
        <w:r w:rsidRPr="00E44746">
          <w:rPr>
            <w:color w:val="07478C"/>
            <w:sz w:val="16"/>
            <w:szCs w:val="16"/>
          </w:rPr>
          <w:fldChar w:fldCharType="separate"/>
        </w:r>
        <w:r w:rsidR="00B238FB">
          <w:rPr>
            <w:noProof/>
            <w:color w:val="07478C"/>
            <w:sz w:val="16"/>
            <w:szCs w:val="16"/>
          </w:rPr>
          <w:t>26</w:t>
        </w:r>
        <w:r w:rsidRPr="00E44746">
          <w:rPr>
            <w:noProof/>
            <w:color w:val="07478C"/>
            <w:sz w:val="16"/>
            <w:szCs w:val="16"/>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07478C"/>
      </w:rPr>
      <w:id w:val="-1590151859"/>
      <w:docPartObj>
        <w:docPartGallery w:val="Page Numbers (Bottom of Page)"/>
        <w:docPartUnique/>
      </w:docPartObj>
    </w:sdtPr>
    <w:sdtEndPr>
      <w:rPr>
        <w:noProof/>
        <w:sz w:val="16"/>
        <w:szCs w:val="16"/>
      </w:rPr>
    </w:sdtEndPr>
    <w:sdtContent>
      <w:p w:rsidR="00DA4FBA" w:rsidRPr="00E44746" w:rsidRDefault="00DA4FBA" w:rsidP="000248E0">
        <w:pPr>
          <w:pStyle w:val="Footer"/>
          <w:rPr>
            <w:color w:val="07478C"/>
            <w:sz w:val="16"/>
            <w:szCs w:val="16"/>
          </w:rPr>
        </w:pPr>
        <w:r w:rsidRPr="00870DD3">
          <w:rPr>
            <w:color w:val="07478C"/>
          </w:rPr>
          <w:t xml:space="preserve">Trends and drivers in the affordability of communications services </w:t>
        </w:r>
        <w:r>
          <w:rPr>
            <w:color w:val="07478C"/>
          </w:rPr>
          <w:br/>
        </w:r>
        <w:r w:rsidRPr="00870DD3">
          <w:rPr>
            <w:color w:val="07478C"/>
          </w:rPr>
          <w:t>for Australian households—working paper</w:t>
        </w:r>
        <w:r w:rsidRPr="00E44746">
          <w:rPr>
            <w:color w:val="07478C"/>
          </w:rPr>
          <w:tab/>
        </w:r>
        <w:r w:rsidRPr="00E44746">
          <w:rPr>
            <w:color w:val="07478C"/>
          </w:rPr>
          <w:tab/>
        </w:r>
        <w:r w:rsidRPr="00E44746">
          <w:rPr>
            <w:color w:val="07478C"/>
            <w:sz w:val="16"/>
            <w:szCs w:val="16"/>
          </w:rPr>
          <w:fldChar w:fldCharType="begin"/>
        </w:r>
        <w:r w:rsidRPr="00E44746">
          <w:rPr>
            <w:color w:val="07478C"/>
            <w:sz w:val="16"/>
            <w:szCs w:val="16"/>
          </w:rPr>
          <w:instrText xml:space="preserve"> PAGE   \* MERGEFORMAT </w:instrText>
        </w:r>
        <w:r w:rsidRPr="00E44746">
          <w:rPr>
            <w:color w:val="07478C"/>
            <w:sz w:val="16"/>
            <w:szCs w:val="16"/>
          </w:rPr>
          <w:fldChar w:fldCharType="separate"/>
        </w:r>
        <w:r w:rsidR="00B238FB">
          <w:rPr>
            <w:noProof/>
            <w:color w:val="07478C"/>
            <w:sz w:val="16"/>
            <w:szCs w:val="16"/>
          </w:rPr>
          <w:t>6</w:t>
        </w:r>
        <w:r w:rsidRPr="00E44746">
          <w:rPr>
            <w:noProof/>
            <w:color w:val="07478C"/>
            <w:sz w:val="16"/>
            <w:szCs w:val="16"/>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6109" w:rsidRDefault="00F66109" w:rsidP="003F0A2D">
      <w:pPr>
        <w:spacing w:after="0"/>
      </w:pPr>
      <w:r>
        <w:separator/>
      </w:r>
    </w:p>
  </w:footnote>
  <w:footnote w:type="continuationSeparator" w:id="0">
    <w:p w:rsidR="00F66109" w:rsidRDefault="00F66109" w:rsidP="003F0A2D">
      <w:pPr>
        <w:spacing w:after="0"/>
      </w:pPr>
      <w:r>
        <w:continuationSeparator/>
      </w:r>
    </w:p>
  </w:footnote>
  <w:footnote w:type="continuationNotice" w:id="1">
    <w:p w:rsidR="00F66109" w:rsidRDefault="00F66109">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4FBA" w:rsidRDefault="00DA4FBA" w:rsidP="009D5F3C">
    <w:pPr>
      <w:pStyle w:val="Header"/>
      <w:ind w:left="-141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4FBA" w:rsidRDefault="00DA4FBA" w:rsidP="00E44746">
    <w:pPr>
      <w:pStyle w:val="Header"/>
      <w:ind w:left="-1418"/>
    </w:pPr>
    <w:r>
      <w:rPr>
        <w:noProof/>
        <w:lang w:eastAsia="en-AU"/>
      </w:rPr>
      <w:drawing>
        <wp:inline distT="0" distB="0" distL="0" distR="0" wp14:anchorId="7BB5A026" wp14:editId="01CDDAED">
          <wp:extent cx="7548880" cy="327025"/>
          <wp:effectExtent l="0" t="0" r="0" b="0"/>
          <wp:docPr id="20" name="Picture 20" descr="Decoration" title="Dec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7549583" cy="327055"/>
                  </a:xfrm>
                  <a:prstGeom prst="rect">
                    <a:avLst/>
                  </a:prstGeom>
                </pic:spPr>
              </pic:pic>
            </a:graphicData>
          </a:graphic>
        </wp:inline>
      </w:drawing>
    </w:r>
  </w:p>
  <w:p w:rsidR="00DA4FBA" w:rsidRPr="009A56D0" w:rsidRDefault="00DA4FBA" w:rsidP="00E44746">
    <w:pPr>
      <w:pStyle w:val="Header"/>
      <w:tabs>
        <w:tab w:val="clear" w:pos="9026"/>
        <w:tab w:val="right" w:pos="9333"/>
      </w:tabs>
      <w:rPr>
        <w:color w:val="07478C"/>
      </w:rPr>
    </w:pPr>
    <w:r>
      <w:rPr>
        <w:color w:val="07478C"/>
      </w:rPr>
      <w:t xml:space="preserve">Bureau of </w:t>
    </w:r>
    <w:r w:rsidRPr="009A56D0">
      <w:rPr>
        <w:color w:val="07478C"/>
      </w:rPr>
      <w:t>Communications and Arts</w:t>
    </w:r>
    <w:r>
      <w:rPr>
        <w:color w:val="07478C"/>
      </w:rPr>
      <w:t xml:space="preserve"> Research</w:t>
    </w:r>
    <w:r w:rsidRPr="009A56D0">
      <w:rPr>
        <w:color w:val="07478C"/>
      </w:rPr>
      <w:tab/>
    </w:r>
    <w:r w:rsidRPr="009A56D0">
      <w:rPr>
        <w:color w:val="07478C"/>
      </w:rPr>
      <w:tab/>
    </w:r>
    <w:r>
      <w:rPr>
        <w:color w:val="07478C"/>
      </w:rPr>
      <w:t>June 2017</w:t>
    </w:r>
  </w:p>
  <w:p w:rsidR="00DA4FBA" w:rsidRDefault="00DA4FBA" w:rsidP="009D5F3C">
    <w:pPr>
      <w:pStyle w:val="Header"/>
      <w:ind w:left="-141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4FBA" w:rsidRDefault="00DA4FBA" w:rsidP="00E44746">
    <w:pPr>
      <w:pStyle w:val="Header"/>
      <w:ind w:left="-1418"/>
    </w:pPr>
    <w:r>
      <w:rPr>
        <w:noProof/>
        <w:lang w:eastAsia="en-AU"/>
      </w:rPr>
      <w:drawing>
        <wp:inline distT="0" distB="0" distL="0" distR="0" wp14:anchorId="098E5B34" wp14:editId="354DA246">
          <wp:extent cx="7548880" cy="327025"/>
          <wp:effectExtent l="0" t="0" r="0" b="0"/>
          <wp:docPr id="6" name="Picture 6" descr="Decoration" title="Dec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7549583" cy="327055"/>
                  </a:xfrm>
                  <a:prstGeom prst="rect">
                    <a:avLst/>
                  </a:prstGeom>
                </pic:spPr>
              </pic:pic>
            </a:graphicData>
          </a:graphic>
        </wp:inline>
      </w:drawing>
    </w:r>
  </w:p>
  <w:p w:rsidR="00DA4FBA" w:rsidRPr="009A56D0" w:rsidRDefault="00DA4FBA" w:rsidP="00E44746">
    <w:pPr>
      <w:pStyle w:val="Header"/>
      <w:tabs>
        <w:tab w:val="clear" w:pos="9026"/>
        <w:tab w:val="right" w:pos="9333"/>
      </w:tabs>
      <w:rPr>
        <w:color w:val="07478C"/>
      </w:rPr>
    </w:pPr>
    <w:r>
      <w:rPr>
        <w:color w:val="07478C"/>
      </w:rPr>
      <w:t xml:space="preserve">Bureau of </w:t>
    </w:r>
    <w:r w:rsidRPr="009A56D0">
      <w:rPr>
        <w:color w:val="07478C"/>
      </w:rPr>
      <w:t>Communications and Arts</w:t>
    </w:r>
    <w:r>
      <w:rPr>
        <w:color w:val="07478C"/>
      </w:rPr>
      <w:t xml:space="preserve"> </w:t>
    </w:r>
    <w:r w:rsidRPr="00E44746">
      <w:rPr>
        <w:color w:val="07478C"/>
      </w:rPr>
      <w:t>Rese</w:t>
    </w:r>
    <w:r>
      <w:rPr>
        <w:color w:val="07478C"/>
      </w:rPr>
      <w:t>arch</w:t>
    </w:r>
    <w:r w:rsidRPr="009A56D0">
      <w:rPr>
        <w:color w:val="07478C"/>
      </w:rPr>
      <w:tab/>
    </w:r>
    <w:r w:rsidRPr="009A56D0">
      <w:rPr>
        <w:color w:val="07478C"/>
      </w:rPr>
      <w:tab/>
    </w:r>
    <w:r>
      <w:rPr>
        <w:color w:val="07478C"/>
      </w:rPr>
      <w:t>July 2017</w:t>
    </w:r>
  </w:p>
  <w:p w:rsidR="00DA4FBA" w:rsidRDefault="00DA4FBA" w:rsidP="009D5F3C">
    <w:pPr>
      <w:pStyle w:val="Header"/>
      <w:ind w:left="-1418"/>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4FBA" w:rsidRDefault="00DA4FBA" w:rsidP="00E44746">
    <w:pPr>
      <w:pStyle w:val="Header"/>
      <w:ind w:left="-1418"/>
    </w:pPr>
    <w:r>
      <w:rPr>
        <w:noProof/>
        <w:lang w:eastAsia="en-AU"/>
      </w:rPr>
      <w:drawing>
        <wp:inline distT="0" distB="0" distL="0" distR="0" wp14:anchorId="7E4E1400" wp14:editId="1462397E">
          <wp:extent cx="7548880" cy="327025"/>
          <wp:effectExtent l="0" t="0" r="0" b="0"/>
          <wp:docPr id="1" name="Picture 1" descr="Decoration" title="Dec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7549583" cy="327055"/>
                  </a:xfrm>
                  <a:prstGeom prst="rect">
                    <a:avLst/>
                  </a:prstGeom>
                </pic:spPr>
              </pic:pic>
            </a:graphicData>
          </a:graphic>
        </wp:inline>
      </w:drawing>
    </w:r>
  </w:p>
  <w:p w:rsidR="00DA4FBA" w:rsidRPr="009A56D0" w:rsidRDefault="00DA4FBA" w:rsidP="00E44746">
    <w:pPr>
      <w:pStyle w:val="Header"/>
      <w:tabs>
        <w:tab w:val="clear" w:pos="9026"/>
        <w:tab w:val="right" w:pos="9333"/>
      </w:tabs>
      <w:rPr>
        <w:color w:val="07478C"/>
      </w:rPr>
    </w:pPr>
    <w:r>
      <w:rPr>
        <w:color w:val="07478C"/>
      </w:rPr>
      <w:t xml:space="preserve">Bureau of </w:t>
    </w:r>
    <w:r w:rsidRPr="009A56D0">
      <w:rPr>
        <w:color w:val="07478C"/>
      </w:rPr>
      <w:t>Communications and Arts</w:t>
    </w:r>
    <w:r>
      <w:rPr>
        <w:color w:val="07478C"/>
      </w:rPr>
      <w:t xml:space="preserve"> Research</w:t>
    </w:r>
    <w:r w:rsidRPr="009A56D0">
      <w:rPr>
        <w:color w:val="07478C"/>
      </w:rPr>
      <w:tab/>
    </w:r>
    <w:r w:rsidRPr="009A56D0">
      <w:rPr>
        <w:color w:val="07478C"/>
      </w:rPr>
      <w:tab/>
    </w:r>
    <w:r>
      <w:rPr>
        <w:color w:val="07478C"/>
      </w:rPr>
      <w:t>June 2017</w:t>
    </w:r>
  </w:p>
  <w:p w:rsidR="00DA4FBA" w:rsidRDefault="00DA4FBA" w:rsidP="009D5F3C">
    <w:pPr>
      <w:pStyle w:val="Header"/>
      <w:ind w:left="-141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BD603D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D1CD29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D8ABB4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93C8FF7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48C04A30"/>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07ED70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DFAF3E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0F87C3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3C4B8A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937A17B8"/>
    <w:lvl w:ilvl="0">
      <w:start w:val="1"/>
      <w:numFmt w:val="bullet"/>
      <w:pStyle w:val="Heading9"/>
      <w:lvlText w:val=""/>
      <w:lvlJc w:val="left"/>
      <w:pPr>
        <w:tabs>
          <w:tab w:val="num" w:pos="360"/>
        </w:tabs>
        <w:ind w:left="360" w:hanging="360"/>
      </w:pPr>
      <w:rPr>
        <w:rFonts w:ascii="Symbol" w:hAnsi="Symbol" w:hint="default"/>
      </w:rPr>
    </w:lvl>
  </w:abstractNum>
  <w:abstractNum w:abstractNumId="10" w15:restartNumberingAfterBreak="0">
    <w:nsid w:val="008A6A45"/>
    <w:multiLevelType w:val="multilevel"/>
    <w:tmpl w:val="0C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3EB06EB"/>
    <w:multiLevelType w:val="hybridMultilevel"/>
    <w:tmpl w:val="45D0A3E6"/>
    <w:lvl w:ilvl="0" w:tplc="391EA2CA">
      <w:start w:val="1"/>
      <w:numFmt w:val="bullet"/>
      <w:pStyle w:val="Bullet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2922DF2"/>
    <w:multiLevelType w:val="multilevel"/>
    <w:tmpl w:val="4ADC59DC"/>
    <w:lvl w:ilvl="0">
      <w:start w:val="1"/>
      <w:numFmt w:val="decimal"/>
      <w:pStyle w:val="Heading2-list"/>
      <w:lvlText w:val="%1."/>
      <w:lvlJc w:val="left"/>
      <w:pPr>
        <w:ind w:left="360" w:hanging="360"/>
      </w:pPr>
    </w:lvl>
    <w:lvl w:ilvl="1">
      <w:start w:val="1"/>
      <w:numFmt w:val="decimal"/>
      <w:pStyle w:val="Heading3-list"/>
      <w:lvlText w:val="%1.%2."/>
      <w:lvlJc w:val="left"/>
      <w:pPr>
        <w:ind w:left="792" w:hanging="432"/>
      </w:pPr>
    </w:lvl>
    <w:lvl w:ilvl="2">
      <w:start w:val="1"/>
      <w:numFmt w:val="decimal"/>
      <w:pStyle w:val="Heading4-list"/>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1B850330"/>
    <w:multiLevelType w:val="multilevel"/>
    <w:tmpl w:val="AED6BE6E"/>
    <w:lvl w:ilvl="0">
      <w:start w:val="1"/>
      <w:numFmt w:val="decimal"/>
      <w:pStyle w:val="Instructionaltext-Numberedlist"/>
      <w:lvlText w:val="%1."/>
      <w:lvlJc w:val="left"/>
      <w:pPr>
        <w:tabs>
          <w:tab w:val="num" w:pos="340"/>
        </w:tabs>
        <w:ind w:left="340" w:hanging="340"/>
      </w:pPr>
      <w:rPr>
        <w:rFonts w:hint="default"/>
        <w:b w:val="0"/>
        <w:i/>
        <w:sz w:val="22"/>
      </w:rPr>
    </w:lvl>
    <w:lvl w:ilvl="1">
      <w:start w:val="1"/>
      <w:numFmt w:val="lowerLetter"/>
      <w:lvlText w:val="%2."/>
      <w:lvlJc w:val="left"/>
      <w:pPr>
        <w:ind w:left="680" w:hanging="34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20701725"/>
    <w:multiLevelType w:val="hybridMultilevel"/>
    <w:tmpl w:val="21366C54"/>
    <w:lvl w:ilvl="0" w:tplc="573C30B0">
      <w:start w:val="1"/>
      <w:numFmt w:val="lowerLetter"/>
      <w:pStyle w:val="Bodynumbered-Level2"/>
      <w:lvlText w:val="%1."/>
      <w:lvlJc w:val="left"/>
      <w:pPr>
        <w:ind w:left="1400" w:hanging="360"/>
      </w:pPr>
      <w:rPr>
        <w:rFonts w:hint="default"/>
        <w:b/>
        <w:i w:val="0"/>
        <w:color w:val="1F4E79" w:themeColor="accent1" w:themeShade="80"/>
        <w:sz w:val="20"/>
      </w:rPr>
    </w:lvl>
    <w:lvl w:ilvl="1" w:tplc="0C090019" w:tentative="1">
      <w:start w:val="1"/>
      <w:numFmt w:val="lowerLetter"/>
      <w:lvlText w:val="%2."/>
      <w:lvlJc w:val="left"/>
      <w:pPr>
        <w:ind w:left="2120" w:hanging="360"/>
      </w:pPr>
    </w:lvl>
    <w:lvl w:ilvl="2" w:tplc="0C09001B" w:tentative="1">
      <w:start w:val="1"/>
      <w:numFmt w:val="lowerRoman"/>
      <w:lvlText w:val="%3."/>
      <w:lvlJc w:val="right"/>
      <w:pPr>
        <w:ind w:left="2840" w:hanging="180"/>
      </w:pPr>
    </w:lvl>
    <w:lvl w:ilvl="3" w:tplc="0C09000F" w:tentative="1">
      <w:start w:val="1"/>
      <w:numFmt w:val="decimal"/>
      <w:lvlText w:val="%4."/>
      <w:lvlJc w:val="left"/>
      <w:pPr>
        <w:ind w:left="3560" w:hanging="360"/>
      </w:pPr>
    </w:lvl>
    <w:lvl w:ilvl="4" w:tplc="0C090019" w:tentative="1">
      <w:start w:val="1"/>
      <w:numFmt w:val="lowerLetter"/>
      <w:lvlText w:val="%5."/>
      <w:lvlJc w:val="left"/>
      <w:pPr>
        <w:ind w:left="4280" w:hanging="360"/>
      </w:pPr>
    </w:lvl>
    <w:lvl w:ilvl="5" w:tplc="0C09001B" w:tentative="1">
      <w:start w:val="1"/>
      <w:numFmt w:val="lowerRoman"/>
      <w:lvlText w:val="%6."/>
      <w:lvlJc w:val="right"/>
      <w:pPr>
        <w:ind w:left="5000" w:hanging="180"/>
      </w:pPr>
    </w:lvl>
    <w:lvl w:ilvl="6" w:tplc="0C09000F" w:tentative="1">
      <w:start w:val="1"/>
      <w:numFmt w:val="decimal"/>
      <w:lvlText w:val="%7."/>
      <w:lvlJc w:val="left"/>
      <w:pPr>
        <w:ind w:left="5720" w:hanging="360"/>
      </w:pPr>
    </w:lvl>
    <w:lvl w:ilvl="7" w:tplc="0C090019" w:tentative="1">
      <w:start w:val="1"/>
      <w:numFmt w:val="lowerLetter"/>
      <w:lvlText w:val="%8."/>
      <w:lvlJc w:val="left"/>
      <w:pPr>
        <w:ind w:left="6440" w:hanging="360"/>
      </w:pPr>
    </w:lvl>
    <w:lvl w:ilvl="8" w:tplc="0C09001B" w:tentative="1">
      <w:start w:val="1"/>
      <w:numFmt w:val="lowerRoman"/>
      <w:lvlText w:val="%9."/>
      <w:lvlJc w:val="right"/>
      <w:pPr>
        <w:ind w:left="7160" w:hanging="180"/>
      </w:pPr>
    </w:lvl>
  </w:abstractNum>
  <w:abstractNum w:abstractNumId="15" w15:restartNumberingAfterBreak="0">
    <w:nsid w:val="20A477FC"/>
    <w:multiLevelType w:val="hybridMultilevel"/>
    <w:tmpl w:val="88908EDA"/>
    <w:lvl w:ilvl="0" w:tplc="7332BB4E">
      <w:start w:val="1"/>
      <w:numFmt w:val="lowerRoman"/>
      <w:pStyle w:val="Bodynumbered-Level3"/>
      <w:lvlText w:val="%1."/>
      <w:lvlJc w:val="left"/>
      <w:pPr>
        <w:ind w:left="1740" w:hanging="360"/>
      </w:pPr>
      <w:rPr>
        <w:rFonts w:hint="default"/>
        <w:color w:val="000000" w:themeColor="text1"/>
      </w:rPr>
    </w:lvl>
    <w:lvl w:ilvl="1" w:tplc="0C090019" w:tentative="1">
      <w:start w:val="1"/>
      <w:numFmt w:val="lowerLetter"/>
      <w:lvlText w:val="%2."/>
      <w:lvlJc w:val="left"/>
      <w:pPr>
        <w:ind w:left="2460" w:hanging="360"/>
      </w:pPr>
    </w:lvl>
    <w:lvl w:ilvl="2" w:tplc="0C09001B" w:tentative="1">
      <w:start w:val="1"/>
      <w:numFmt w:val="lowerRoman"/>
      <w:lvlText w:val="%3."/>
      <w:lvlJc w:val="right"/>
      <w:pPr>
        <w:ind w:left="3180" w:hanging="180"/>
      </w:pPr>
    </w:lvl>
    <w:lvl w:ilvl="3" w:tplc="0C09000F" w:tentative="1">
      <w:start w:val="1"/>
      <w:numFmt w:val="decimal"/>
      <w:lvlText w:val="%4."/>
      <w:lvlJc w:val="left"/>
      <w:pPr>
        <w:ind w:left="3900" w:hanging="360"/>
      </w:pPr>
    </w:lvl>
    <w:lvl w:ilvl="4" w:tplc="0C090019" w:tentative="1">
      <w:start w:val="1"/>
      <w:numFmt w:val="lowerLetter"/>
      <w:lvlText w:val="%5."/>
      <w:lvlJc w:val="left"/>
      <w:pPr>
        <w:ind w:left="4620" w:hanging="360"/>
      </w:pPr>
    </w:lvl>
    <w:lvl w:ilvl="5" w:tplc="0C09001B" w:tentative="1">
      <w:start w:val="1"/>
      <w:numFmt w:val="lowerRoman"/>
      <w:lvlText w:val="%6."/>
      <w:lvlJc w:val="right"/>
      <w:pPr>
        <w:ind w:left="5340" w:hanging="180"/>
      </w:pPr>
    </w:lvl>
    <w:lvl w:ilvl="6" w:tplc="0C09000F" w:tentative="1">
      <w:start w:val="1"/>
      <w:numFmt w:val="decimal"/>
      <w:lvlText w:val="%7."/>
      <w:lvlJc w:val="left"/>
      <w:pPr>
        <w:ind w:left="6060" w:hanging="360"/>
      </w:pPr>
    </w:lvl>
    <w:lvl w:ilvl="7" w:tplc="0C090019" w:tentative="1">
      <w:start w:val="1"/>
      <w:numFmt w:val="lowerLetter"/>
      <w:lvlText w:val="%8."/>
      <w:lvlJc w:val="left"/>
      <w:pPr>
        <w:ind w:left="6780" w:hanging="360"/>
      </w:pPr>
    </w:lvl>
    <w:lvl w:ilvl="8" w:tplc="0C09001B" w:tentative="1">
      <w:start w:val="1"/>
      <w:numFmt w:val="lowerRoman"/>
      <w:lvlText w:val="%9."/>
      <w:lvlJc w:val="right"/>
      <w:pPr>
        <w:ind w:left="7500" w:hanging="180"/>
      </w:pPr>
    </w:lvl>
  </w:abstractNum>
  <w:abstractNum w:abstractNumId="16" w15:restartNumberingAfterBreak="0">
    <w:nsid w:val="222F2D20"/>
    <w:multiLevelType w:val="hybridMultilevel"/>
    <w:tmpl w:val="B80644A4"/>
    <w:lvl w:ilvl="0" w:tplc="944CABAA">
      <w:start w:val="1"/>
      <w:numFmt w:val="bullet"/>
      <w:pStyle w:val="Bulletlevel1"/>
      <w:lvlText w:val=""/>
      <w:lvlJc w:val="left"/>
      <w:pPr>
        <w:ind w:left="360" w:hanging="360"/>
      </w:pPr>
      <w:rPr>
        <w:rFonts w:ascii="Symbol" w:hAnsi="Symbol" w:cs="Calibri" w:hint="default"/>
        <w:bCs w:val="0"/>
        <w:iCs w:val="0"/>
        <w:caps w:val="0"/>
        <w:strike w:val="0"/>
        <w:dstrike w:val="0"/>
        <w:vanish w:val="0"/>
        <w:color w:val="0F293A"/>
        <w:sz w:val="22"/>
        <w:szCs w:val="22"/>
        <w:vertAlign w:val="baseline"/>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6764520"/>
    <w:multiLevelType w:val="hybridMultilevel"/>
    <w:tmpl w:val="483CA03E"/>
    <w:lvl w:ilvl="0" w:tplc="8572FE1E">
      <w:start w:val="1"/>
      <w:numFmt w:val="lowerLetter"/>
      <w:pStyle w:val="Boxlist-Alpha"/>
      <w:lvlText w:val="%1."/>
      <w:lvlJc w:val="left"/>
      <w:pPr>
        <w:ind w:left="720" w:hanging="360"/>
      </w:pPr>
      <w:rPr>
        <w:rFonts w:hint="default"/>
        <w:b/>
        <w:i w:val="0"/>
        <w:color w:val="1F4E79" w:themeColor="accent1" w:themeShade="8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29FA1B61"/>
    <w:multiLevelType w:val="multilevel"/>
    <w:tmpl w:val="F1F28074"/>
    <w:lvl w:ilvl="0">
      <w:start w:val="1"/>
      <w:numFmt w:val="bullet"/>
      <w:pStyle w:val="BCRbodybullet-Level1"/>
      <w:lvlText w:val=""/>
      <w:lvlJc w:val="left"/>
      <w:pPr>
        <w:ind w:left="720" w:hanging="360"/>
      </w:pPr>
      <w:rPr>
        <w:rFonts w:ascii="Symbol" w:hAnsi="Symbol" w:hint="default"/>
        <w:color w:val="000000" w:themeColor="text1"/>
      </w:rPr>
    </w:lvl>
    <w:lvl w:ilvl="1">
      <w:start w:val="1"/>
      <w:numFmt w:val="bullet"/>
      <w:pStyle w:val="BCRbodybullet-Level2"/>
      <w:lvlText w:val="-"/>
      <w:lvlJc w:val="left"/>
      <w:pPr>
        <w:ind w:left="1284" w:hanging="34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2BD67DAE"/>
    <w:multiLevelType w:val="multilevel"/>
    <w:tmpl w:val="0C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0" w15:restartNumberingAfterBreak="0">
    <w:nsid w:val="3C8F0AC3"/>
    <w:multiLevelType w:val="hybridMultilevel"/>
    <w:tmpl w:val="21006FDE"/>
    <w:lvl w:ilvl="0" w:tplc="7B5CFF08">
      <w:start w:val="1"/>
      <w:numFmt w:val="bullet"/>
      <w:pStyle w:val="Bodybullet-Level3"/>
      <w:lvlText w:val=""/>
      <w:lvlJc w:val="left"/>
      <w:pPr>
        <w:ind w:left="1400" w:hanging="360"/>
      </w:pPr>
      <w:rPr>
        <w:rFonts w:ascii="Symbol" w:hAnsi="Symbol" w:hint="default"/>
        <w:color w:val="000000" w:themeColor="text1"/>
      </w:rPr>
    </w:lvl>
    <w:lvl w:ilvl="1" w:tplc="0C090003" w:tentative="1">
      <w:start w:val="1"/>
      <w:numFmt w:val="bullet"/>
      <w:lvlText w:val="o"/>
      <w:lvlJc w:val="left"/>
      <w:pPr>
        <w:ind w:left="2120" w:hanging="360"/>
      </w:pPr>
      <w:rPr>
        <w:rFonts w:ascii="Courier New" w:hAnsi="Courier New" w:cs="Courier New" w:hint="default"/>
      </w:rPr>
    </w:lvl>
    <w:lvl w:ilvl="2" w:tplc="0C090005" w:tentative="1">
      <w:start w:val="1"/>
      <w:numFmt w:val="bullet"/>
      <w:lvlText w:val=""/>
      <w:lvlJc w:val="left"/>
      <w:pPr>
        <w:ind w:left="2840" w:hanging="360"/>
      </w:pPr>
      <w:rPr>
        <w:rFonts w:ascii="Wingdings" w:hAnsi="Wingdings" w:hint="default"/>
      </w:rPr>
    </w:lvl>
    <w:lvl w:ilvl="3" w:tplc="0C090001" w:tentative="1">
      <w:start w:val="1"/>
      <w:numFmt w:val="bullet"/>
      <w:lvlText w:val=""/>
      <w:lvlJc w:val="left"/>
      <w:pPr>
        <w:ind w:left="3560" w:hanging="360"/>
      </w:pPr>
      <w:rPr>
        <w:rFonts w:ascii="Symbol" w:hAnsi="Symbol" w:hint="default"/>
      </w:rPr>
    </w:lvl>
    <w:lvl w:ilvl="4" w:tplc="0C090003" w:tentative="1">
      <w:start w:val="1"/>
      <w:numFmt w:val="bullet"/>
      <w:lvlText w:val="o"/>
      <w:lvlJc w:val="left"/>
      <w:pPr>
        <w:ind w:left="4280" w:hanging="360"/>
      </w:pPr>
      <w:rPr>
        <w:rFonts w:ascii="Courier New" w:hAnsi="Courier New" w:cs="Courier New" w:hint="default"/>
      </w:rPr>
    </w:lvl>
    <w:lvl w:ilvl="5" w:tplc="0C090005" w:tentative="1">
      <w:start w:val="1"/>
      <w:numFmt w:val="bullet"/>
      <w:lvlText w:val=""/>
      <w:lvlJc w:val="left"/>
      <w:pPr>
        <w:ind w:left="5000" w:hanging="360"/>
      </w:pPr>
      <w:rPr>
        <w:rFonts w:ascii="Wingdings" w:hAnsi="Wingdings" w:hint="default"/>
      </w:rPr>
    </w:lvl>
    <w:lvl w:ilvl="6" w:tplc="0C090001" w:tentative="1">
      <w:start w:val="1"/>
      <w:numFmt w:val="bullet"/>
      <w:lvlText w:val=""/>
      <w:lvlJc w:val="left"/>
      <w:pPr>
        <w:ind w:left="5720" w:hanging="360"/>
      </w:pPr>
      <w:rPr>
        <w:rFonts w:ascii="Symbol" w:hAnsi="Symbol" w:hint="default"/>
      </w:rPr>
    </w:lvl>
    <w:lvl w:ilvl="7" w:tplc="0C090003" w:tentative="1">
      <w:start w:val="1"/>
      <w:numFmt w:val="bullet"/>
      <w:lvlText w:val="o"/>
      <w:lvlJc w:val="left"/>
      <w:pPr>
        <w:ind w:left="6440" w:hanging="360"/>
      </w:pPr>
      <w:rPr>
        <w:rFonts w:ascii="Courier New" w:hAnsi="Courier New" w:cs="Courier New" w:hint="default"/>
      </w:rPr>
    </w:lvl>
    <w:lvl w:ilvl="8" w:tplc="0C090005" w:tentative="1">
      <w:start w:val="1"/>
      <w:numFmt w:val="bullet"/>
      <w:lvlText w:val=""/>
      <w:lvlJc w:val="left"/>
      <w:pPr>
        <w:ind w:left="7160" w:hanging="360"/>
      </w:pPr>
      <w:rPr>
        <w:rFonts w:ascii="Wingdings" w:hAnsi="Wingdings" w:hint="default"/>
      </w:rPr>
    </w:lvl>
  </w:abstractNum>
  <w:abstractNum w:abstractNumId="21" w15:restartNumberingAfterBreak="0">
    <w:nsid w:val="3E6606BB"/>
    <w:multiLevelType w:val="multilevel"/>
    <w:tmpl w:val="F5927E24"/>
    <w:lvl w:ilvl="0">
      <w:start w:val="1"/>
      <w:numFmt w:val="decimal"/>
      <w:pStyle w:val="BCRbodynumbered-Level1"/>
      <w:lvlText w:val="%1."/>
      <w:lvlJc w:val="left"/>
      <w:pPr>
        <w:ind w:left="700" w:hanging="360"/>
      </w:pPr>
      <w:rPr>
        <w:rFonts w:hint="default"/>
        <w:b/>
        <w:bCs/>
        <w:i w:val="0"/>
        <w:iCs w:val="0"/>
        <w:color w:val="1F4E79" w:themeColor="accent1" w:themeShade="80"/>
        <w:sz w:val="20"/>
        <w:szCs w:val="22"/>
      </w:rPr>
    </w:lvl>
    <w:lvl w:ilvl="1">
      <w:start w:val="1"/>
      <w:numFmt w:val="lowerLetter"/>
      <w:lvlText w:val="%2."/>
      <w:lvlJc w:val="left"/>
      <w:pPr>
        <w:ind w:left="1020" w:hanging="340"/>
      </w:pPr>
      <w:rPr>
        <w:rFonts w:hint="default"/>
        <w:b/>
        <w:bCs/>
        <w:i w:val="0"/>
        <w:iCs w:val="0"/>
        <w:color w:val="0072B9"/>
        <w:sz w:val="22"/>
        <w:szCs w:val="22"/>
      </w:rPr>
    </w:lvl>
    <w:lvl w:ilvl="2">
      <w:start w:val="1"/>
      <w:numFmt w:val="lowerRoman"/>
      <w:lvlText w:val="%3"/>
      <w:lvlJc w:val="left"/>
      <w:pPr>
        <w:ind w:left="1361" w:hanging="341"/>
      </w:pPr>
      <w:rPr>
        <w:rFonts w:hint="default"/>
        <w:b/>
        <w:bCs/>
        <w:i w:val="0"/>
        <w:iCs w:val="0"/>
        <w:color w:val="0072B9"/>
        <w:sz w:val="22"/>
        <w:szCs w:val="22"/>
      </w:rPr>
    </w:lvl>
    <w:lvl w:ilvl="3">
      <w:start w:val="1"/>
      <w:numFmt w:val="none"/>
      <w:lvlText w:val=""/>
      <w:lvlJc w:val="left"/>
      <w:pPr>
        <w:ind w:left="1361" w:firstLine="0"/>
      </w:pPr>
      <w:rPr>
        <w:rFonts w:hint="default"/>
      </w:rPr>
    </w:lvl>
    <w:lvl w:ilvl="4">
      <w:start w:val="1"/>
      <w:numFmt w:val="none"/>
      <w:lvlText w:val=""/>
      <w:lvlJc w:val="left"/>
      <w:pPr>
        <w:ind w:left="1361" w:firstLine="0"/>
      </w:pPr>
      <w:rPr>
        <w:rFonts w:hint="default"/>
      </w:rPr>
    </w:lvl>
    <w:lvl w:ilvl="5">
      <w:start w:val="1"/>
      <w:numFmt w:val="none"/>
      <w:lvlText w:val=""/>
      <w:lvlJc w:val="left"/>
      <w:pPr>
        <w:ind w:left="1361" w:firstLine="0"/>
      </w:pPr>
      <w:rPr>
        <w:rFonts w:hint="default"/>
      </w:rPr>
    </w:lvl>
    <w:lvl w:ilvl="6">
      <w:start w:val="1"/>
      <w:numFmt w:val="none"/>
      <w:lvlText w:val=""/>
      <w:lvlJc w:val="left"/>
      <w:pPr>
        <w:ind w:left="1361" w:firstLine="0"/>
      </w:pPr>
      <w:rPr>
        <w:rFonts w:hint="default"/>
      </w:rPr>
    </w:lvl>
    <w:lvl w:ilvl="7">
      <w:start w:val="1"/>
      <w:numFmt w:val="none"/>
      <w:lvlText w:val="%8"/>
      <w:lvlJc w:val="left"/>
      <w:pPr>
        <w:ind w:left="1361" w:firstLine="0"/>
      </w:pPr>
      <w:rPr>
        <w:rFonts w:hint="default"/>
      </w:rPr>
    </w:lvl>
    <w:lvl w:ilvl="8">
      <w:start w:val="1"/>
      <w:numFmt w:val="none"/>
      <w:lvlText w:val="%9"/>
      <w:lvlJc w:val="left"/>
      <w:pPr>
        <w:ind w:left="1361" w:firstLine="0"/>
      </w:pPr>
      <w:rPr>
        <w:rFonts w:hint="default"/>
      </w:rPr>
    </w:lvl>
  </w:abstractNum>
  <w:abstractNum w:abstractNumId="22" w15:restartNumberingAfterBreak="0">
    <w:nsid w:val="4BF77995"/>
    <w:multiLevelType w:val="multilevel"/>
    <w:tmpl w:val="FEE67744"/>
    <w:lvl w:ilvl="0">
      <w:start w:val="1"/>
      <w:numFmt w:val="bullet"/>
      <w:pStyle w:val="Bodybullet-Level0"/>
      <w:lvlText w:val=""/>
      <w:lvlJc w:val="left"/>
      <w:pPr>
        <w:ind w:left="340" w:hanging="340"/>
      </w:pPr>
      <w:rPr>
        <w:rFonts w:ascii="Symbol" w:hAnsi="Symbol" w:hint="default"/>
        <w:color w:val="00728F"/>
        <w:sz w:val="18"/>
      </w:rPr>
    </w:lvl>
    <w:lvl w:ilvl="1">
      <w:start w:val="1"/>
      <w:numFmt w:val="bullet"/>
      <w:lvlText w:val="­"/>
      <w:lvlJc w:val="left"/>
      <w:pPr>
        <w:ind w:left="680" w:hanging="340"/>
      </w:pPr>
      <w:rPr>
        <w:rFonts w:ascii="Courier New" w:hAnsi="Courier New" w:hint="default"/>
        <w:color w:val="00728F"/>
        <w:sz w:val="18"/>
      </w:rPr>
    </w:lvl>
    <w:lvl w:ilvl="2">
      <w:start w:val="1"/>
      <w:numFmt w:val="bullet"/>
      <w:lvlText w:val=""/>
      <w:lvlJc w:val="left"/>
      <w:pPr>
        <w:ind w:left="1021" w:hanging="341"/>
      </w:pPr>
      <w:rPr>
        <w:rFonts w:ascii="Symbol" w:hAnsi="Symbol" w:hint="default"/>
        <w:color w:val="00728F"/>
        <w:sz w:val="18"/>
      </w:rPr>
    </w:lvl>
    <w:lvl w:ilvl="3">
      <w:start w:val="1"/>
      <w:numFmt w:val="bullet"/>
      <w:lvlText w:val="­"/>
      <w:lvlJc w:val="left"/>
      <w:pPr>
        <w:ind w:left="1361" w:hanging="340"/>
      </w:pPr>
      <w:rPr>
        <w:rFonts w:ascii="Courier New" w:hAnsi="Courier New" w:hint="default"/>
        <w:color w:val="auto"/>
      </w:rPr>
    </w:lvl>
    <w:lvl w:ilvl="4">
      <w:start w:val="1"/>
      <w:numFmt w:val="none"/>
      <w:lvlText w:val=""/>
      <w:lvlJc w:val="left"/>
      <w:pPr>
        <w:ind w:left="1361" w:firstLine="0"/>
      </w:pPr>
      <w:rPr>
        <w:rFonts w:hint="default"/>
      </w:rPr>
    </w:lvl>
    <w:lvl w:ilvl="5">
      <w:start w:val="1"/>
      <w:numFmt w:val="none"/>
      <w:lvlText w:val=""/>
      <w:lvlJc w:val="left"/>
      <w:pPr>
        <w:ind w:left="1361" w:firstLine="0"/>
      </w:pPr>
      <w:rPr>
        <w:rFonts w:hint="default"/>
      </w:rPr>
    </w:lvl>
    <w:lvl w:ilvl="6">
      <w:start w:val="1"/>
      <w:numFmt w:val="none"/>
      <w:lvlText w:val=""/>
      <w:lvlJc w:val="left"/>
      <w:pPr>
        <w:ind w:left="1361" w:firstLine="0"/>
      </w:pPr>
      <w:rPr>
        <w:rFonts w:hint="default"/>
      </w:rPr>
    </w:lvl>
    <w:lvl w:ilvl="7">
      <w:start w:val="1"/>
      <w:numFmt w:val="none"/>
      <w:lvlText w:val=""/>
      <w:lvlJc w:val="left"/>
      <w:pPr>
        <w:ind w:left="1361" w:firstLine="0"/>
      </w:pPr>
      <w:rPr>
        <w:rFonts w:hint="default"/>
      </w:rPr>
    </w:lvl>
    <w:lvl w:ilvl="8">
      <w:start w:val="1"/>
      <w:numFmt w:val="none"/>
      <w:lvlText w:val=""/>
      <w:lvlJc w:val="left"/>
      <w:pPr>
        <w:ind w:left="1361" w:firstLine="0"/>
      </w:pPr>
      <w:rPr>
        <w:rFonts w:hint="default"/>
      </w:rPr>
    </w:lvl>
  </w:abstractNum>
  <w:abstractNum w:abstractNumId="23" w15:restartNumberingAfterBreak="0">
    <w:nsid w:val="4F0F4896"/>
    <w:multiLevelType w:val="hybridMultilevel"/>
    <w:tmpl w:val="DE446150"/>
    <w:lvl w:ilvl="0" w:tplc="FCEA5AF4">
      <w:start w:val="1"/>
      <w:numFmt w:val="bullet"/>
      <w:pStyle w:val="Tickedboxbulletpoint"/>
      <w:lvlText w:val=""/>
      <w:lvlJc w:val="left"/>
      <w:pPr>
        <w:ind w:left="720" w:hanging="360"/>
      </w:pPr>
      <w:rPr>
        <w:rFonts w:ascii="Wingdings" w:hAnsi="Wingdings" w:hint="default"/>
        <w:caps w:val="0"/>
        <w:strike w:val="0"/>
        <w:dstrike w:val="0"/>
        <w:vanish w:val="0"/>
        <w:webHidden w:val="0"/>
        <w:color w:val="005391"/>
        <w:sz w:val="22"/>
        <w:u w:val="none"/>
        <w:effect w:val="none"/>
        <w:vertAlign w:val="baseline"/>
        <w:specVanish w:val="0"/>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4" w15:restartNumberingAfterBreak="0">
    <w:nsid w:val="540A43B6"/>
    <w:multiLevelType w:val="multilevel"/>
    <w:tmpl w:val="38D6B62E"/>
    <w:styleLink w:val="Style1"/>
    <w:lvl w:ilvl="0">
      <w:start w:val="1"/>
      <w:numFmt w:val="bullet"/>
      <w:lvlText w:val=""/>
      <w:lvlJc w:val="left"/>
      <w:pPr>
        <w:ind w:left="1080" w:hanging="360"/>
      </w:pPr>
      <w:rPr>
        <w:rFonts w:ascii="Symbol" w:hAnsi="Symbol" w:hint="default"/>
        <w:color w:val="000000" w:themeColor="text1"/>
      </w:rPr>
    </w:lvl>
    <w:lvl w:ilvl="1">
      <w:start w:val="1"/>
      <w:numFmt w:val="bullet"/>
      <w:lvlText w:val="—"/>
      <w:lvlJc w:val="left"/>
      <w:pPr>
        <w:ind w:left="1800" w:hanging="360"/>
      </w:pPr>
      <w:rPr>
        <w:rFonts w:ascii="Calibri" w:hAnsi="Calibri" w:cs="Courier New"/>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5" w15:restartNumberingAfterBreak="0">
    <w:nsid w:val="60E15E51"/>
    <w:multiLevelType w:val="multilevel"/>
    <w:tmpl w:val="F6C0C84E"/>
    <w:lvl w:ilvl="0">
      <w:start w:val="1"/>
      <w:numFmt w:val="bullet"/>
      <w:pStyle w:val="Tablebullet-Level1"/>
      <w:lvlText w:val=""/>
      <w:lvlJc w:val="left"/>
      <w:pPr>
        <w:ind w:left="360" w:hanging="360"/>
      </w:pPr>
      <w:rPr>
        <w:rFonts w:ascii="Symbol" w:hAnsi="Symbol" w:hint="default"/>
        <w:color w:val="000000" w:themeColor="text1"/>
        <w:sz w:val="18"/>
        <w:szCs w:val="18"/>
      </w:rPr>
    </w:lvl>
    <w:lvl w:ilvl="1">
      <w:start w:val="1"/>
      <w:numFmt w:val="bullet"/>
      <w:pStyle w:val="Tablebullet-Level2"/>
      <w:lvlText w:val="­"/>
      <w:lvlJc w:val="left"/>
      <w:pPr>
        <w:ind w:left="680" w:hanging="340"/>
      </w:pPr>
      <w:rPr>
        <w:rFonts w:ascii="Courier New" w:hAnsi="Courier New" w:hint="default"/>
        <w:color w:val="00728F"/>
        <w:sz w:val="18"/>
      </w:rPr>
    </w:lvl>
    <w:lvl w:ilvl="2">
      <w:start w:val="1"/>
      <w:numFmt w:val="bullet"/>
      <w:lvlText w:val=""/>
      <w:lvlJc w:val="left"/>
      <w:pPr>
        <w:ind w:left="1021" w:hanging="341"/>
      </w:pPr>
      <w:rPr>
        <w:rFonts w:ascii="Symbol" w:hAnsi="Symbol" w:hint="default"/>
        <w:color w:val="00728F"/>
        <w:sz w:val="18"/>
      </w:rPr>
    </w:lvl>
    <w:lvl w:ilvl="3">
      <w:start w:val="1"/>
      <w:numFmt w:val="bullet"/>
      <w:lvlText w:val="­"/>
      <w:lvlJc w:val="left"/>
      <w:pPr>
        <w:ind w:left="1361" w:hanging="340"/>
      </w:pPr>
      <w:rPr>
        <w:rFonts w:ascii="Courier New" w:hAnsi="Courier New" w:hint="default"/>
        <w:color w:val="auto"/>
      </w:rPr>
    </w:lvl>
    <w:lvl w:ilvl="4">
      <w:start w:val="1"/>
      <w:numFmt w:val="none"/>
      <w:lvlText w:val=""/>
      <w:lvlJc w:val="left"/>
      <w:pPr>
        <w:ind w:left="1361" w:firstLine="0"/>
      </w:pPr>
      <w:rPr>
        <w:rFonts w:hint="default"/>
      </w:rPr>
    </w:lvl>
    <w:lvl w:ilvl="5">
      <w:start w:val="1"/>
      <w:numFmt w:val="none"/>
      <w:lvlText w:val=""/>
      <w:lvlJc w:val="left"/>
      <w:pPr>
        <w:ind w:left="1361" w:firstLine="0"/>
      </w:pPr>
      <w:rPr>
        <w:rFonts w:hint="default"/>
      </w:rPr>
    </w:lvl>
    <w:lvl w:ilvl="6">
      <w:start w:val="1"/>
      <w:numFmt w:val="none"/>
      <w:lvlText w:val=""/>
      <w:lvlJc w:val="left"/>
      <w:pPr>
        <w:ind w:left="1361" w:firstLine="0"/>
      </w:pPr>
      <w:rPr>
        <w:rFonts w:hint="default"/>
      </w:rPr>
    </w:lvl>
    <w:lvl w:ilvl="7">
      <w:start w:val="1"/>
      <w:numFmt w:val="none"/>
      <w:lvlText w:val=""/>
      <w:lvlJc w:val="left"/>
      <w:pPr>
        <w:ind w:left="1361" w:firstLine="0"/>
      </w:pPr>
      <w:rPr>
        <w:rFonts w:hint="default"/>
      </w:rPr>
    </w:lvl>
    <w:lvl w:ilvl="8">
      <w:start w:val="1"/>
      <w:numFmt w:val="none"/>
      <w:lvlText w:val=""/>
      <w:lvlJc w:val="left"/>
      <w:pPr>
        <w:ind w:left="1361" w:firstLine="0"/>
      </w:pPr>
      <w:rPr>
        <w:rFonts w:hint="default"/>
      </w:rPr>
    </w:lvl>
  </w:abstractNum>
  <w:abstractNum w:abstractNumId="26" w15:restartNumberingAfterBreak="0">
    <w:nsid w:val="6E1F7CC9"/>
    <w:multiLevelType w:val="hybridMultilevel"/>
    <w:tmpl w:val="1646C9A0"/>
    <w:lvl w:ilvl="0" w:tplc="B680BA64">
      <w:start w:val="1"/>
      <w:numFmt w:val="decimal"/>
      <w:pStyle w:val="Tablelist-Numbered"/>
      <w:lvlText w:val="%1."/>
      <w:lvlJc w:val="left"/>
      <w:pPr>
        <w:ind w:left="394" w:hanging="360"/>
      </w:pPr>
      <w:rPr>
        <w:rFonts w:hint="default"/>
        <w:b/>
        <w:i w:val="0"/>
        <w:color w:val="000000" w:themeColor="text1"/>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6E615F19"/>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744E22C0"/>
    <w:multiLevelType w:val="hybridMultilevel"/>
    <w:tmpl w:val="EBE202A8"/>
    <w:lvl w:ilvl="0" w:tplc="275EC662">
      <w:start w:val="1"/>
      <w:numFmt w:val="bullet"/>
      <w:pStyle w:val="Boxbullet"/>
      <w:lvlText w:val=""/>
      <w:lvlJc w:val="left"/>
      <w:pPr>
        <w:ind w:left="720" w:hanging="360"/>
      </w:pPr>
      <w:rPr>
        <w:rFonts w:ascii="Symbol" w:hAnsi="Symbol" w:hint="default"/>
        <w:color w:val="00728F"/>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5050778"/>
    <w:multiLevelType w:val="multilevel"/>
    <w:tmpl w:val="DAB27858"/>
    <w:lvl w:ilvl="0">
      <w:start w:val="1"/>
      <w:numFmt w:val="upperLetter"/>
      <w:pStyle w:val="Appendix-Heading1"/>
      <w:lvlText w:val="%1."/>
      <w:lvlJc w:val="left"/>
      <w:pPr>
        <w:ind w:left="907" w:hanging="907"/>
      </w:pPr>
      <w:rPr>
        <w:rFonts w:hint="default"/>
      </w:rPr>
    </w:lvl>
    <w:lvl w:ilvl="1">
      <w:start w:val="1"/>
      <w:numFmt w:val="decimal"/>
      <w:pStyle w:val="Appendix-Heading2"/>
      <w:lvlText w:val="%1.%2."/>
      <w:lvlJc w:val="left"/>
      <w:pPr>
        <w:ind w:left="907" w:hanging="907"/>
      </w:pPr>
      <w:rPr>
        <w:rFonts w:hint="default"/>
      </w:rPr>
    </w:lvl>
    <w:lvl w:ilvl="2">
      <w:start w:val="1"/>
      <w:numFmt w:val="decimal"/>
      <w:pStyle w:val="Appendix-Heading3"/>
      <w:lvlText w:val="%1.%2.%3."/>
      <w:lvlJc w:val="left"/>
      <w:pPr>
        <w:ind w:left="907" w:hanging="907"/>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0" w15:restartNumberingAfterBreak="0">
    <w:nsid w:val="75B504F0"/>
    <w:multiLevelType w:val="hybridMultilevel"/>
    <w:tmpl w:val="AC4ED6F8"/>
    <w:lvl w:ilvl="0" w:tplc="91E8E848">
      <w:start w:val="1"/>
      <w:numFmt w:val="bullet"/>
      <w:pStyle w:val="Checkboxemptybulletpoint"/>
      <w:lvlText w:val=""/>
      <w:lvlJc w:val="left"/>
      <w:pPr>
        <w:ind w:left="360" w:hanging="360"/>
      </w:pPr>
      <w:rPr>
        <w:rFonts w:ascii="Wingdings" w:hAnsi="Wingdings" w:hint="default"/>
        <w:caps w:val="0"/>
        <w:strike w:val="0"/>
        <w:dstrike w:val="0"/>
        <w:vanish w:val="0"/>
        <w:webHidden w:val="0"/>
        <w:color w:val="0F293A"/>
        <w:sz w:val="22"/>
        <w:u w:val="none"/>
        <w:effect w:val="none"/>
        <w:vertAlign w:val="baseline"/>
        <w:specVanish w:val="0"/>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abstractNumId w:val="16"/>
  </w:num>
  <w:num w:numId="2">
    <w:abstractNumId w:val="23"/>
  </w:num>
  <w:num w:numId="3">
    <w:abstractNumId w:val="30"/>
  </w:num>
  <w:num w:numId="4">
    <w:abstractNumId w:val="12"/>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22"/>
  </w:num>
  <w:num w:numId="16">
    <w:abstractNumId w:val="25"/>
  </w:num>
  <w:num w:numId="17">
    <w:abstractNumId w:val="21"/>
  </w:num>
  <w:num w:numId="18">
    <w:abstractNumId w:val="28"/>
  </w:num>
  <w:num w:numId="19">
    <w:abstractNumId w:val="26"/>
  </w:num>
  <w:num w:numId="20">
    <w:abstractNumId w:val="27"/>
  </w:num>
  <w:num w:numId="21">
    <w:abstractNumId w:val="10"/>
  </w:num>
  <w:num w:numId="22">
    <w:abstractNumId w:val="19"/>
  </w:num>
  <w:num w:numId="2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9"/>
  </w:num>
  <w:num w:numId="25">
    <w:abstractNumId w:val="18"/>
  </w:num>
  <w:num w:numId="26">
    <w:abstractNumId w:val="15"/>
  </w:num>
  <w:num w:numId="27">
    <w:abstractNumId w:val="17"/>
  </w:num>
  <w:num w:numId="28">
    <w:abstractNumId w:val="14"/>
  </w:num>
  <w:num w:numId="29">
    <w:abstractNumId w:val="24"/>
  </w:num>
  <w:num w:numId="30">
    <w:abstractNumId w:val="20"/>
  </w:num>
  <w:num w:numId="31">
    <w:abstractNumId w:val="11"/>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4097"/>
  </w:hdrShapeDefaults>
  <w:footnotePr>
    <w:numRestart w:val="eachPage"/>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6413"/>
    <w:rsid w:val="000110C1"/>
    <w:rsid w:val="00014684"/>
    <w:rsid w:val="000248E0"/>
    <w:rsid w:val="000249BC"/>
    <w:rsid w:val="00033C2F"/>
    <w:rsid w:val="000500E8"/>
    <w:rsid w:val="0005475B"/>
    <w:rsid w:val="000558B3"/>
    <w:rsid w:val="00074F0A"/>
    <w:rsid w:val="000966B5"/>
    <w:rsid w:val="000A53E6"/>
    <w:rsid w:val="000C25F0"/>
    <w:rsid w:val="000C30DA"/>
    <w:rsid w:val="000C460E"/>
    <w:rsid w:val="000D1498"/>
    <w:rsid w:val="000D30DC"/>
    <w:rsid w:val="000E18E3"/>
    <w:rsid w:val="000E1A93"/>
    <w:rsid w:val="000E27AD"/>
    <w:rsid w:val="000E31DD"/>
    <w:rsid w:val="000E35DC"/>
    <w:rsid w:val="000F2ED9"/>
    <w:rsid w:val="001061E5"/>
    <w:rsid w:val="0011177E"/>
    <w:rsid w:val="00113341"/>
    <w:rsid w:val="00146873"/>
    <w:rsid w:val="00157C8D"/>
    <w:rsid w:val="00166210"/>
    <w:rsid w:val="00182F4E"/>
    <w:rsid w:val="00191797"/>
    <w:rsid w:val="001A250E"/>
    <w:rsid w:val="001B7EEC"/>
    <w:rsid w:val="001C2E16"/>
    <w:rsid w:val="001D3AAF"/>
    <w:rsid w:val="001F3924"/>
    <w:rsid w:val="00206369"/>
    <w:rsid w:val="00220F7A"/>
    <w:rsid w:val="00226203"/>
    <w:rsid w:val="00233092"/>
    <w:rsid w:val="0024105A"/>
    <w:rsid w:val="00243597"/>
    <w:rsid w:val="0027302C"/>
    <w:rsid w:val="00284BF2"/>
    <w:rsid w:val="00285881"/>
    <w:rsid w:val="002900B5"/>
    <w:rsid w:val="00297528"/>
    <w:rsid w:val="002A731D"/>
    <w:rsid w:val="002B0381"/>
    <w:rsid w:val="002B0472"/>
    <w:rsid w:val="002B1F62"/>
    <w:rsid w:val="002B4402"/>
    <w:rsid w:val="002C1C57"/>
    <w:rsid w:val="002C6776"/>
    <w:rsid w:val="002D10B3"/>
    <w:rsid w:val="002D7EAC"/>
    <w:rsid w:val="002E0D37"/>
    <w:rsid w:val="002F5D66"/>
    <w:rsid w:val="0032577F"/>
    <w:rsid w:val="003509FE"/>
    <w:rsid w:val="003714B0"/>
    <w:rsid w:val="00374FE3"/>
    <w:rsid w:val="0037566A"/>
    <w:rsid w:val="00391A40"/>
    <w:rsid w:val="003B2FBB"/>
    <w:rsid w:val="003D0E2F"/>
    <w:rsid w:val="003D199C"/>
    <w:rsid w:val="003F0A2D"/>
    <w:rsid w:val="003F4868"/>
    <w:rsid w:val="003F4B24"/>
    <w:rsid w:val="003F63F4"/>
    <w:rsid w:val="0040012A"/>
    <w:rsid w:val="004046C2"/>
    <w:rsid w:val="0040622C"/>
    <w:rsid w:val="00415E24"/>
    <w:rsid w:val="00417C10"/>
    <w:rsid w:val="004320C1"/>
    <w:rsid w:val="00451C81"/>
    <w:rsid w:val="0045434B"/>
    <w:rsid w:val="00470A46"/>
    <w:rsid w:val="0047258C"/>
    <w:rsid w:val="00486A86"/>
    <w:rsid w:val="00496DFE"/>
    <w:rsid w:val="004B3430"/>
    <w:rsid w:val="004C5FB0"/>
    <w:rsid w:val="004C6EC7"/>
    <w:rsid w:val="004C719D"/>
    <w:rsid w:val="004D1391"/>
    <w:rsid w:val="004D567C"/>
    <w:rsid w:val="004F024A"/>
    <w:rsid w:val="004F3C4E"/>
    <w:rsid w:val="00507E41"/>
    <w:rsid w:val="005263B0"/>
    <w:rsid w:val="00533166"/>
    <w:rsid w:val="00534F43"/>
    <w:rsid w:val="00535ADA"/>
    <w:rsid w:val="00535FC3"/>
    <w:rsid w:val="00540B2F"/>
    <w:rsid w:val="005463B8"/>
    <w:rsid w:val="005506E6"/>
    <w:rsid w:val="00551D89"/>
    <w:rsid w:val="00556638"/>
    <w:rsid w:val="005619F0"/>
    <w:rsid w:val="00566376"/>
    <w:rsid w:val="00567FAF"/>
    <w:rsid w:val="005700B7"/>
    <w:rsid w:val="005852FD"/>
    <w:rsid w:val="00590FCE"/>
    <w:rsid w:val="0059220B"/>
    <w:rsid w:val="00597042"/>
    <w:rsid w:val="005A5FCE"/>
    <w:rsid w:val="005B4B7C"/>
    <w:rsid w:val="005C6237"/>
    <w:rsid w:val="005D1116"/>
    <w:rsid w:val="005D1423"/>
    <w:rsid w:val="005E066F"/>
    <w:rsid w:val="005F08D5"/>
    <w:rsid w:val="005F2F2F"/>
    <w:rsid w:val="005F3E52"/>
    <w:rsid w:val="0060346D"/>
    <w:rsid w:val="00604E4D"/>
    <w:rsid w:val="00606BE5"/>
    <w:rsid w:val="00612A2A"/>
    <w:rsid w:val="00622019"/>
    <w:rsid w:val="00622261"/>
    <w:rsid w:val="00641088"/>
    <w:rsid w:val="0064340A"/>
    <w:rsid w:val="0064771D"/>
    <w:rsid w:val="006575F8"/>
    <w:rsid w:val="006600CE"/>
    <w:rsid w:val="0066432B"/>
    <w:rsid w:val="00666FC7"/>
    <w:rsid w:val="00667BB6"/>
    <w:rsid w:val="0068320E"/>
    <w:rsid w:val="006874CF"/>
    <w:rsid w:val="006926D2"/>
    <w:rsid w:val="006A06F9"/>
    <w:rsid w:val="006A19A2"/>
    <w:rsid w:val="006C049F"/>
    <w:rsid w:val="006C2331"/>
    <w:rsid w:val="006C7FB6"/>
    <w:rsid w:val="006D014F"/>
    <w:rsid w:val="006D125A"/>
    <w:rsid w:val="006F0750"/>
    <w:rsid w:val="006F2956"/>
    <w:rsid w:val="00704775"/>
    <w:rsid w:val="007048F4"/>
    <w:rsid w:val="00715BC8"/>
    <w:rsid w:val="00731F79"/>
    <w:rsid w:val="00741869"/>
    <w:rsid w:val="007502D0"/>
    <w:rsid w:val="0075251C"/>
    <w:rsid w:val="007531BB"/>
    <w:rsid w:val="00770928"/>
    <w:rsid w:val="00780B64"/>
    <w:rsid w:val="00785F6D"/>
    <w:rsid w:val="0079290F"/>
    <w:rsid w:val="00796C39"/>
    <w:rsid w:val="007973D3"/>
    <w:rsid w:val="00797817"/>
    <w:rsid w:val="007C0935"/>
    <w:rsid w:val="007C0A3B"/>
    <w:rsid w:val="007D6CA4"/>
    <w:rsid w:val="007E1466"/>
    <w:rsid w:val="0080530D"/>
    <w:rsid w:val="00815DD0"/>
    <w:rsid w:val="008276A5"/>
    <w:rsid w:val="008276B4"/>
    <w:rsid w:val="00832492"/>
    <w:rsid w:val="0083717E"/>
    <w:rsid w:val="0084603E"/>
    <w:rsid w:val="00852E5C"/>
    <w:rsid w:val="00853419"/>
    <w:rsid w:val="00870DD3"/>
    <w:rsid w:val="008840A2"/>
    <w:rsid w:val="008A0CB2"/>
    <w:rsid w:val="008A312B"/>
    <w:rsid w:val="008A6EBC"/>
    <w:rsid w:val="008B0DF5"/>
    <w:rsid w:val="008C0218"/>
    <w:rsid w:val="008C6204"/>
    <w:rsid w:val="008C6C53"/>
    <w:rsid w:val="008D36D1"/>
    <w:rsid w:val="008F2463"/>
    <w:rsid w:val="008F3CE4"/>
    <w:rsid w:val="009051B5"/>
    <w:rsid w:val="0092276A"/>
    <w:rsid w:val="00923045"/>
    <w:rsid w:val="009310B1"/>
    <w:rsid w:val="00931269"/>
    <w:rsid w:val="00933ABA"/>
    <w:rsid w:val="00934C33"/>
    <w:rsid w:val="009429FB"/>
    <w:rsid w:val="00945743"/>
    <w:rsid w:val="00955D56"/>
    <w:rsid w:val="0096707D"/>
    <w:rsid w:val="009854AA"/>
    <w:rsid w:val="00987507"/>
    <w:rsid w:val="00991DF4"/>
    <w:rsid w:val="009A56D0"/>
    <w:rsid w:val="009D5F3C"/>
    <w:rsid w:val="009E3D07"/>
    <w:rsid w:val="009E52E3"/>
    <w:rsid w:val="009E6097"/>
    <w:rsid w:val="009F0401"/>
    <w:rsid w:val="00A01890"/>
    <w:rsid w:val="00A24D98"/>
    <w:rsid w:val="00A30335"/>
    <w:rsid w:val="00A47A39"/>
    <w:rsid w:val="00A50344"/>
    <w:rsid w:val="00A625B3"/>
    <w:rsid w:val="00A669A1"/>
    <w:rsid w:val="00A7176A"/>
    <w:rsid w:val="00A72966"/>
    <w:rsid w:val="00A73082"/>
    <w:rsid w:val="00A77A99"/>
    <w:rsid w:val="00A81748"/>
    <w:rsid w:val="00AA4213"/>
    <w:rsid w:val="00AC0399"/>
    <w:rsid w:val="00AD7B77"/>
    <w:rsid w:val="00AF277C"/>
    <w:rsid w:val="00AF7D0E"/>
    <w:rsid w:val="00B01D71"/>
    <w:rsid w:val="00B153EA"/>
    <w:rsid w:val="00B20CA7"/>
    <w:rsid w:val="00B20EA9"/>
    <w:rsid w:val="00B238FB"/>
    <w:rsid w:val="00B268BC"/>
    <w:rsid w:val="00B34F50"/>
    <w:rsid w:val="00B370BC"/>
    <w:rsid w:val="00B53B71"/>
    <w:rsid w:val="00B6693F"/>
    <w:rsid w:val="00B72C06"/>
    <w:rsid w:val="00B74F9F"/>
    <w:rsid w:val="00B766A0"/>
    <w:rsid w:val="00B80FFD"/>
    <w:rsid w:val="00B94092"/>
    <w:rsid w:val="00BA600A"/>
    <w:rsid w:val="00BB2861"/>
    <w:rsid w:val="00BC0293"/>
    <w:rsid w:val="00BC1902"/>
    <w:rsid w:val="00BD69B7"/>
    <w:rsid w:val="00BE637B"/>
    <w:rsid w:val="00BE6F9D"/>
    <w:rsid w:val="00C02E34"/>
    <w:rsid w:val="00C114BD"/>
    <w:rsid w:val="00C129A8"/>
    <w:rsid w:val="00C23530"/>
    <w:rsid w:val="00C331F6"/>
    <w:rsid w:val="00C36F16"/>
    <w:rsid w:val="00C40EB6"/>
    <w:rsid w:val="00C44BDF"/>
    <w:rsid w:val="00C51CD8"/>
    <w:rsid w:val="00C53C30"/>
    <w:rsid w:val="00C56413"/>
    <w:rsid w:val="00C56734"/>
    <w:rsid w:val="00C61D2E"/>
    <w:rsid w:val="00C6576B"/>
    <w:rsid w:val="00C87700"/>
    <w:rsid w:val="00C930AD"/>
    <w:rsid w:val="00C93B86"/>
    <w:rsid w:val="00C97AC9"/>
    <w:rsid w:val="00CD41C6"/>
    <w:rsid w:val="00CE2680"/>
    <w:rsid w:val="00CF5CA8"/>
    <w:rsid w:val="00D03788"/>
    <w:rsid w:val="00D06AA3"/>
    <w:rsid w:val="00D22F59"/>
    <w:rsid w:val="00D24D05"/>
    <w:rsid w:val="00D2685D"/>
    <w:rsid w:val="00D26FB6"/>
    <w:rsid w:val="00D3494D"/>
    <w:rsid w:val="00D419D2"/>
    <w:rsid w:val="00D52555"/>
    <w:rsid w:val="00D54A6E"/>
    <w:rsid w:val="00D55AAA"/>
    <w:rsid w:val="00D73822"/>
    <w:rsid w:val="00D83284"/>
    <w:rsid w:val="00D9106C"/>
    <w:rsid w:val="00D915AC"/>
    <w:rsid w:val="00DA4FBA"/>
    <w:rsid w:val="00DB095A"/>
    <w:rsid w:val="00DD4718"/>
    <w:rsid w:val="00DE201B"/>
    <w:rsid w:val="00DE671F"/>
    <w:rsid w:val="00DF4DE1"/>
    <w:rsid w:val="00E07044"/>
    <w:rsid w:val="00E16466"/>
    <w:rsid w:val="00E240F8"/>
    <w:rsid w:val="00E24CC5"/>
    <w:rsid w:val="00E25A11"/>
    <w:rsid w:val="00E44746"/>
    <w:rsid w:val="00E56962"/>
    <w:rsid w:val="00E805AC"/>
    <w:rsid w:val="00E85992"/>
    <w:rsid w:val="00E926EA"/>
    <w:rsid w:val="00E93310"/>
    <w:rsid w:val="00EA0B46"/>
    <w:rsid w:val="00EA1D6A"/>
    <w:rsid w:val="00EB64F7"/>
    <w:rsid w:val="00EC0F01"/>
    <w:rsid w:val="00ED08CC"/>
    <w:rsid w:val="00ED2C03"/>
    <w:rsid w:val="00ED6E52"/>
    <w:rsid w:val="00EF66EB"/>
    <w:rsid w:val="00F0693D"/>
    <w:rsid w:val="00F222BC"/>
    <w:rsid w:val="00F22CCE"/>
    <w:rsid w:val="00F36EFE"/>
    <w:rsid w:val="00F40AFC"/>
    <w:rsid w:val="00F41896"/>
    <w:rsid w:val="00F516E3"/>
    <w:rsid w:val="00F66109"/>
    <w:rsid w:val="00F729AE"/>
    <w:rsid w:val="00F955FD"/>
    <w:rsid w:val="00F977DF"/>
    <w:rsid w:val="00FA3438"/>
    <w:rsid w:val="00FA414F"/>
    <w:rsid w:val="00FA7C28"/>
    <w:rsid w:val="00FB0A80"/>
    <w:rsid w:val="00FB4064"/>
    <w:rsid w:val="00FB6A4B"/>
    <w:rsid w:val="00FC508B"/>
    <w:rsid w:val="00FF180D"/>
    <w:rsid w:val="00FF3312"/>
  </w:rsids>
  <m:mathPr>
    <m:mathFont m:val="Cambria Math"/>
    <m:brkBin m:val="before"/>
    <m:brkBinSub m:val="--"/>
    <m:smallFrac m:val="0"/>
    <m:dispDef/>
    <m:lMargin m:val="0"/>
    <m:rMargin m:val="0"/>
    <m:defJc m:val="centerGroup"/>
    <m:wrapIndent m:val="1440"/>
    <m:intLim m:val="subSup"/>
    <m:naryLim m:val="undOvr"/>
  </m:mathPr>
  <w:themeFontLang w:val="en-AU" w:eastAsia="zh-TW" w:bidi="hi-I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DE1EC045-CE8C-420A-98A5-130C4305B4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4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7A39"/>
    <w:pPr>
      <w:spacing w:after="240" w:line="240" w:lineRule="auto"/>
    </w:pPr>
  </w:style>
  <w:style w:type="paragraph" w:styleId="Heading1">
    <w:name w:val="heading 1"/>
    <w:basedOn w:val="Normal"/>
    <w:next w:val="Normal"/>
    <w:link w:val="Heading1Char"/>
    <w:uiPriority w:val="9"/>
    <w:qFormat/>
    <w:rsid w:val="00EC0F01"/>
    <w:pPr>
      <w:keepNext/>
      <w:tabs>
        <w:tab w:val="num" w:pos="360"/>
      </w:tabs>
      <w:spacing w:before="3000"/>
      <w:ind w:left="357" w:hanging="357"/>
      <w:outlineLvl w:val="0"/>
    </w:pPr>
    <w:rPr>
      <w:rFonts w:asciiTheme="majorHAnsi" w:eastAsiaTheme="majorEastAsia" w:hAnsiTheme="majorHAnsi" w:cstheme="majorBidi"/>
      <w:b/>
      <w:sz w:val="48"/>
      <w:szCs w:val="32"/>
    </w:rPr>
  </w:style>
  <w:style w:type="paragraph" w:styleId="Heading2">
    <w:name w:val="heading 2"/>
    <w:basedOn w:val="Normal"/>
    <w:next w:val="Normal"/>
    <w:link w:val="Heading2Char"/>
    <w:uiPriority w:val="9"/>
    <w:unhideWhenUsed/>
    <w:qFormat/>
    <w:rsid w:val="00E25A11"/>
    <w:pPr>
      <w:keepNext/>
      <w:tabs>
        <w:tab w:val="left" w:pos="2268"/>
      </w:tabs>
      <w:spacing w:before="120"/>
      <w:outlineLvl w:val="1"/>
    </w:pPr>
    <w:rPr>
      <w:rFonts w:asciiTheme="majorHAnsi" w:eastAsiaTheme="majorEastAsia" w:hAnsiTheme="majorHAnsi" w:cstheme="majorBidi"/>
      <w:b/>
      <w:color w:val="AB0F14"/>
      <w:sz w:val="36"/>
      <w:szCs w:val="26"/>
    </w:rPr>
  </w:style>
  <w:style w:type="paragraph" w:styleId="Heading3">
    <w:name w:val="heading 3"/>
    <w:basedOn w:val="Normal"/>
    <w:next w:val="Normal"/>
    <w:link w:val="Heading3Char"/>
    <w:uiPriority w:val="9"/>
    <w:unhideWhenUsed/>
    <w:qFormat/>
    <w:rsid w:val="00E25A11"/>
    <w:pPr>
      <w:keepNext/>
      <w:spacing w:before="120" w:after="120"/>
      <w:outlineLvl w:val="2"/>
    </w:pPr>
    <w:rPr>
      <w:rFonts w:asciiTheme="majorHAnsi" w:eastAsiaTheme="majorEastAsia" w:hAnsiTheme="majorHAnsi" w:cstheme="majorBidi"/>
      <w:b/>
      <w:color w:val="113652"/>
      <w:sz w:val="30"/>
      <w:szCs w:val="24"/>
    </w:rPr>
  </w:style>
  <w:style w:type="paragraph" w:styleId="Heading4">
    <w:name w:val="heading 4"/>
    <w:basedOn w:val="Normal"/>
    <w:next w:val="Normal"/>
    <w:link w:val="Heading4Char"/>
    <w:uiPriority w:val="9"/>
    <w:unhideWhenUsed/>
    <w:qFormat/>
    <w:rsid w:val="000C30DA"/>
    <w:pPr>
      <w:keepNext/>
      <w:spacing w:before="120" w:after="60"/>
      <w:outlineLvl w:val="3"/>
    </w:pPr>
    <w:rPr>
      <w:rFonts w:asciiTheme="majorHAnsi" w:eastAsiaTheme="majorEastAsia" w:hAnsiTheme="majorHAnsi" w:cstheme="majorBidi"/>
      <w:b/>
      <w:iCs/>
      <w:sz w:val="24"/>
    </w:rPr>
  </w:style>
  <w:style w:type="paragraph" w:styleId="Heading5">
    <w:name w:val="heading 5"/>
    <w:basedOn w:val="Normal"/>
    <w:next w:val="Normal"/>
    <w:link w:val="Heading5Char"/>
    <w:uiPriority w:val="9"/>
    <w:unhideWhenUsed/>
    <w:qFormat/>
    <w:rsid w:val="009A56D0"/>
    <w:pPr>
      <w:keepNext/>
      <w:numPr>
        <w:ilvl w:val="4"/>
        <w:numId w:val="5"/>
      </w:numPr>
      <w:spacing w:after="60"/>
      <w:outlineLvl w:val="4"/>
    </w:pPr>
    <w:rPr>
      <w:rFonts w:asciiTheme="majorHAnsi" w:eastAsiaTheme="majorEastAsia" w:hAnsiTheme="majorHAnsi" w:cstheme="majorBidi"/>
      <w:color w:val="07478C"/>
    </w:rPr>
  </w:style>
  <w:style w:type="paragraph" w:styleId="Heading6">
    <w:name w:val="heading 6"/>
    <w:basedOn w:val="Normal"/>
    <w:next w:val="Normal"/>
    <w:link w:val="Heading6Char"/>
    <w:uiPriority w:val="9"/>
    <w:unhideWhenUsed/>
    <w:qFormat/>
    <w:rsid w:val="00987507"/>
    <w:pPr>
      <w:keepNext/>
      <w:keepLines/>
      <w:numPr>
        <w:ilvl w:val="5"/>
        <w:numId w:val="5"/>
      </w:numPr>
      <w:spacing w:before="200" w:after="0" w:line="276" w:lineRule="auto"/>
      <w:outlineLvl w:val="5"/>
    </w:pPr>
    <w:rPr>
      <w:rFonts w:asciiTheme="majorHAnsi" w:eastAsiaTheme="majorEastAsia" w:hAnsiTheme="majorHAnsi" w:cstheme="majorBidi"/>
      <w:i/>
      <w:iCs/>
      <w:color w:val="1F4D78" w:themeColor="accent1" w:themeShade="7F"/>
      <w:lang w:eastAsia="en-AU"/>
    </w:rPr>
  </w:style>
  <w:style w:type="paragraph" w:styleId="Heading7">
    <w:name w:val="heading 7"/>
    <w:basedOn w:val="Normal"/>
    <w:next w:val="Normal"/>
    <w:link w:val="Heading7Char"/>
    <w:uiPriority w:val="9"/>
    <w:semiHidden/>
    <w:unhideWhenUsed/>
    <w:qFormat/>
    <w:rsid w:val="00987507"/>
    <w:pPr>
      <w:keepNext/>
      <w:keepLines/>
      <w:numPr>
        <w:ilvl w:val="6"/>
        <w:numId w:val="5"/>
      </w:numPr>
      <w:spacing w:before="200" w:after="0" w:line="276" w:lineRule="auto"/>
      <w:outlineLvl w:val="6"/>
    </w:pPr>
    <w:rPr>
      <w:rFonts w:asciiTheme="majorHAnsi" w:eastAsiaTheme="majorEastAsia" w:hAnsiTheme="majorHAnsi" w:cstheme="majorBidi"/>
      <w:i/>
      <w:iCs/>
      <w:color w:val="404040" w:themeColor="text1" w:themeTint="BF"/>
      <w:lang w:eastAsia="en-AU"/>
    </w:rPr>
  </w:style>
  <w:style w:type="paragraph" w:styleId="Heading8">
    <w:name w:val="heading 8"/>
    <w:basedOn w:val="Normal"/>
    <w:next w:val="Normal"/>
    <w:link w:val="Heading8Char"/>
    <w:uiPriority w:val="9"/>
    <w:semiHidden/>
    <w:unhideWhenUsed/>
    <w:qFormat/>
    <w:rsid w:val="00987507"/>
    <w:pPr>
      <w:keepNext/>
      <w:keepLines/>
      <w:numPr>
        <w:ilvl w:val="7"/>
        <w:numId w:val="5"/>
      </w:numPr>
      <w:spacing w:before="200" w:after="0" w:line="276" w:lineRule="auto"/>
      <w:outlineLvl w:val="7"/>
    </w:pPr>
    <w:rPr>
      <w:rFonts w:asciiTheme="majorHAnsi" w:eastAsiaTheme="majorEastAsia" w:hAnsiTheme="majorHAnsi" w:cstheme="majorBidi"/>
      <w:color w:val="404040" w:themeColor="text1" w:themeTint="BF"/>
      <w:sz w:val="20"/>
      <w:szCs w:val="20"/>
      <w:lang w:eastAsia="en-AU"/>
    </w:rPr>
  </w:style>
  <w:style w:type="paragraph" w:styleId="Heading9">
    <w:name w:val="heading 9"/>
    <w:basedOn w:val="Normal"/>
    <w:next w:val="Normal"/>
    <w:link w:val="Heading9Char"/>
    <w:uiPriority w:val="9"/>
    <w:semiHidden/>
    <w:unhideWhenUsed/>
    <w:qFormat/>
    <w:rsid w:val="00987507"/>
    <w:pPr>
      <w:keepNext/>
      <w:keepLines/>
      <w:numPr>
        <w:ilvl w:val="8"/>
        <w:numId w:val="5"/>
      </w:numPr>
      <w:spacing w:before="200" w:after="0" w:line="276" w:lineRule="auto"/>
      <w:outlineLvl w:val="8"/>
    </w:pPr>
    <w:rPr>
      <w:rFonts w:asciiTheme="majorHAnsi" w:eastAsiaTheme="majorEastAsia" w:hAnsiTheme="majorHAnsi" w:cstheme="majorBidi"/>
      <w:i/>
      <w:iCs/>
      <w:color w:val="404040" w:themeColor="text1" w:themeTint="BF"/>
      <w:sz w:val="20"/>
      <w:szCs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C0F01"/>
    <w:rPr>
      <w:rFonts w:asciiTheme="majorHAnsi" w:eastAsiaTheme="majorEastAsia" w:hAnsiTheme="majorHAnsi" w:cstheme="majorBidi"/>
      <w:b/>
      <w:sz w:val="48"/>
      <w:szCs w:val="32"/>
    </w:rPr>
  </w:style>
  <w:style w:type="character" w:customStyle="1" w:styleId="Heading2Char">
    <w:name w:val="Heading 2 Char"/>
    <w:basedOn w:val="DefaultParagraphFont"/>
    <w:link w:val="Heading2"/>
    <w:uiPriority w:val="9"/>
    <w:rsid w:val="00666FC7"/>
    <w:rPr>
      <w:rFonts w:asciiTheme="majorHAnsi" w:eastAsiaTheme="majorEastAsia" w:hAnsiTheme="majorHAnsi" w:cstheme="majorBidi"/>
      <w:b/>
      <w:color w:val="AB0F14"/>
      <w:sz w:val="36"/>
      <w:szCs w:val="26"/>
    </w:rPr>
  </w:style>
  <w:style w:type="paragraph" w:styleId="Subtitle">
    <w:name w:val="Subtitle"/>
    <w:basedOn w:val="Normal"/>
    <w:next w:val="Normal"/>
    <w:link w:val="SubtitleChar"/>
    <w:uiPriority w:val="15"/>
    <w:qFormat/>
    <w:rsid w:val="0064771D"/>
    <w:pPr>
      <w:numPr>
        <w:ilvl w:val="1"/>
      </w:numPr>
      <w:spacing w:before="240"/>
    </w:pPr>
    <w:rPr>
      <w:rFonts w:asciiTheme="majorHAnsi" w:eastAsiaTheme="minorEastAsia" w:hAnsiTheme="majorHAnsi"/>
      <w:b/>
      <w:color w:val="07478C"/>
      <w:spacing w:val="15"/>
      <w:sz w:val="36"/>
    </w:rPr>
  </w:style>
  <w:style w:type="character" w:customStyle="1" w:styleId="SubtitleChar">
    <w:name w:val="Subtitle Char"/>
    <w:basedOn w:val="DefaultParagraphFont"/>
    <w:link w:val="Subtitle"/>
    <w:uiPriority w:val="15"/>
    <w:rsid w:val="0064771D"/>
    <w:rPr>
      <w:rFonts w:asciiTheme="majorHAnsi" w:eastAsiaTheme="minorEastAsia" w:hAnsiTheme="majorHAnsi"/>
      <w:b/>
      <w:color w:val="07478C"/>
      <w:spacing w:val="15"/>
      <w:sz w:val="36"/>
    </w:rPr>
  </w:style>
  <w:style w:type="character" w:styleId="Hyperlink">
    <w:name w:val="Hyperlink"/>
    <w:basedOn w:val="DefaultParagraphFont"/>
    <w:uiPriority w:val="99"/>
    <w:unhideWhenUsed/>
    <w:qFormat/>
    <w:rsid w:val="000C30DA"/>
    <w:rPr>
      <w:color w:val="07478C"/>
      <w:u w:val="single"/>
    </w:rPr>
  </w:style>
  <w:style w:type="character" w:customStyle="1" w:styleId="Heading3Char">
    <w:name w:val="Heading 3 Char"/>
    <w:basedOn w:val="DefaultParagraphFont"/>
    <w:link w:val="Heading3"/>
    <w:uiPriority w:val="9"/>
    <w:rsid w:val="00666FC7"/>
    <w:rPr>
      <w:rFonts w:asciiTheme="majorHAnsi" w:eastAsiaTheme="majorEastAsia" w:hAnsiTheme="majorHAnsi" w:cstheme="majorBidi"/>
      <w:b/>
      <w:color w:val="113652"/>
      <w:sz w:val="30"/>
      <w:szCs w:val="24"/>
    </w:rPr>
  </w:style>
  <w:style w:type="paragraph" w:customStyle="1" w:styleId="Bulletlevel1">
    <w:name w:val="Bullet level 1"/>
    <w:basedOn w:val="Normal"/>
    <w:qFormat/>
    <w:rsid w:val="00BC0293"/>
    <w:pPr>
      <w:numPr>
        <w:numId w:val="1"/>
      </w:numPr>
      <w:ind w:left="567" w:hanging="567"/>
      <w:contextualSpacing/>
    </w:pPr>
  </w:style>
  <w:style w:type="paragraph" w:styleId="Header">
    <w:name w:val="header"/>
    <w:basedOn w:val="Normal"/>
    <w:link w:val="HeaderChar"/>
    <w:unhideWhenUsed/>
    <w:rsid w:val="003F0A2D"/>
    <w:pPr>
      <w:tabs>
        <w:tab w:val="center" w:pos="4513"/>
        <w:tab w:val="right" w:pos="9026"/>
      </w:tabs>
      <w:spacing w:after="0"/>
    </w:pPr>
  </w:style>
  <w:style w:type="character" w:customStyle="1" w:styleId="HeaderChar">
    <w:name w:val="Header Char"/>
    <w:basedOn w:val="DefaultParagraphFont"/>
    <w:link w:val="Header"/>
    <w:rsid w:val="003F0A2D"/>
  </w:style>
  <w:style w:type="paragraph" w:styleId="Footer">
    <w:name w:val="footer"/>
    <w:basedOn w:val="Normal"/>
    <w:link w:val="FooterChar"/>
    <w:uiPriority w:val="99"/>
    <w:unhideWhenUsed/>
    <w:rsid w:val="003F0A2D"/>
    <w:pPr>
      <w:tabs>
        <w:tab w:val="center" w:pos="4513"/>
        <w:tab w:val="right" w:pos="9026"/>
      </w:tabs>
      <w:spacing w:after="0"/>
    </w:pPr>
  </w:style>
  <w:style w:type="character" w:customStyle="1" w:styleId="FooterChar">
    <w:name w:val="Footer Char"/>
    <w:basedOn w:val="DefaultParagraphFont"/>
    <w:link w:val="Footer"/>
    <w:uiPriority w:val="99"/>
    <w:rsid w:val="003F0A2D"/>
  </w:style>
  <w:style w:type="character" w:customStyle="1" w:styleId="Heading4Char">
    <w:name w:val="Heading 4 Char"/>
    <w:basedOn w:val="DefaultParagraphFont"/>
    <w:link w:val="Heading4"/>
    <w:uiPriority w:val="9"/>
    <w:rsid w:val="000C30DA"/>
    <w:rPr>
      <w:rFonts w:asciiTheme="majorHAnsi" w:eastAsiaTheme="majorEastAsia" w:hAnsiTheme="majorHAnsi" w:cstheme="majorBidi"/>
      <w:b/>
      <w:iCs/>
      <w:sz w:val="24"/>
    </w:rPr>
  </w:style>
  <w:style w:type="table" w:styleId="TableGrid">
    <w:name w:val="Table Grid"/>
    <w:basedOn w:val="TableNormal"/>
    <w:uiPriority w:val="39"/>
    <w:rsid w:val="000249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figureheading">
    <w:name w:val="Table/figure heading"/>
    <w:basedOn w:val="Normal"/>
    <w:next w:val="Normal"/>
    <w:qFormat/>
    <w:rsid w:val="00666FC7"/>
    <w:pPr>
      <w:keepNext/>
      <w:spacing w:before="40" w:after="0"/>
    </w:pPr>
    <w:rPr>
      <w:rFonts w:asciiTheme="majorHAnsi" w:hAnsiTheme="majorHAnsi"/>
      <w:b/>
      <w:color w:val="113652"/>
    </w:rPr>
  </w:style>
  <w:style w:type="paragraph" w:styleId="FootnoteText">
    <w:name w:val="footnote text"/>
    <w:aliases w:val="ACMA Footnote Text,ALTS FOOTNOTE,(NECG) Footnote Text,Footnote text,AR Footnote Text,AR Footnote Text Char Char Char Char Char,Footnote Text Char2,Footnote Text Char1 Char Char,Footnote Text Char Char Char Char,Footnote Text Char1 Char,f"/>
    <w:basedOn w:val="Normal"/>
    <w:link w:val="FootnoteTextChar"/>
    <w:uiPriority w:val="99"/>
    <w:unhideWhenUsed/>
    <w:rsid w:val="000249BC"/>
    <w:pPr>
      <w:spacing w:after="0"/>
    </w:pPr>
    <w:rPr>
      <w:sz w:val="20"/>
      <w:szCs w:val="20"/>
    </w:rPr>
  </w:style>
  <w:style w:type="character" w:customStyle="1" w:styleId="FootnoteTextChar">
    <w:name w:val="Footnote Text Char"/>
    <w:aliases w:val="ACMA Footnote Text Char,ALTS FOOTNOTE Char,(NECG) Footnote Text Char,Footnote text Char,AR Footnote Text Char,AR Footnote Text Char Char Char Char Char Char,Footnote Text Char2 Char,Footnote Text Char1 Char Char Char,f Char"/>
    <w:basedOn w:val="DefaultParagraphFont"/>
    <w:link w:val="FootnoteText"/>
    <w:uiPriority w:val="99"/>
    <w:rsid w:val="000249BC"/>
    <w:rPr>
      <w:sz w:val="20"/>
      <w:szCs w:val="20"/>
    </w:rPr>
  </w:style>
  <w:style w:type="character" w:styleId="FootnoteReference">
    <w:name w:val="footnote reference"/>
    <w:aliases w:val="(NECG) Footnote Reference,(NECG) Footnote Reference1,(NECG) Footnote Reference2,o,Appel note de bas de p,Appel note de bas de p + 11 pt,Italic,Footnote,Style 12,Style 124,fr,Style 3,Footnote symbol,Appel note de bas de p1"/>
    <w:basedOn w:val="DefaultParagraphFont"/>
    <w:uiPriority w:val="99"/>
    <w:unhideWhenUsed/>
    <w:rsid w:val="000249BC"/>
    <w:rPr>
      <w:vertAlign w:val="superscript"/>
    </w:rPr>
  </w:style>
  <w:style w:type="paragraph" w:styleId="ListParagraph">
    <w:name w:val="List Paragraph"/>
    <w:aliases w:val="List Paragraph1,Recommendation,bullet point list"/>
    <w:basedOn w:val="Normal"/>
    <w:link w:val="ListParagraphChar"/>
    <w:uiPriority w:val="34"/>
    <w:qFormat/>
    <w:rsid w:val="0064771D"/>
    <w:pPr>
      <w:ind w:left="1134" w:hanging="567"/>
      <w:contextualSpacing/>
    </w:pPr>
  </w:style>
  <w:style w:type="paragraph" w:styleId="TOC1">
    <w:name w:val="toc 1"/>
    <w:basedOn w:val="Normal"/>
    <w:next w:val="Normal"/>
    <w:autoRedefine/>
    <w:uiPriority w:val="39"/>
    <w:unhideWhenUsed/>
    <w:rsid w:val="00FA414F"/>
    <w:pPr>
      <w:spacing w:before="120" w:after="0"/>
    </w:pPr>
    <w:rPr>
      <w:b/>
      <w:color w:val="07478C"/>
      <w:sz w:val="24"/>
    </w:rPr>
  </w:style>
  <w:style w:type="paragraph" w:styleId="TOC2">
    <w:name w:val="toc 2"/>
    <w:basedOn w:val="Normal"/>
    <w:next w:val="Normal"/>
    <w:autoRedefine/>
    <w:uiPriority w:val="39"/>
    <w:unhideWhenUsed/>
    <w:rsid w:val="00FA414F"/>
    <w:pPr>
      <w:spacing w:after="0"/>
      <w:ind w:left="567"/>
    </w:pPr>
  </w:style>
  <w:style w:type="paragraph" w:styleId="TOC3">
    <w:name w:val="toc 3"/>
    <w:basedOn w:val="Normal"/>
    <w:next w:val="Normal"/>
    <w:autoRedefine/>
    <w:uiPriority w:val="39"/>
    <w:unhideWhenUsed/>
    <w:rsid w:val="00540B2F"/>
    <w:pPr>
      <w:spacing w:after="0"/>
      <w:ind w:left="1134"/>
    </w:pPr>
  </w:style>
  <w:style w:type="paragraph" w:customStyle="1" w:styleId="Tablerowcolumnheading">
    <w:name w:val="Table row/column heading"/>
    <w:basedOn w:val="Normal"/>
    <w:next w:val="Normal"/>
    <w:rsid w:val="00540B2F"/>
    <w:pPr>
      <w:spacing w:after="0"/>
    </w:pPr>
    <w:rPr>
      <w:rFonts w:eastAsia="Times New Roman" w:cs="Times New Roman"/>
      <w:b/>
      <w:bCs/>
      <w:szCs w:val="20"/>
    </w:rPr>
  </w:style>
  <w:style w:type="paragraph" w:customStyle="1" w:styleId="Tablecentredrowcolumnheading">
    <w:name w:val="Table centred row/column heading"/>
    <w:basedOn w:val="Normal"/>
    <w:next w:val="Normal"/>
    <w:rsid w:val="00B370BC"/>
    <w:pPr>
      <w:spacing w:after="0"/>
      <w:jc w:val="center"/>
    </w:pPr>
    <w:rPr>
      <w:rFonts w:eastAsia="Times New Roman" w:cs="Times New Roman"/>
      <w:b/>
      <w:bCs/>
      <w:szCs w:val="20"/>
    </w:rPr>
  </w:style>
  <w:style w:type="paragraph" w:customStyle="1" w:styleId="Tabletextcentred">
    <w:name w:val="Table text centred"/>
    <w:basedOn w:val="Normal"/>
    <w:next w:val="NoSpacing"/>
    <w:rsid w:val="00B370BC"/>
    <w:pPr>
      <w:spacing w:after="0"/>
      <w:jc w:val="center"/>
    </w:pPr>
    <w:rPr>
      <w:rFonts w:eastAsia="Times New Roman" w:cs="Times New Roman"/>
      <w:szCs w:val="20"/>
    </w:rPr>
  </w:style>
  <w:style w:type="paragraph" w:styleId="NoSpacing">
    <w:name w:val="No Spacing"/>
    <w:link w:val="NoSpacingChar"/>
    <w:uiPriority w:val="1"/>
    <w:qFormat/>
    <w:rsid w:val="00B370BC"/>
    <w:pPr>
      <w:spacing w:after="0" w:line="240" w:lineRule="auto"/>
    </w:pPr>
  </w:style>
  <w:style w:type="character" w:customStyle="1" w:styleId="Heading5Char">
    <w:name w:val="Heading 5 Char"/>
    <w:basedOn w:val="DefaultParagraphFont"/>
    <w:link w:val="Heading5"/>
    <w:uiPriority w:val="9"/>
    <w:rsid w:val="009A56D0"/>
    <w:rPr>
      <w:rFonts w:asciiTheme="majorHAnsi" w:eastAsiaTheme="majorEastAsia" w:hAnsiTheme="majorHAnsi" w:cstheme="majorBidi"/>
      <w:color w:val="07478C"/>
    </w:rPr>
  </w:style>
  <w:style w:type="character" w:styleId="IntenseEmphasis">
    <w:name w:val="Intense Emphasis"/>
    <w:basedOn w:val="DefaultParagraphFont"/>
    <w:uiPriority w:val="21"/>
    <w:qFormat/>
    <w:rsid w:val="0064771D"/>
    <w:rPr>
      <w:rFonts w:asciiTheme="minorHAnsi" w:hAnsiTheme="minorHAnsi"/>
      <w:i/>
      <w:iCs/>
      <w:color w:val="07478C"/>
      <w:sz w:val="22"/>
    </w:rPr>
  </w:style>
  <w:style w:type="paragraph" w:styleId="IntenseQuote">
    <w:name w:val="Intense Quote"/>
    <w:basedOn w:val="Normal"/>
    <w:next w:val="Normal"/>
    <w:link w:val="IntenseQuoteChar"/>
    <w:uiPriority w:val="30"/>
    <w:qFormat/>
    <w:rsid w:val="0064771D"/>
    <w:pPr>
      <w:pBdr>
        <w:top w:val="single" w:sz="4" w:space="10" w:color="5B9BD5" w:themeColor="accent1"/>
        <w:bottom w:val="single" w:sz="4" w:space="10" w:color="5B9BD5" w:themeColor="accent1"/>
      </w:pBdr>
      <w:ind w:left="567" w:right="567"/>
    </w:pPr>
    <w:rPr>
      <w:i/>
      <w:iCs/>
      <w:color w:val="07478C"/>
    </w:rPr>
  </w:style>
  <w:style w:type="character" w:customStyle="1" w:styleId="IntenseQuoteChar">
    <w:name w:val="Intense Quote Char"/>
    <w:basedOn w:val="DefaultParagraphFont"/>
    <w:link w:val="IntenseQuote"/>
    <w:uiPriority w:val="30"/>
    <w:rsid w:val="0064771D"/>
    <w:rPr>
      <w:i/>
      <w:iCs/>
      <w:color w:val="07478C"/>
    </w:rPr>
  </w:style>
  <w:style w:type="character" w:styleId="IntenseReference">
    <w:name w:val="Intense Reference"/>
    <w:basedOn w:val="DefaultParagraphFont"/>
    <w:uiPriority w:val="32"/>
    <w:qFormat/>
    <w:rsid w:val="0064771D"/>
    <w:rPr>
      <w:rFonts w:asciiTheme="minorHAnsi" w:hAnsiTheme="minorHAnsi"/>
      <w:b/>
      <w:bCs/>
      <w:smallCaps/>
      <w:color w:val="07478C"/>
      <w:spacing w:val="5"/>
      <w:sz w:val="22"/>
    </w:rPr>
  </w:style>
  <w:style w:type="character" w:styleId="BookTitle">
    <w:name w:val="Book Title"/>
    <w:basedOn w:val="DefaultParagraphFont"/>
    <w:uiPriority w:val="33"/>
    <w:qFormat/>
    <w:rsid w:val="0064771D"/>
    <w:rPr>
      <w:rFonts w:asciiTheme="minorHAnsi" w:hAnsiTheme="minorHAnsi"/>
      <w:b/>
      <w:bCs/>
      <w:i/>
      <w:iCs/>
      <w:spacing w:val="5"/>
      <w:sz w:val="22"/>
    </w:rPr>
  </w:style>
  <w:style w:type="character" w:styleId="SubtleReference">
    <w:name w:val="Subtle Reference"/>
    <w:basedOn w:val="DefaultParagraphFont"/>
    <w:uiPriority w:val="31"/>
    <w:qFormat/>
    <w:rsid w:val="0064771D"/>
    <w:rPr>
      <w:rFonts w:asciiTheme="minorHAnsi" w:hAnsiTheme="minorHAnsi"/>
      <w:smallCaps/>
      <w:color w:val="5A5A5A" w:themeColor="text1" w:themeTint="A5"/>
      <w:sz w:val="22"/>
    </w:rPr>
  </w:style>
  <w:style w:type="paragraph" w:customStyle="1" w:styleId="Heading2-notshowingincontentsindocument">
    <w:name w:val="Heading 2 - not showing in contents in document"/>
    <w:basedOn w:val="Normal"/>
    <w:next w:val="Normal"/>
    <w:rsid w:val="00C56413"/>
    <w:pPr>
      <w:spacing w:before="120"/>
      <w:outlineLvl w:val="1"/>
    </w:pPr>
    <w:rPr>
      <w:rFonts w:asciiTheme="majorHAnsi" w:hAnsiTheme="majorHAnsi"/>
      <w:b/>
      <w:sz w:val="36"/>
      <w:szCs w:val="36"/>
    </w:rPr>
  </w:style>
  <w:style w:type="paragraph" w:customStyle="1" w:styleId="Normal-monthyearforcoverpage">
    <w:name w:val="Normal - month/year for cover page"/>
    <w:basedOn w:val="Normal"/>
    <w:next w:val="Normal"/>
    <w:rsid w:val="00C56413"/>
    <w:rPr>
      <w:sz w:val="24"/>
      <w:szCs w:val="24"/>
    </w:rPr>
  </w:style>
  <w:style w:type="paragraph" w:customStyle="1" w:styleId="Heading3-notshowingincontentsindocument">
    <w:name w:val="Heading 3 - not showing in contents in document"/>
    <w:basedOn w:val="Normal"/>
    <w:next w:val="Normal"/>
    <w:rsid w:val="00C56413"/>
    <w:pPr>
      <w:spacing w:before="120" w:after="60"/>
      <w:outlineLvl w:val="2"/>
    </w:pPr>
    <w:rPr>
      <w:sz w:val="26"/>
      <w:szCs w:val="26"/>
    </w:rPr>
  </w:style>
  <w:style w:type="paragraph" w:customStyle="1" w:styleId="subtitleofdocument">
    <w:name w:val="subtitle of document"/>
    <w:basedOn w:val="Normal"/>
    <w:next w:val="Normal"/>
    <w:rsid w:val="00A7176A"/>
    <w:pPr>
      <w:spacing w:before="1000" w:after="1000"/>
      <w:outlineLvl w:val="1"/>
    </w:pPr>
    <w:rPr>
      <w:rFonts w:asciiTheme="majorHAnsi" w:eastAsia="Times New Roman" w:hAnsiTheme="majorHAnsi" w:cs="Times New Roman"/>
      <w:b/>
      <w:bCs/>
      <w:color w:val="07478C"/>
      <w:sz w:val="36"/>
      <w:szCs w:val="20"/>
    </w:rPr>
  </w:style>
  <w:style w:type="paragraph" w:customStyle="1" w:styleId="Tickedboxbulletpoint">
    <w:name w:val="Ticked box bullet point"/>
    <w:basedOn w:val="Bulletlevel1"/>
    <w:qFormat/>
    <w:rsid w:val="004F3C4E"/>
    <w:pPr>
      <w:numPr>
        <w:numId w:val="2"/>
      </w:numPr>
      <w:spacing w:before="240" w:after="0"/>
      <w:ind w:left="567" w:hanging="567"/>
    </w:pPr>
  </w:style>
  <w:style w:type="paragraph" w:customStyle="1" w:styleId="Checkboxemptybulletpoint">
    <w:name w:val="Check box empty bullet point"/>
    <w:basedOn w:val="Bulletlevel1"/>
    <w:qFormat/>
    <w:rsid w:val="008D36D1"/>
    <w:pPr>
      <w:numPr>
        <w:numId w:val="3"/>
      </w:numPr>
      <w:spacing w:after="0"/>
      <w:ind w:left="567" w:hanging="567"/>
    </w:pPr>
  </w:style>
  <w:style w:type="paragraph" w:customStyle="1" w:styleId="StyleHeading3Before12pt">
    <w:name w:val="Style Heading 3 + Before:  12 pt"/>
    <w:basedOn w:val="Heading3"/>
    <w:rsid w:val="00815DD0"/>
    <w:rPr>
      <w:rFonts w:eastAsia="Times New Roman" w:cs="Times New Roman"/>
      <w:bCs/>
      <w:szCs w:val="20"/>
    </w:rPr>
  </w:style>
  <w:style w:type="character" w:customStyle="1" w:styleId="Heading6Char">
    <w:name w:val="Heading 6 Char"/>
    <w:basedOn w:val="DefaultParagraphFont"/>
    <w:link w:val="Heading6"/>
    <w:uiPriority w:val="9"/>
    <w:rsid w:val="00987507"/>
    <w:rPr>
      <w:rFonts w:asciiTheme="majorHAnsi" w:eastAsiaTheme="majorEastAsia" w:hAnsiTheme="majorHAnsi" w:cstheme="majorBidi"/>
      <w:i/>
      <w:iCs/>
      <w:color w:val="1F4D78" w:themeColor="accent1" w:themeShade="7F"/>
      <w:lang w:eastAsia="en-AU"/>
    </w:rPr>
  </w:style>
  <w:style w:type="character" w:customStyle="1" w:styleId="Heading7Char">
    <w:name w:val="Heading 7 Char"/>
    <w:basedOn w:val="DefaultParagraphFont"/>
    <w:link w:val="Heading7"/>
    <w:uiPriority w:val="9"/>
    <w:semiHidden/>
    <w:rsid w:val="00987507"/>
    <w:rPr>
      <w:rFonts w:asciiTheme="majorHAnsi" w:eastAsiaTheme="majorEastAsia" w:hAnsiTheme="majorHAnsi" w:cstheme="majorBidi"/>
      <w:i/>
      <w:iCs/>
      <w:color w:val="404040" w:themeColor="text1" w:themeTint="BF"/>
      <w:lang w:eastAsia="en-AU"/>
    </w:rPr>
  </w:style>
  <w:style w:type="character" w:customStyle="1" w:styleId="Heading8Char">
    <w:name w:val="Heading 8 Char"/>
    <w:basedOn w:val="DefaultParagraphFont"/>
    <w:link w:val="Heading8"/>
    <w:uiPriority w:val="9"/>
    <w:semiHidden/>
    <w:rsid w:val="00987507"/>
    <w:rPr>
      <w:rFonts w:asciiTheme="majorHAnsi" w:eastAsiaTheme="majorEastAsia" w:hAnsiTheme="majorHAnsi" w:cstheme="majorBidi"/>
      <w:color w:val="404040" w:themeColor="text1" w:themeTint="BF"/>
      <w:sz w:val="20"/>
      <w:szCs w:val="20"/>
      <w:lang w:eastAsia="en-AU"/>
    </w:rPr>
  </w:style>
  <w:style w:type="character" w:customStyle="1" w:styleId="Heading9Char">
    <w:name w:val="Heading 9 Char"/>
    <w:basedOn w:val="DefaultParagraphFont"/>
    <w:link w:val="Heading9"/>
    <w:uiPriority w:val="9"/>
    <w:semiHidden/>
    <w:rsid w:val="00987507"/>
    <w:rPr>
      <w:rFonts w:asciiTheme="majorHAnsi" w:eastAsiaTheme="majorEastAsia" w:hAnsiTheme="majorHAnsi" w:cstheme="majorBidi"/>
      <w:i/>
      <w:iCs/>
      <w:color w:val="404040" w:themeColor="text1" w:themeTint="BF"/>
      <w:sz w:val="20"/>
      <w:szCs w:val="20"/>
      <w:lang w:eastAsia="en-AU"/>
    </w:rPr>
  </w:style>
  <w:style w:type="paragraph" w:styleId="BalloonText">
    <w:name w:val="Balloon Text"/>
    <w:basedOn w:val="Normal"/>
    <w:link w:val="BalloonTextChar"/>
    <w:uiPriority w:val="99"/>
    <w:semiHidden/>
    <w:unhideWhenUsed/>
    <w:rsid w:val="00987507"/>
    <w:pPr>
      <w:spacing w:after="0"/>
    </w:pPr>
    <w:rPr>
      <w:rFonts w:ascii="Tahoma" w:hAnsi="Tahoma" w:cs="Tahoma"/>
      <w:sz w:val="16"/>
      <w:szCs w:val="16"/>
      <w:lang w:eastAsia="en-AU"/>
    </w:rPr>
  </w:style>
  <w:style w:type="character" w:customStyle="1" w:styleId="BalloonTextChar">
    <w:name w:val="Balloon Text Char"/>
    <w:basedOn w:val="DefaultParagraphFont"/>
    <w:link w:val="BalloonText"/>
    <w:uiPriority w:val="99"/>
    <w:semiHidden/>
    <w:rsid w:val="00987507"/>
    <w:rPr>
      <w:rFonts w:ascii="Tahoma" w:hAnsi="Tahoma" w:cs="Tahoma"/>
      <w:sz w:val="16"/>
      <w:szCs w:val="16"/>
      <w:lang w:eastAsia="en-AU"/>
    </w:rPr>
  </w:style>
  <w:style w:type="table" w:styleId="LightShading-Accent1">
    <w:name w:val="Light Shading Accent 1"/>
    <w:basedOn w:val="TableNormal"/>
    <w:uiPriority w:val="60"/>
    <w:rsid w:val="00987507"/>
    <w:pPr>
      <w:spacing w:after="0" w:line="240" w:lineRule="auto"/>
    </w:pPr>
    <w:rPr>
      <w:color w:val="2E74B5" w:themeColor="accent1" w:themeShade="BF"/>
      <w:lang w:eastAsia="en-AU"/>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LightShading-Accent2">
    <w:name w:val="Light Shading Accent 2"/>
    <w:basedOn w:val="TableNormal"/>
    <w:uiPriority w:val="99"/>
    <w:rsid w:val="00987507"/>
    <w:pPr>
      <w:spacing w:after="0" w:line="240" w:lineRule="auto"/>
    </w:pPr>
    <w:rPr>
      <w:color w:val="C45911" w:themeColor="accent2" w:themeShade="BF"/>
      <w:lang w:eastAsia="en-AU"/>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ghtGrid-Accent1">
    <w:name w:val="Light Grid Accent 1"/>
    <w:basedOn w:val="TableNormal"/>
    <w:uiPriority w:val="62"/>
    <w:rsid w:val="00987507"/>
    <w:pPr>
      <w:spacing w:after="0" w:line="240" w:lineRule="auto"/>
    </w:pPr>
    <w:rPr>
      <w:lang w:eastAsia="en-AU"/>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paragraph" w:customStyle="1" w:styleId="Default">
    <w:name w:val="Default"/>
    <w:rsid w:val="00987507"/>
    <w:pPr>
      <w:autoSpaceDE w:val="0"/>
      <w:autoSpaceDN w:val="0"/>
      <w:adjustRightInd w:val="0"/>
      <w:spacing w:after="200" w:line="276" w:lineRule="auto"/>
    </w:pPr>
    <w:rPr>
      <w:rFonts w:ascii="Arial" w:eastAsiaTheme="minorEastAsia" w:hAnsi="Arial" w:cs="Arial"/>
      <w:color w:val="000000"/>
      <w:lang w:val="en-US"/>
    </w:rPr>
  </w:style>
  <w:style w:type="paragraph" w:customStyle="1" w:styleId="SubHeadingBlue">
    <w:name w:val="SubHeading Blue"/>
    <w:basedOn w:val="Heading1"/>
    <w:rsid w:val="00987507"/>
    <w:pPr>
      <w:keepLines/>
      <w:spacing w:before="480" w:after="0" w:line="276" w:lineRule="auto"/>
      <w:ind w:left="567" w:hanging="567"/>
    </w:pPr>
    <w:rPr>
      <w:rFonts w:asciiTheme="minorHAnsi" w:hAnsiTheme="minorHAnsi" w:cstheme="minorHAnsi"/>
      <w:bCs/>
      <w:color w:val="172983"/>
      <w:sz w:val="32"/>
      <w:szCs w:val="28"/>
      <w:lang w:eastAsia="en-AU"/>
    </w:rPr>
  </w:style>
  <w:style w:type="paragraph" w:customStyle="1" w:styleId="AIHWbodytext">
    <w:name w:val="AIHW body text"/>
    <w:rsid w:val="00987507"/>
    <w:pPr>
      <w:spacing w:before="60" w:after="40" w:line="260" w:lineRule="atLeast"/>
    </w:pPr>
    <w:rPr>
      <w:rFonts w:ascii="Book Antiqua" w:eastAsia="Times New Roman" w:hAnsi="Book Antiqua" w:cs="Times New Roman"/>
      <w:color w:val="000000"/>
      <w:szCs w:val="20"/>
    </w:rPr>
  </w:style>
  <w:style w:type="paragraph" w:styleId="Title">
    <w:name w:val="Title"/>
    <w:basedOn w:val="Normal"/>
    <w:next w:val="AIHWbodytext"/>
    <w:link w:val="TitleChar"/>
    <w:uiPriority w:val="10"/>
    <w:qFormat/>
    <w:rsid w:val="00987507"/>
    <w:pPr>
      <w:keepLines/>
      <w:spacing w:before="1200" w:after="600" w:line="600" w:lineRule="atLeast"/>
      <w:jc w:val="center"/>
      <w:outlineLvl w:val="8"/>
    </w:pPr>
    <w:rPr>
      <w:rFonts w:ascii="Arial" w:eastAsia="Times New Roman" w:hAnsi="Arial" w:cs="Times New Roman"/>
      <w:b/>
      <w:bCs/>
      <w:color w:val="000000"/>
      <w:kern w:val="28"/>
      <w:sz w:val="48"/>
      <w:szCs w:val="32"/>
      <w:lang w:eastAsia="en-AU"/>
    </w:rPr>
  </w:style>
  <w:style w:type="character" w:customStyle="1" w:styleId="TitleChar">
    <w:name w:val="Title Char"/>
    <w:basedOn w:val="DefaultParagraphFont"/>
    <w:link w:val="Title"/>
    <w:uiPriority w:val="10"/>
    <w:rsid w:val="00987507"/>
    <w:rPr>
      <w:rFonts w:ascii="Arial" w:eastAsia="Times New Roman" w:hAnsi="Arial" w:cs="Times New Roman"/>
      <w:b/>
      <w:bCs/>
      <w:color w:val="000000"/>
      <w:kern w:val="28"/>
      <w:sz w:val="48"/>
      <w:szCs w:val="32"/>
      <w:lang w:eastAsia="en-AU"/>
    </w:rPr>
  </w:style>
  <w:style w:type="character" w:customStyle="1" w:styleId="NoSpacingChar">
    <w:name w:val="No Spacing Char"/>
    <w:basedOn w:val="DefaultParagraphFont"/>
    <w:link w:val="NoSpacing"/>
    <w:uiPriority w:val="1"/>
    <w:rsid w:val="00987507"/>
  </w:style>
  <w:style w:type="paragraph" w:styleId="TOCHeading">
    <w:name w:val="TOC Heading"/>
    <w:basedOn w:val="Heading1"/>
    <w:next w:val="Normal"/>
    <w:uiPriority w:val="39"/>
    <w:unhideWhenUsed/>
    <w:qFormat/>
    <w:rsid w:val="00987507"/>
    <w:pPr>
      <w:keepLines/>
      <w:spacing w:before="480" w:after="0" w:line="276" w:lineRule="auto"/>
      <w:outlineLvl w:val="9"/>
    </w:pPr>
    <w:rPr>
      <w:bCs/>
      <w:color w:val="2E74B5" w:themeColor="accent1" w:themeShade="BF"/>
      <w:sz w:val="28"/>
      <w:szCs w:val="28"/>
      <w:lang w:val="en-US" w:eastAsia="ja-JP"/>
    </w:rPr>
  </w:style>
  <w:style w:type="table" w:customStyle="1" w:styleId="TableGrid2">
    <w:name w:val="Table Grid2"/>
    <w:basedOn w:val="TableNormal"/>
    <w:next w:val="TableGrid"/>
    <w:uiPriority w:val="59"/>
    <w:rsid w:val="00987507"/>
    <w:pPr>
      <w:spacing w:before="240" w:after="200" w:line="276" w:lineRule="auto"/>
    </w:pPr>
    <w:rPr>
      <w:rFonts w:eastAsiaTheme="minorEastAsia"/>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E25A11"/>
    <w:pPr>
      <w:spacing w:after="60"/>
    </w:pPr>
    <w:rPr>
      <w:rFonts w:eastAsiaTheme="minorEastAsia"/>
      <w:lang w:eastAsia="en-AU"/>
    </w:rPr>
  </w:style>
  <w:style w:type="paragraph" w:styleId="TOC5">
    <w:name w:val="toc 5"/>
    <w:basedOn w:val="Normal"/>
    <w:next w:val="Normal"/>
    <w:autoRedefine/>
    <w:uiPriority w:val="39"/>
    <w:unhideWhenUsed/>
    <w:rsid w:val="00987507"/>
    <w:pPr>
      <w:spacing w:after="100" w:line="276" w:lineRule="auto"/>
      <w:ind w:left="880"/>
    </w:pPr>
    <w:rPr>
      <w:rFonts w:eastAsiaTheme="minorEastAsia"/>
      <w:lang w:eastAsia="en-AU"/>
    </w:rPr>
  </w:style>
  <w:style w:type="paragraph" w:styleId="TOC6">
    <w:name w:val="toc 6"/>
    <w:basedOn w:val="Normal"/>
    <w:next w:val="Normal"/>
    <w:autoRedefine/>
    <w:uiPriority w:val="39"/>
    <w:unhideWhenUsed/>
    <w:rsid w:val="00987507"/>
    <w:pPr>
      <w:spacing w:after="100" w:line="276" w:lineRule="auto"/>
      <w:ind w:left="1100"/>
    </w:pPr>
    <w:rPr>
      <w:rFonts w:eastAsiaTheme="minorEastAsia"/>
      <w:lang w:eastAsia="en-AU"/>
    </w:rPr>
  </w:style>
  <w:style w:type="paragraph" w:styleId="TOC7">
    <w:name w:val="toc 7"/>
    <w:basedOn w:val="Normal"/>
    <w:next w:val="Normal"/>
    <w:autoRedefine/>
    <w:uiPriority w:val="39"/>
    <w:unhideWhenUsed/>
    <w:rsid w:val="00987507"/>
    <w:pPr>
      <w:spacing w:after="100" w:line="276" w:lineRule="auto"/>
      <w:ind w:left="1320"/>
    </w:pPr>
    <w:rPr>
      <w:rFonts w:eastAsiaTheme="minorEastAsia"/>
      <w:lang w:eastAsia="en-AU"/>
    </w:rPr>
  </w:style>
  <w:style w:type="paragraph" w:styleId="TOC8">
    <w:name w:val="toc 8"/>
    <w:basedOn w:val="Normal"/>
    <w:next w:val="Normal"/>
    <w:autoRedefine/>
    <w:uiPriority w:val="39"/>
    <w:unhideWhenUsed/>
    <w:rsid w:val="00987507"/>
    <w:pPr>
      <w:spacing w:after="100" w:line="276" w:lineRule="auto"/>
      <w:ind w:left="1540"/>
    </w:pPr>
    <w:rPr>
      <w:rFonts w:eastAsiaTheme="minorEastAsia"/>
      <w:lang w:eastAsia="en-AU"/>
    </w:rPr>
  </w:style>
  <w:style w:type="paragraph" w:styleId="TOC9">
    <w:name w:val="toc 9"/>
    <w:basedOn w:val="Normal"/>
    <w:next w:val="Normal"/>
    <w:autoRedefine/>
    <w:uiPriority w:val="39"/>
    <w:unhideWhenUsed/>
    <w:rsid w:val="00987507"/>
    <w:pPr>
      <w:spacing w:after="100" w:line="276" w:lineRule="auto"/>
      <w:ind w:left="1760"/>
    </w:pPr>
    <w:rPr>
      <w:rFonts w:eastAsiaTheme="minorEastAsia"/>
      <w:lang w:eastAsia="en-AU"/>
    </w:rPr>
  </w:style>
  <w:style w:type="character" w:styleId="FollowedHyperlink">
    <w:name w:val="FollowedHyperlink"/>
    <w:basedOn w:val="DefaultParagraphFont"/>
    <w:uiPriority w:val="99"/>
    <w:semiHidden/>
    <w:unhideWhenUsed/>
    <w:rsid w:val="00987507"/>
    <w:rPr>
      <w:color w:val="954F72" w:themeColor="followedHyperlink"/>
      <w:u w:val="single"/>
    </w:rPr>
  </w:style>
  <w:style w:type="paragraph" w:styleId="NormalWeb">
    <w:name w:val="Normal (Web)"/>
    <w:basedOn w:val="Normal"/>
    <w:uiPriority w:val="99"/>
    <w:unhideWhenUsed/>
    <w:rsid w:val="00987507"/>
    <w:pPr>
      <w:spacing w:before="100" w:beforeAutospacing="1" w:after="100" w:afterAutospacing="1"/>
    </w:pPr>
    <w:rPr>
      <w:rFonts w:ascii="Times New Roman" w:eastAsia="Times New Roman" w:hAnsi="Times New Roman" w:cs="Times New Roman"/>
      <w:sz w:val="24"/>
      <w:szCs w:val="24"/>
      <w:lang w:eastAsia="en-AU"/>
    </w:rPr>
  </w:style>
  <w:style w:type="character" w:styleId="Emphasis">
    <w:name w:val="Emphasis"/>
    <w:basedOn w:val="DefaultParagraphFont"/>
    <w:uiPriority w:val="20"/>
    <w:qFormat/>
    <w:rsid w:val="00987507"/>
    <w:rPr>
      <w:i/>
      <w:iCs/>
    </w:rPr>
  </w:style>
  <w:style w:type="table" w:customStyle="1" w:styleId="TableGrid1">
    <w:name w:val="Table Grid1"/>
    <w:basedOn w:val="TableNormal"/>
    <w:next w:val="TableGrid"/>
    <w:uiPriority w:val="59"/>
    <w:rsid w:val="00987507"/>
    <w:pPr>
      <w:spacing w:after="0" w:line="240" w:lineRule="auto"/>
    </w:pPr>
    <w:rPr>
      <w:rFonts w:ascii="Calibri" w:eastAsia="Calibri" w:hAnsi="Calibri"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87507"/>
    <w:rPr>
      <w:sz w:val="16"/>
      <w:szCs w:val="16"/>
    </w:rPr>
  </w:style>
  <w:style w:type="paragraph" w:styleId="CommentText">
    <w:name w:val="annotation text"/>
    <w:basedOn w:val="Normal"/>
    <w:link w:val="CommentTextChar"/>
    <w:uiPriority w:val="99"/>
    <w:unhideWhenUsed/>
    <w:rsid w:val="00987507"/>
    <w:pPr>
      <w:spacing w:after="200"/>
    </w:pPr>
    <w:rPr>
      <w:sz w:val="20"/>
      <w:szCs w:val="20"/>
    </w:rPr>
  </w:style>
  <w:style w:type="character" w:customStyle="1" w:styleId="CommentTextChar">
    <w:name w:val="Comment Text Char"/>
    <w:basedOn w:val="DefaultParagraphFont"/>
    <w:link w:val="CommentText"/>
    <w:uiPriority w:val="99"/>
    <w:rsid w:val="00987507"/>
    <w:rPr>
      <w:sz w:val="20"/>
      <w:szCs w:val="20"/>
    </w:rPr>
  </w:style>
  <w:style w:type="paragraph" w:styleId="CommentSubject">
    <w:name w:val="annotation subject"/>
    <w:basedOn w:val="CommentText"/>
    <w:next w:val="CommentText"/>
    <w:link w:val="CommentSubjectChar"/>
    <w:uiPriority w:val="99"/>
    <w:semiHidden/>
    <w:unhideWhenUsed/>
    <w:rsid w:val="00987507"/>
    <w:rPr>
      <w:b/>
      <w:bCs/>
    </w:rPr>
  </w:style>
  <w:style w:type="character" w:customStyle="1" w:styleId="CommentSubjectChar">
    <w:name w:val="Comment Subject Char"/>
    <w:basedOn w:val="CommentTextChar"/>
    <w:link w:val="CommentSubject"/>
    <w:uiPriority w:val="99"/>
    <w:semiHidden/>
    <w:rsid w:val="00987507"/>
    <w:rPr>
      <w:b/>
      <w:bCs/>
      <w:sz w:val="20"/>
      <w:szCs w:val="20"/>
    </w:rPr>
  </w:style>
  <w:style w:type="paragraph" w:styleId="Quote">
    <w:name w:val="Quote"/>
    <w:basedOn w:val="Normal"/>
    <w:next w:val="Normal"/>
    <w:link w:val="QuoteChar"/>
    <w:qFormat/>
    <w:rsid w:val="00B74F9F"/>
    <w:pPr>
      <w:ind w:left="567"/>
    </w:pPr>
    <w:rPr>
      <w:i/>
      <w:iCs/>
    </w:rPr>
  </w:style>
  <w:style w:type="character" w:customStyle="1" w:styleId="QuoteChar">
    <w:name w:val="Quote Char"/>
    <w:basedOn w:val="DefaultParagraphFont"/>
    <w:link w:val="Quote"/>
    <w:rsid w:val="00B74F9F"/>
    <w:rPr>
      <w:i/>
      <w:iCs/>
    </w:rPr>
  </w:style>
  <w:style w:type="paragraph" w:styleId="BodyText">
    <w:name w:val="Body Text"/>
    <w:aliases w:val="BCR body Text"/>
    <w:basedOn w:val="Normal"/>
    <w:link w:val="BodyTextChar"/>
    <w:uiPriority w:val="99"/>
    <w:qFormat/>
    <w:rsid w:val="00987507"/>
    <w:pPr>
      <w:spacing w:before="240"/>
    </w:pPr>
    <w:rPr>
      <w:rFonts w:ascii="Calibri" w:hAnsi="Calibri"/>
    </w:rPr>
  </w:style>
  <w:style w:type="character" w:customStyle="1" w:styleId="BodyTextChar">
    <w:name w:val="Body Text Char"/>
    <w:aliases w:val="BCR body Text Char"/>
    <w:basedOn w:val="DefaultParagraphFont"/>
    <w:link w:val="BodyText"/>
    <w:uiPriority w:val="99"/>
    <w:rsid w:val="00987507"/>
    <w:rPr>
      <w:rFonts w:ascii="Calibri" w:hAnsi="Calibri"/>
    </w:rPr>
  </w:style>
  <w:style w:type="paragraph" w:customStyle="1" w:styleId="Titleheading">
    <w:name w:val="Title heading"/>
    <w:basedOn w:val="Normal"/>
    <w:next w:val="BodyText"/>
    <w:link w:val="TitleheadingChar"/>
    <w:uiPriority w:val="15"/>
    <w:qFormat/>
    <w:rsid w:val="00987507"/>
    <w:pPr>
      <w:spacing w:before="480" w:after="360" w:line="440" w:lineRule="atLeast"/>
    </w:pPr>
    <w:rPr>
      <w:color w:val="005391"/>
      <w:sz w:val="60"/>
    </w:rPr>
  </w:style>
  <w:style w:type="paragraph" w:customStyle="1" w:styleId="Titlesub-heading">
    <w:name w:val="Title sub-heading"/>
    <w:basedOn w:val="Normal"/>
    <w:next w:val="BodyText"/>
    <w:uiPriority w:val="15"/>
    <w:qFormat/>
    <w:rsid w:val="00987507"/>
    <w:pPr>
      <w:spacing w:before="240" w:after="120" w:line="440" w:lineRule="atLeast"/>
      <w:contextualSpacing/>
    </w:pPr>
    <w:rPr>
      <w:rFonts w:ascii="Cambria" w:eastAsiaTheme="majorEastAsia" w:hAnsi="Cambria" w:cstheme="majorBidi"/>
      <w:color w:val="0072B9"/>
      <w:kern w:val="28"/>
      <w:sz w:val="36"/>
      <w:szCs w:val="52"/>
    </w:rPr>
  </w:style>
  <w:style w:type="paragraph" w:customStyle="1" w:styleId="Titledate">
    <w:name w:val="Title date"/>
    <w:basedOn w:val="Normal"/>
    <w:uiPriority w:val="16"/>
    <w:qFormat/>
    <w:rsid w:val="00987507"/>
    <w:pPr>
      <w:spacing w:before="80" w:after="120" w:line="460" w:lineRule="atLeast"/>
      <w:contextualSpacing/>
    </w:pPr>
    <w:rPr>
      <w:rFonts w:ascii="Cambria" w:eastAsiaTheme="majorEastAsia" w:hAnsi="Cambria" w:cstheme="majorBidi"/>
      <w:b/>
      <w:color w:val="0072B9"/>
      <w:kern w:val="28"/>
      <w:sz w:val="32"/>
      <w:szCs w:val="52"/>
    </w:rPr>
  </w:style>
  <w:style w:type="paragraph" w:customStyle="1" w:styleId="Heading2-list">
    <w:name w:val="Heading 2 - list"/>
    <w:basedOn w:val="Heading2"/>
    <w:next w:val="Normal"/>
    <w:rsid w:val="00226203"/>
    <w:pPr>
      <w:pageBreakBefore/>
      <w:numPr>
        <w:numId w:val="4"/>
      </w:numPr>
      <w:ind w:left="851" w:hanging="851"/>
    </w:pPr>
  </w:style>
  <w:style w:type="paragraph" w:customStyle="1" w:styleId="Heading3-list">
    <w:name w:val="Heading 3 - list"/>
    <w:basedOn w:val="Heading3"/>
    <w:next w:val="Normal"/>
    <w:rsid w:val="00987507"/>
    <w:pPr>
      <w:numPr>
        <w:ilvl w:val="1"/>
        <w:numId w:val="4"/>
      </w:numPr>
      <w:ind w:left="851" w:hanging="851"/>
    </w:pPr>
  </w:style>
  <w:style w:type="paragraph" w:customStyle="1" w:styleId="Heading4-list">
    <w:name w:val="Heading 4 - list"/>
    <w:basedOn w:val="Heading4"/>
    <w:next w:val="Normal"/>
    <w:rsid w:val="00945743"/>
    <w:pPr>
      <w:numPr>
        <w:ilvl w:val="2"/>
        <w:numId w:val="4"/>
      </w:numPr>
      <w:ind w:left="851" w:hanging="851"/>
    </w:pPr>
  </w:style>
  <w:style w:type="paragraph" w:customStyle="1" w:styleId="Source">
    <w:name w:val="Source"/>
    <w:basedOn w:val="Normal"/>
    <w:qFormat/>
    <w:rsid w:val="00BE6F9D"/>
    <w:rPr>
      <w:i/>
      <w:sz w:val="20"/>
      <w:szCs w:val="20"/>
    </w:rPr>
  </w:style>
  <w:style w:type="paragraph" w:customStyle="1" w:styleId="Tablenormalrowtext">
    <w:name w:val="Table normal row text"/>
    <w:basedOn w:val="Normal"/>
    <w:qFormat/>
    <w:rsid w:val="00540B2F"/>
    <w:pPr>
      <w:spacing w:after="0"/>
    </w:pPr>
  </w:style>
  <w:style w:type="paragraph" w:customStyle="1" w:styleId="Tableheading">
    <w:name w:val="Table heading"/>
    <w:basedOn w:val="Normal"/>
    <w:next w:val="Normal"/>
    <w:rsid w:val="00B74F9F"/>
    <w:pPr>
      <w:spacing w:after="0"/>
    </w:pPr>
    <w:rPr>
      <w:rFonts w:eastAsia="Times New Roman" w:cs="Times New Roman"/>
      <w:b/>
      <w:bCs/>
      <w:szCs w:val="20"/>
    </w:rPr>
  </w:style>
  <w:style w:type="paragraph" w:customStyle="1" w:styleId="Tableheadingcentred">
    <w:name w:val="Table heading centred"/>
    <w:basedOn w:val="Normal"/>
    <w:next w:val="Normal"/>
    <w:rsid w:val="00B74F9F"/>
    <w:pPr>
      <w:spacing w:after="0"/>
      <w:jc w:val="center"/>
    </w:pPr>
    <w:rPr>
      <w:rFonts w:eastAsia="Times New Roman" w:cs="Times New Roman"/>
      <w:b/>
      <w:bCs/>
      <w:szCs w:val="20"/>
    </w:rPr>
  </w:style>
  <w:style w:type="paragraph" w:customStyle="1" w:styleId="Tabletext">
    <w:name w:val="Table text"/>
    <w:basedOn w:val="Tabletextcentred"/>
    <w:uiPriority w:val="12"/>
    <w:qFormat/>
    <w:rsid w:val="00666FC7"/>
    <w:pPr>
      <w:jc w:val="left"/>
    </w:pPr>
    <w:rPr>
      <w:color w:val="113652"/>
    </w:rPr>
  </w:style>
  <w:style w:type="paragraph" w:styleId="Date">
    <w:name w:val="Date"/>
    <w:basedOn w:val="Normal"/>
    <w:next w:val="Normal"/>
    <w:link w:val="DateChar"/>
    <w:uiPriority w:val="99"/>
    <w:semiHidden/>
    <w:unhideWhenUsed/>
    <w:rsid w:val="00C56413"/>
  </w:style>
  <w:style w:type="character" w:customStyle="1" w:styleId="DateChar">
    <w:name w:val="Date Char"/>
    <w:basedOn w:val="DefaultParagraphFont"/>
    <w:link w:val="Date"/>
    <w:uiPriority w:val="99"/>
    <w:semiHidden/>
    <w:rsid w:val="00C56413"/>
  </w:style>
  <w:style w:type="paragraph" w:customStyle="1" w:styleId="copyrighttextStyles">
    <w:name w:val="copyright text (Styles)"/>
    <w:basedOn w:val="Normal"/>
    <w:next w:val="Normal"/>
    <w:uiPriority w:val="99"/>
    <w:rsid w:val="00C56413"/>
    <w:pPr>
      <w:widowControl w:val="0"/>
      <w:suppressAutoHyphens/>
      <w:autoSpaceDE w:val="0"/>
      <w:autoSpaceDN w:val="0"/>
      <w:adjustRightInd w:val="0"/>
      <w:spacing w:before="170" w:after="0" w:line="270" w:lineRule="atLeast"/>
      <w:textAlignment w:val="center"/>
    </w:pPr>
    <w:rPr>
      <w:rFonts w:ascii="Arial" w:eastAsia="Times New Roman" w:hAnsi="Arial" w:cs="TradeGothicLTStd-Light"/>
      <w:color w:val="000000"/>
      <w:sz w:val="16"/>
      <w:szCs w:val="16"/>
    </w:rPr>
  </w:style>
  <w:style w:type="character" w:styleId="EndnoteReference">
    <w:name w:val="endnote reference"/>
    <w:basedOn w:val="DefaultParagraphFont"/>
    <w:uiPriority w:val="99"/>
    <w:semiHidden/>
    <w:unhideWhenUsed/>
    <w:rsid w:val="005700B7"/>
    <w:rPr>
      <w:vertAlign w:val="superscript"/>
    </w:rPr>
  </w:style>
  <w:style w:type="paragraph" w:styleId="EndnoteText">
    <w:name w:val="endnote text"/>
    <w:basedOn w:val="Normal"/>
    <w:link w:val="EndnoteTextChar"/>
    <w:uiPriority w:val="99"/>
    <w:unhideWhenUsed/>
    <w:rsid w:val="001061E5"/>
    <w:pPr>
      <w:spacing w:after="0"/>
    </w:pPr>
    <w:rPr>
      <w:sz w:val="20"/>
      <w:szCs w:val="20"/>
    </w:rPr>
  </w:style>
  <w:style w:type="character" w:customStyle="1" w:styleId="EndnoteTextChar">
    <w:name w:val="Endnote Text Char"/>
    <w:basedOn w:val="DefaultParagraphFont"/>
    <w:link w:val="EndnoteText"/>
    <w:uiPriority w:val="99"/>
    <w:rsid w:val="001061E5"/>
    <w:rPr>
      <w:sz w:val="20"/>
      <w:szCs w:val="20"/>
    </w:rPr>
  </w:style>
  <w:style w:type="paragraph" w:customStyle="1" w:styleId="Figureheading">
    <w:name w:val="Figure heading"/>
    <w:basedOn w:val="Tablefigureheading"/>
    <w:qFormat/>
    <w:rsid w:val="00BD69B7"/>
    <w:rPr>
      <w:color w:val="AB0F14"/>
    </w:rPr>
  </w:style>
  <w:style w:type="paragraph" w:customStyle="1" w:styleId="Tablecellheading">
    <w:name w:val="Table cell heading"/>
    <w:basedOn w:val="Tabletext"/>
    <w:uiPriority w:val="12"/>
    <w:qFormat/>
    <w:rsid w:val="00BD69B7"/>
    <w:pPr>
      <w:keepNext/>
      <w:spacing w:before="120" w:after="120" w:line="259" w:lineRule="auto"/>
      <w:jc w:val="both"/>
    </w:pPr>
    <w:rPr>
      <w:rFonts w:eastAsia="Calibri"/>
      <w:color w:val="FFFFFF"/>
      <w:sz w:val="21"/>
      <w:szCs w:val="22"/>
      <w:lang w:eastAsia="en-AU"/>
    </w:rPr>
  </w:style>
  <w:style w:type="paragraph" w:customStyle="1" w:styleId="Boxheading">
    <w:name w:val="Box heading"/>
    <w:basedOn w:val="Normal"/>
    <w:next w:val="Normal"/>
    <w:uiPriority w:val="14"/>
    <w:qFormat/>
    <w:rsid w:val="00E25A11"/>
    <w:pPr>
      <w:pBdr>
        <w:top w:val="single" w:sz="4" w:space="8" w:color="7B7B7B" w:themeColor="accent3" w:themeShade="BF"/>
        <w:left w:val="single" w:sz="4" w:space="8" w:color="7B7B7B" w:themeColor="accent3" w:themeShade="BF"/>
        <w:bottom w:val="single" w:sz="4" w:space="8" w:color="7B7B7B" w:themeColor="accent3" w:themeShade="BF"/>
        <w:right w:val="single" w:sz="4" w:space="8" w:color="7B7B7B" w:themeColor="accent3" w:themeShade="BF"/>
      </w:pBdr>
      <w:shd w:val="clear" w:color="auto" w:fill="EEF4FA" w:themeFill="accent1" w:themeFillTint="1A"/>
      <w:spacing w:before="240" w:after="120"/>
      <w:ind w:left="198" w:right="198"/>
    </w:pPr>
    <w:rPr>
      <w:rFonts w:ascii="Calibri" w:hAnsi="Calibri"/>
      <w:i/>
      <w:color w:val="1F4E79" w:themeColor="accent1" w:themeShade="80"/>
      <w:sz w:val="26"/>
    </w:rPr>
  </w:style>
  <w:style w:type="table" w:customStyle="1" w:styleId="ListTable3-Accent11">
    <w:name w:val="List Table 3 - Accent 11"/>
    <w:basedOn w:val="TableNormal"/>
    <w:uiPriority w:val="48"/>
    <w:rsid w:val="00E25A11"/>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character" w:styleId="SubtleEmphasis">
    <w:name w:val="Subtle Emphasis"/>
    <w:basedOn w:val="DefaultParagraphFont"/>
    <w:uiPriority w:val="19"/>
    <w:qFormat/>
    <w:rsid w:val="00E25A11"/>
    <w:rPr>
      <w:i/>
      <w:iCs/>
      <w:color w:val="404040" w:themeColor="text1" w:themeTint="BF"/>
    </w:rPr>
  </w:style>
  <w:style w:type="paragraph" w:styleId="Caption">
    <w:name w:val="caption"/>
    <w:aliases w:val="Resp caption,SA Caption,Table/Figure Heading,Collis Bijschrift"/>
    <w:basedOn w:val="NoSpacing"/>
    <w:next w:val="Normal"/>
    <w:link w:val="CaptionChar"/>
    <w:uiPriority w:val="35"/>
    <w:unhideWhenUsed/>
    <w:qFormat/>
    <w:rsid w:val="00E25A11"/>
    <w:pPr>
      <w:spacing w:before="240" w:after="120"/>
    </w:pPr>
    <w:rPr>
      <w:i/>
      <w:iCs/>
      <w:color w:val="5B9BD5" w:themeColor="accent1"/>
      <w:szCs w:val="18"/>
    </w:rPr>
  </w:style>
  <w:style w:type="paragraph" w:customStyle="1" w:styleId="BCRFolio">
    <w:name w:val="BCR Folio"/>
    <w:basedOn w:val="Footer"/>
    <w:qFormat/>
    <w:rsid w:val="00E25A11"/>
    <w:pPr>
      <w:pBdr>
        <w:top w:val="single" w:sz="4" w:space="12" w:color="F89621"/>
      </w:pBdr>
      <w:tabs>
        <w:tab w:val="clear" w:pos="4513"/>
        <w:tab w:val="clear" w:pos="9026"/>
        <w:tab w:val="center" w:pos="4320"/>
        <w:tab w:val="right" w:pos="8640"/>
      </w:tabs>
      <w:spacing w:before="120" w:after="120"/>
      <w:jc w:val="right"/>
    </w:pPr>
    <w:rPr>
      <w:rFonts w:ascii="Calibri" w:eastAsia="Cambria" w:hAnsi="Calibri" w:cs="Times New Roman"/>
      <w:color w:val="0E293A"/>
      <w:sz w:val="16"/>
      <w:szCs w:val="24"/>
      <w:lang w:val="en-US"/>
    </w:rPr>
  </w:style>
  <w:style w:type="paragraph" w:customStyle="1" w:styleId="NotesSource">
    <w:name w:val="Notes/Source"/>
    <w:basedOn w:val="Normal"/>
    <w:link w:val="NotesSourceChar"/>
    <w:qFormat/>
    <w:rsid w:val="00E25A11"/>
    <w:pPr>
      <w:spacing w:after="160" w:line="259" w:lineRule="auto"/>
    </w:pPr>
    <w:rPr>
      <w:color w:val="5B9BD5" w:themeColor="accent1"/>
      <w:sz w:val="18"/>
      <w:szCs w:val="18"/>
    </w:rPr>
  </w:style>
  <w:style w:type="character" w:customStyle="1" w:styleId="ListParagraphChar">
    <w:name w:val="List Paragraph Char"/>
    <w:aliases w:val="List Paragraph1 Char,Recommendation Char,bullet point list Char"/>
    <w:basedOn w:val="DefaultParagraphFont"/>
    <w:link w:val="ListParagraph"/>
    <w:uiPriority w:val="34"/>
    <w:locked/>
    <w:rsid w:val="00E25A11"/>
  </w:style>
  <w:style w:type="character" w:customStyle="1" w:styleId="NotesSourceChar">
    <w:name w:val="Notes/Source Char"/>
    <w:basedOn w:val="DefaultParagraphFont"/>
    <w:link w:val="NotesSource"/>
    <w:rsid w:val="00E25A11"/>
    <w:rPr>
      <w:color w:val="5B9BD5" w:themeColor="accent1"/>
      <w:sz w:val="18"/>
      <w:szCs w:val="18"/>
    </w:rPr>
  </w:style>
  <w:style w:type="character" w:styleId="Strong">
    <w:name w:val="Strong"/>
    <w:basedOn w:val="DefaultParagraphFont"/>
    <w:uiPriority w:val="22"/>
    <w:qFormat/>
    <w:rsid w:val="00E25A11"/>
    <w:rPr>
      <w:b/>
      <w:bCs/>
    </w:rPr>
  </w:style>
  <w:style w:type="paragraph" w:customStyle="1" w:styleId="copyrightHeading2Styles">
    <w:name w:val="copyrightHeading 2 (Styles)"/>
    <w:basedOn w:val="Normal"/>
    <w:next w:val="Normal"/>
    <w:uiPriority w:val="99"/>
    <w:rsid w:val="00E25A11"/>
    <w:pPr>
      <w:keepNext/>
      <w:widowControl w:val="0"/>
      <w:suppressAutoHyphens/>
      <w:autoSpaceDE w:val="0"/>
      <w:autoSpaceDN w:val="0"/>
      <w:adjustRightInd w:val="0"/>
      <w:spacing w:before="454" w:after="0" w:line="320" w:lineRule="atLeast"/>
      <w:textAlignment w:val="center"/>
    </w:pPr>
    <w:rPr>
      <w:rFonts w:ascii="Arial" w:eastAsia="Times New Roman" w:hAnsi="Arial" w:cs="Geogrotesque-Light"/>
      <w:color w:val="000000" w:themeColor="text1"/>
      <w:sz w:val="33"/>
      <w:szCs w:val="33"/>
    </w:rPr>
  </w:style>
  <w:style w:type="paragraph" w:customStyle="1" w:styleId="H1">
    <w:name w:val="H1"/>
    <w:basedOn w:val="Heading1"/>
    <w:next w:val="BodyText"/>
    <w:qFormat/>
    <w:rsid w:val="00E25A11"/>
    <w:pPr>
      <w:keepLines/>
      <w:tabs>
        <w:tab w:val="clear" w:pos="360"/>
      </w:tabs>
      <w:spacing w:before="480" w:line="400" w:lineRule="atLeast"/>
      <w:ind w:left="0" w:firstLine="0"/>
    </w:pPr>
    <w:rPr>
      <w:rFonts w:ascii="Cambria" w:hAnsi="Cambria"/>
      <w:b w:val="0"/>
      <w:bCs/>
      <w:color w:val="900D10"/>
      <w:sz w:val="40"/>
      <w:szCs w:val="28"/>
    </w:rPr>
  </w:style>
  <w:style w:type="table" w:customStyle="1" w:styleId="ListTable3-Accent51">
    <w:name w:val="List Table 3 - Accent 51"/>
    <w:basedOn w:val="TableNormal"/>
    <w:uiPriority w:val="48"/>
    <w:rsid w:val="00E25A11"/>
    <w:pPr>
      <w:spacing w:before="240" w:after="0" w:line="240" w:lineRule="auto"/>
      <w:ind w:left="1021" w:hanging="1021"/>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character" w:customStyle="1" w:styleId="CHARTNOTheader">
    <w:name w:val="CHART NOT header"/>
    <w:basedOn w:val="BodyTextChar"/>
    <w:uiPriority w:val="1"/>
    <w:qFormat/>
    <w:rsid w:val="00E25A11"/>
    <w:rPr>
      <w:rFonts w:ascii="Calibri" w:hAnsi="Calibri"/>
      <w:bCs w:val="0"/>
      <w:color w:val="900D10"/>
      <w:sz w:val="24"/>
    </w:rPr>
  </w:style>
  <w:style w:type="paragraph" w:customStyle="1" w:styleId="H2">
    <w:name w:val="H2"/>
    <w:basedOn w:val="Heading2"/>
    <w:link w:val="H2Char"/>
    <w:qFormat/>
    <w:rsid w:val="00E25A11"/>
    <w:pPr>
      <w:keepLines/>
      <w:tabs>
        <w:tab w:val="clear" w:pos="2268"/>
      </w:tabs>
      <w:spacing w:before="360" w:line="280" w:lineRule="atLeast"/>
    </w:pPr>
    <w:rPr>
      <w:rFonts w:ascii="Cambria" w:hAnsi="Cambria"/>
      <w:b w:val="0"/>
      <w:bCs/>
      <w:color w:val="ED7D31" w:themeColor="accent2"/>
    </w:rPr>
  </w:style>
  <w:style w:type="character" w:customStyle="1" w:styleId="H2Char">
    <w:name w:val="H2 Char"/>
    <w:basedOn w:val="Heading2Char"/>
    <w:link w:val="H2"/>
    <w:rsid w:val="00E25A11"/>
    <w:rPr>
      <w:rFonts w:ascii="Cambria" w:eastAsiaTheme="majorEastAsia" w:hAnsi="Cambria" w:cstheme="majorBidi"/>
      <w:b w:val="0"/>
      <w:bCs/>
      <w:color w:val="ED7D31" w:themeColor="accent2"/>
      <w:sz w:val="36"/>
      <w:szCs w:val="26"/>
    </w:rPr>
  </w:style>
  <w:style w:type="paragraph" w:customStyle="1" w:styleId="BCRTOCHeading1">
    <w:name w:val="BCR TOC Heading 1"/>
    <w:basedOn w:val="Normal"/>
    <w:link w:val="BCRTOCHeading1Char"/>
    <w:qFormat/>
    <w:rsid w:val="00E25A11"/>
    <w:pPr>
      <w:spacing w:before="480" w:after="0" w:line="360" w:lineRule="auto"/>
      <w:ind w:left="1021" w:hanging="1021"/>
      <w:outlineLvl w:val="0"/>
    </w:pPr>
    <w:rPr>
      <w:rFonts w:ascii="Calibri" w:hAnsi="Calibri"/>
      <w:b/>
      <w:color w:val="AA0F14"/>
      <w:sz w:val="40"/>
      <w:szCs w:val="32"/>
    </w:rPr>
  </w:style>
  <w:style w:type="character" w:customStyle="1" w:styleId="BCRTOCHeading1Char">
    <w:name w:val="BCR TOC Heading 1 Char"/>
    <w:basedOn w:val="DefaultParagraphFont"/>
    <w:link w:val="BCRTOCHeading1"/>
    <w:rsid w:val="00E25A11"/>
    <w:rPr>
      <w:rFonts w:ascii="Calibri" w:hAnsi="Calibri"/>
      <w:b/>
      <w:color w:val="AA0F14"/>
      <w:sz w:val="40"/>
      <w:szCs w:val="32"/>
    </w:rPr>
  </w:style>
  <w:style w:type="paragraph" w:customStyle="1" w:styleId="Tablecaption">
    <w:name w:val="Table caption"/>
    <w:basedOn w:val="Caption"/>
    <w:next w:val="Tabledescription"/>
    <w:uiPriority w:val="11"/>
    <w:rsid w:val="00E25A11"/>
    <w:pPr>
      <w:keepNext/>
      <w:tabs>
        <w:tab w:val="left" w:pos="1021"/>
      </w:tabs>
      <w:ind w:left="1021" w:hanging="1021"/>
    </w:pPr>
    <w:rPr>
      <w:rFonts w:ascii="Calibri" w:hAnsi="Calibri"/>
      <w:b/>
      <w:bCs/>
      <w:i w:val="0"/>
      <w:iCs w:val="0"/>
      <w:color w:val="323E4F" w:themeColor="text2" w:themeShade="BF"/>
      <w:sz w:val="18"/>
    </w:rPr>
  </w:style>
  <w:style w:type="paragraph" w:customStyle="1" w:styleId="Tablebullet-Level1">
    <w:name w:val="Table bullet - Level 1"/>
    <w:basedOn w:val="Tabletext"/>
    <w:uiPriority w:val="13"/>
    <w:qFormat/>
    <w:rsid w:val="00E25A11"/>
    <w:pPr>
      <w:numPr>
        <w:numId w:val="16"/>
      </w:numPr>
      <w:spacing w:before="120" w:after="120"/>
      <w:jc w:val="both"/>
    </w:pPr>
    <w:rPr>
      <w:rFonts w:ascii="Calibri" w:eastAsia="Calibri" w:hAnsi="Calibri"/>
      <w:bCs/>
      <w:color w:val="222A35" w:themeColor="text2" w:themeShade="80"/>
      <w:sz w:val="21"/>
      <w:szCs w:val="22"/>
      <w:lang w:eastAsia="en-AU"/>
    </w:rPr>
  </w:style>
  <w:style w:type="paragraph" w:customStyle="1" w:styleId="Tabledescription">
    <w:name w:val="Table description"/>
    <w:basedOn w:val="Tablecaption"/>
    <w:uiPriority w:val="11"/>
    <w:rsid w:val="00E25A11"/>
    <w:pPr>
      <w:tabs>
        <w:tab w:val="clear" w:pos="1021"/>
      </w:tabs>
      <w:spacing w:before="120" w:after="240"/>
      <w:ind w:firstLine="0"/>
    </w:pPr>
    <w:rPr>
      <w:b w:val="0"/>
      <w:color w:val="auto"/>
    </w:rPr>
  </w:style>
  <w:style w:type="paragraph" w:customStyle="1" w:styleId="Appendix-Heading1">
    <w:name w:val="Appendix - Heading 1"/>
    <w:basedOn w:val="Heading1"/>
    <w:next w:val="BodyText"/>
    <w:uiPriority w:val="19"/>
    <w:qFormat/>
    <w:rsid w:val="00E25A11"/>
    <w:pPr>
      <w:keepLines/>
      <w:pageBreakBefore/>
      <w:numPr>
        <w:numId w:val="24"/>
      </w:numPr>
      <w:spacing w:before="480" w:line="400" w:lineRule="atLeast"/>
    </w:pPr>
    <w:rPr>
      <w:rFonts w:ascii="Cambria" w:hAnsi="Cambria"/>
      <w:bCs/>
      <w:color w:val="1F4E79" w:themeColor="accent1" w:themeShade="80"/>
      <w:sz w:val="40"/>
      <w:szCs w:val="28"/>
    </w:rPr>
  </w:style>
  <w:style w:type="paragraph" w:customStyle="1" w:styleId="Appendix-Heading2">
    <w:name w:val="Appendix - Heading 2"/>
    <w:basedOn w:val="Heading2"/>
    <w:next w:val="BodyText"/>
    <w:uiPriority w:val="19"/>
    <w:qFormat/>
    <w:rsid w:val="00E25A11"/>
    <w:pPr>
      <w:keepLines/>
      <w:numPr>
        <w:ilvl w:val="1"/>
        <w:numId w:val="24"/>
      </w:numPr>
      <w:tabs>
        <w:tab w:val="clear" w:pos="2268"/>
      </w:tabs>
      <w:spacing w:before="360" w:line="280" w:lineRule="atLeast"/>
    </w:pPr>
    <w:rPr>
      <w:rFonts w:ascii="Cambria" w:hAnsi="Cambria"/>
      <w:bCs/>
      <w:color w:val="1F4E79" w:themeColor="accent1" w:themeShade="80"/>
    </w:rPr>
  </w:style>
  <w:style w:type="paragraph" w:customStyle="1" w:styleId="Bodybullet-Level0">
    <w:name w:val="Body bullet - Level 0"/>
    <w:basedOn w:val="BodyText"/>
    <w:uiPriority w:val="1"/>
    <w:rsid w:val="00E25A11"/>
    <w:pPr>
      <w:numPr>
        <w:numId w:val="15"/>
      </w:numPr>
      <w:spacing w:before="120" w:after="180"/>
      <w:jc w:val="both"/>
    </w:pPr>
    <w:rPr>
      <w:bCs/>
      <w:color w:val="222A35" w:themeColor="text2" w:themeShade="80"/>
    </w:rPr>
  </w:style>
  <w:style w:type="paragraph" w:customStyle="1" w:styleId="BCRbodybullet-Level1">
    <w:name w:val="BCR body bullet - Level 1"/>
    <w:basedOn w:val="Bodybullet-Level0"/>
    <w:uiPriority w:val="1"/>
    <w:qFormat/>
    <w:rsid w:val="00E25A11"/>
    <w:pPr>
      <w:numPr>
        <w:numId w:val="25"/>
      </w:numPr>
    </w:pPr>
  </w:style>
  <w:style w:type="paragraph" w:customStyle="1" w:styleId="BCRbodybullet-Level2">
    <w:name w:val="BCR body bullet - Level 2"/>
    <w:basedOn w:val="BCRbodybullet-Level1"/>
    <w:uiPriority w:val="1"/>
    <w:qFormat/>
    <w:rsid w:val="00E25A11"/>
    <w:pPr>
      <w:numPr>
        <w:ilvl w:val="1"/>
      </w:numPr>
    </w:pPr>
  </w:style>
  <w:style w:type="paragraph" w:customStyle="1" w:styleId="Tablebullet-Level2">
    <w:name w:val="Table bullet - Level 2"/>
    <w:basedOn w:val="Tablebullet-Level1"/>
    <w:uiPriority w:val="13"/>
    <w:qFormat/>
    <w:rsid w:val="00E25A11"/>
    <w:pPr>
      <w:numPr>
        <w:ilvl w:val="1"/>
      </w:numPr>
    </w:pPr>
  </w:style>
  <w:style w:type="paragraph" w:customStyle="1" w:styleId="Figurecaption">
    <w:name w:val="Figure caption"/>
    <w:basedOn w:val="Caption"/>
    <w:next w:val="Normal"/>
    <w:link w:val="FigurecaptionCharChar"/>
    <w:uiPriority w:val="10"/>
    <w:rsid w:val="00E25A11"/>
    <w:pPr>
      <w:keepNext/>
      <w:tabs>
        <w:tab w:val="left" w:pos="1021"/>
      </w:tabs>
      <w:ind w:left="1021" w:hanging="1021"/>
    </w:pPr>
    <w:rPr>
      <w:rFonts w:ascii="Calibri" w:hAnsi="Calibri"/>
      <w:b/>
      <w:bCs/>
      <w:i w:val="0"/>
      <w:iCs w:val="0"/>
      <w:color w:val="000000" w:themeColor="text1"/>
      <w:sz w:val="18"/>
    </w:rPr>
  </w:style>
  <w:style w:type="character" w:styleId="PageNumber">
    <w:name w:val="page number"/>
    <w:basedOn w:val="DefaultParagraphFont"/>
    <w:uiPriority w:val="49"/>
    <w:rsid w:val="00E25A11"/>
    <w:rPr>
      <w:color w:val="FFFFFF" w:themeColor="background1"/>
      <w:sz w:val="22"/>
    </w:rPr>
  </w:style>
  <w:style w:type="paragraph" w:customStyle="1" w:styleId="BCRbodynumbered-Level1">
    <w:name w:val="BCR body numbered - Level 1"/>
    <w:basedOn w:val="BodyText"/>
    <w:uiPriority w:val="1"/>
    <w:qFormat/>
    <w:rsid w:val="00E25A11"/>
    <w:pPr>
      <w:numPr>
        <w:numId w:val="17"/>
      </w:numPr>
      <w:spacing w:before="120" w:after="180"/>
      <w:jc w:val="both"/>
    </w:pPr>
    <w:rPr>
      <w:bCs/>
      <w:color w:val="222A35" w:themeColor="text2" w:themeShade="80"/>
    </w:rPr>
  </w:style>
  <w:style w:type="paragraph" w:customStyle="1" w:styleId="Bodynumbered-Level2">
    <w:name w:val="Body numbered - Level 2"/>
    <w:basedOn w:val="BCRbodynumbered-Level1"/>
    <w:uiPriority w:val="1"/>
    <w:qFormat/>
    <w:rsid w:val="00E25A11"/>
    <w:pPr>
      <w:numPr>
        <w:numId w:val="28"/>
      </w:numPr>
    </w:pPr>
  </w:style>
  <w:style w:type="paragraph" w:customStyle="1" w:styleId="Bodynumbered-Level3">
    <w:name w:val="Body numbered - Level 3"/>
    <w:basedOn w:val="BCRbodynumbered-Level1"/>
    <w:uiPriority w:val="1"/>
    <w:qFormat/>
    <w:rsid w:val="00E25A11"/>
    <w:pPr>
      <w:numPr>
        <w:numId w:val="26"/>
      </w:numPr>
    </w:pPr>
  </w:style>
  <w:style w:type="paragraph" w:customStyle="1" w:styleId="References-Heading1">
    <w:name w:val="References - Heading 1"/>
    <w:basedOn w:val="Heading1"/>
    <w:next w:val="BodyText"/>
    <w:uiPriority w:val="18"/>
    <w:qFormat/>
    <w:rsid w:val="00E25A11"/>
    <w:pPr>
      <w:keepLines/>
      <w:tabs>
        <w:tab w:val="clear" w:pos="360"/>
      </w:tabs>
      <w:spacing w:before="480" w:line="400" w:lineRule="atLeast"/>
      <w:ind w:left="0" w:firstLine="0"/>
    </w:pPr>
    <w:rPr>
      <w:rFonts w:ascii="Cambria" w:hAnsi="Cambria"/>
      <w:bCs/>
      <w:color w:val="1F4E79" w:themeColor="accent1" w:themeShade="80"/>
      <w:sz w:val="40"/>
      <w:szCs w:val="28"/>
    </w:rPr>
  </w:style>
  <w:style w:type="paragraph" w:customStyle="1" w:styleId="References-Heading2">
    <w:name w:val="References - Heading 2"/>
    <w:basedOn w:val="Heading2"/>
    <w:next w:val="BodyText"/>
    <w:uiPriority w:val="18"/>
    <w:rsid w:val="00E25A11"/>
    <w:pPr>
      <w:keepLines/>
      <w:tabs>
        <w:tab w:val="clear" w:pos="2268"/>
      </w:tabs>
      <w:spacing w:before="360" w:line="280" w:lineRule="atLeast"/>
    </w:pPr>
    <w:rPr>
      <w:rFonts w:ascii="Cambria" w:hAnsi="Cambria"/>
      <w:bCs/>
      <w:color w:val="1F4E79" w:themeColor="accent1" w:themeShade="80"/>
    </w:rPr>
  </w:style>
  <w:style w:type="paragraph" w:customStyle="1" w:styleId="References-Heading3">
    <w:name w:val="References - Heading 3"/>
    <w:basedOn w:val="Heading3"/>
    <w:next w:val="BodyText"/>
    <w:uiPriority w:val="18"/>
    <w:rsid w:val="00E25A11"/>
    <w:pPr>
      <w:keepLines/>
      <w:spacing w:before="200"/>
    </w:pPr>
    <w:rPr>
      <w:rFonts w:ascii="Cambria" w:hAnsi="Cambria"/>
      <w:b w:val="0"/>
      <w:bCs/>
      <w:color w:val="AB0F14"/>
      <w:sz w:val="28"/>
      <w:szCs w:val="22"/>
    </w:rPr>
  </w:style>
  <w:style w:type="paragraph" w:customStyle="1" w:styleId="Bodytext-Indent">
    <w:name w:val="Body text - Indent"/>
    <w:basedOn w:val="BodyText"/>
    <w:next w:val="BodyText"/>
    <w:qFormat/>
    <w:rsid w:val="00E25A11"/>
    <w:pPr>
      <w:spacing w:before="0" w:after="0"/>
      <w:ind w:left="340"/>
      <w:jc w:val="both"/>
    </w:pPr>
    <w:rPr>
      <w:bCs/>
      <w:color w:val="222A35" w:themeColor="text2" w:themeShade="80"/>
    </w:rPr>
  </w:style>
  <w:style w:type="paragraph" w:customStyle="1" w:styleId="Boxtext">
    <w:name w:val="Box text"/>
    <w:basedOn w:val="BodyText"/>
    <w:uiPriority w:val="14"/>
    <w:qFormat/>
    <w:rsid w:val="00E25A11"/>
    <w:pPr>
      <w:pBdr>
        <w:top w:val="single" w:sz="4" w:space="8" w:color="7B7B7B" w:themeColor="accent3" w:themeShade="BF"/>
        <w:left w:val="single" w:sz="4" w:space="8" w:color="7B7B7B" w:themeColor="accent3" w:themeShade="BF"/>
        <w:bottom w:val="single" w:sz="4" w:space="8" w:color="7B7B7B" w:themeColor="accent3" w:themeShade="BF"/>
        <w:right w:val="single" w:sz="4" w:space="0" w:color="7B7B7B" w:themeColor="accent3" w:themeShade="BF"/>
      </w:pBdr>
      <w:shd w:val="clear" w:color="auto" w:fill="EDEDED" w:themeFill="accent3" w:themeFillTint="33"/>
      <w:spacing w:before="0" w:after="0"/>
      <w:ind w:left="198"/>
      <w:jc w:val="both"/>
    </w:pPr>
    <w:rPr>
      <w:bCs/>
      <w:color w:val="222A35" w:themeColor="text2" w:themeShade="80"/>
    </w:rPr>
  </w:style>
  <w:style w:type="paragraph" w:customStyle="1" w:styleId="Boxbullet">
    <w:name w:val="Box bullet"/>
    <w:basedOn w:val="Boxtext"/>
    <w:uiPriority w:val="15"/>
    <w:qFormat/>
    <w:rsid w:val="00E25A11"/>
    <w:pPr>
      <w:numPr>
        <w:numId w:val="18"/>
      </w:numPr>
      <w:spacing w:after="180"/>
      <w:ind w:left="652" w:hanging="454"/>
    </w:pPr>
  </w:style>
  <w:style w:type="paragraph" w:customStyle="1" w:styleId="Boxsub-heading">
    <w:name w:val="Box sub-heading"/>
    <w:basedOn w:val="Boxtext"/>
    <w:next w:val="Boxtext"/>
    <w:uiPriority w:val="14"/>
    <w:qFormat/>
    <w:rsid w:val="00E25A11"/>
    <w:pPr>
      <w:pBdr>
        <w:top w:val="single" w:sz="4" w:space="8" w:color="DBDBDB" w:themeColor="accent3" w:themeTint="66"/>
        <w:left w:val="single" w:sz="4" w:space="8" w:color="DBDBDB" w:themeColor="accent3" w:themeTint="66"/>
        <w:bottom w:val="single" w:sz="4" w:space="8" w:color="DBDBDB" w:themeColor="accent3" w:themeTint="66"/>
        <w:right w:val="single" w:sz="4" w:space="0" w:color="DBDBDB" w:themeColor="accent3" w:themeTint="66"/>
      </w:pBdr>
    </w:pPr>
    <w:rPr>
      <w:b/>
      <w:color w:val="000000" w:themeColor="text1"/>
    </w:rPr>
  </w:style>
  <w:style w:type="paragraph" w:customStyle="1" w:styleId="SourceNotes">
    <w:name w:val="Source/Notes"/>
    <w:basedOn w:val="BodyText"/>
    <w:next w:val="BodyText"/>
    <w:uiPriority w:val="10"/>
    <w:qFormat/>
    <w:rsid w:val="00E25A11"/>
    <w:pPr>
      <w:spacing w:before="120" w:after="0"/>
      <w:jc w:val="both"/>
    </w:pPr>
    <w:rPr>
      <w:bCs/>
      <w:color w:val="222A35" w:themeColor="text2" w:themeShade="80"/>
      <w:sz w:val="16"/>
      <w:szCs w:val="16"/>
    </w:rPr>
  </w:style>
  <w:style w:type="paragraph" w:customStyle="1" w:styleId="Boxcaption">
    <w:name w:val="Box caption"/>
    <w:basedOn w:val="Caption"/>
    <w:uiPriority w:val="14"/>
    <w:qFormat/>
    <w:rsid w:val="00E25A11"/>
    <w:pPr>
      <w:tabs>
        <w:tab w:val="left" w:pos="1021"/>
      </w:tabs>
      <w:ind w:left="1021" w:hanging="1021"/>
    </w:pPr>
    <w:rPr>
      <w:rFonts w:ascii="Calibri" w:hAnsi="Calibri"/>
      <w:b/>
      <w:bCs/>
      <w:i w:val="0"/>
      <w:iCs w:val="0"/>
      <w:color w:val="323E4F" w:themeColor="text2" w:themeShade="BF"/>
      <w:sz w:val="18"/>
    </w:rPr>
  </w:style>
  <w:style w:type="paragraph" w:customStyle="1" w:styleId="Appendix-Heading3">
    <w:name w:val="Appendix - Heading 3"/>
    <w:basedOn w:val="Heading3"/>
    <w:next w:val="BodyText"/>
    <w:uiPriority w:val="19"/>
    <w:qFormat/>
    <w:rsid w:val="00E25A11"/>
    <w:pPr>
      <w:keepLines/>
      <w:numPr>
        <w:ilvl w:val="2"/>
        <w:numId w:val="24"/>
      </w:numPr>
      <w:spacing w:before="200"/>
    </w:pPr>
    <w:rPr>
      <w:rFonts w:ascii="Cambria" w:hAnsi="Cambria"/>
      <w:b w:val="0"/>
      <w:bCs/>
      <w:color w:val="AB0F14"/>
      <w:sz w:val="28"/>
      <w:szCs w:val="22"/>
    </w:rPr>
  </w:style>
  <w:style w:type="paragraph" w:customStyle="1" w:styleId="Boxlist-Numbered">
    <w:name w:val="Box list - Numbered"/>
    <w:basedOn w:val="Titledate"/>
    <w:uiPriority w:val="15"/>
    <w:qFormat/>
    <w:rsid w:val="00E25A11"/>
    <w:rPr>
      <w:color w:val="44546A" w:themeColor="text2"/>
      <w:sz w:val="24"/>
    </w:rPr>
  </w:style>
  <w:style w:type="paragraph" w:customStyle="1" w:styleId="Boxlist-Alpha">
    <w:name w:val="Box list - Alpha"/>
    <w:basedOn w:val="Boxtext"/>
    <w:uiPriority w:val="15"/>
    <w:qFormat/>
    <w:rsid w:val="00E25A11"/>
    <w:pPr>
      <w:numPr>
        <w:numId w:val="27"/>
      </w:numPr>
      <w:spacing w:before="120"/>
    </w:pPr>
  </w:style>
  <w:style w:type="paragraph" w:customStyle="1" w:styleId="BCRcharts">
    <w:name w:val="BCR charts"/>
    <w:aliases w:val="tables and figures heading"/>
    <w:basedOn w:val="H3"/>
    <w:next w:val="BodyText"/>
    <w:link w:val="BCRchartsChar"/>
    <w:qFormat/>
    <w:rsid w:val="00E25A11"/>
    <w:pPr>
      <w:spacing w:before="360" w:after="240"/>
    </w:pPr>
    <w:rPr>
      <w:b/>
      <w:sz w:val="26"/>
      <w:szCs w:val="26"/>
    </w:rPr>
  </w:style>
  <w:style w:type="paragraph" w:customStyle="1" w:styleId="Tablelist-Numbered">
    <w:name w:val="Table list - Numbered"/>
    <w:basedOn w:val="Tabletext"/>
    <w:uiPriority w:val="13"/>
    <w:qFormat/>
    <w:rsid w:val="00E25A11"/>
    <w:pPr>
      <w:numPr>
        <w:numId w:val="19"/>
      </w:numPr>
      <w:spacing w:before="120" w:after="120"/>
      <w:jc w:val="both"/>
    </w:pPr>
    <w:rPr>
      <w:rFonts w:ascii="Calibri" w:eastAsia="Calibri" w:hAnsi="Calibri"/>
      <w:bCs/>
      <w:color w:val="222A35" w:themeColor="text2" w:themeShade="80"/>
      <w:sz w:val="21"/>
      <w:szCs w:val="22"/>
      <w:lang w:eastAsia="en-AU"/>
    </w:rPr>
  </w:style>
  <w:style w:type="paragraph" w:customStyle="1" w:styleId="Tablecellsub-heading">
    <w:name w:val="Table cell sub-heading"/>
    <w:basedOn w:val="Tablecellheading"/>
    <w:uiPriority w:val="12"/>
    <w:qFormat/>
    <w:rsid w:val="00E25A11"/>
    <w:pPr>
      <w:spacing w:line="240" w:lineRule="auto"/>
    </w:pPr>
    <w:rPr>
      <w:rFonts w:ascii="Calibri" w:hAnsi="Calibri"/>
      <w:color w:val="auto"/>
    </w:rPr>
  </w:style>
  <w:style w:type="numbering" w:styleId="111111">
    <w:name w:val="Outline List 2"/>
    <w:basedOn w:val="NoList"/>
    <w:uiPriority w:val="99"/>
    <w:semiHidden/>
    <w:unhideWhenUsed/>
    <w:rsid w:val="00E25A11"/>
    <w:pPr>
      <w:numPr>
        <w:numId w:val="20"/>
      </w:numPr>
    </w:pPr>
  </w:style>
  <w:style w:type="numbering" w:styleId="1ai">
    <w:name w:val="Outline List 1"/>
    <w:basedOn w:val="NoList"/>
    <w:uiPriority w:val="99"/>
    <w:semiHidden/>
    <w:unhideWhenUsed/>
    <w:rsid w:val="00E25A11"/>
    <w:pPr>
      <w:numPr>
        <w:numId w:val="21"/>
      </w:numPr>
    </w:pPr>
  </w:style>
  <w:style w:type="numbering" w:styleId="ArticleSection">
    <w:name w:val="Outline List 3"/>
    <w:basedOn w:val="NoList"/>
    <w:uiPriority w:val="99"/>
    <w:semiHidden/>
    <w:unhideWhenUsed/>
    <w:rsid w:val="00E25A11"/>
    <w:pPr>
      <w:numPr>
        <w:numId w:val="22"/>
      </w:numPr>
    </w:pPr>
  </w:style>
  <w:style w:type="paragraph" w:styleId="Bibliography">
    <w:name w:val="Bibliography"/>
    <w:basedOn w:val="Normal"/>
    <w:next w:val="Normal"/>
    <w:uiPriority w:val="37"/>
    <w:semiHidden/>
    <w:unhideWhenUsed/>
    <w:rsid w:val="00E25A11"/>
    <w:pPr>
      <w:spacing w:before="240" w:after="0"/>
    </w:pPr>
    <w:rPr>
      <w:rFonts w:ascii="Calibri" w:hAnsi="Calibri"/>
    </w:rPr>
  </w:style>
  <w:style w:type="paragraph" w:styleId="BlockText">
    <w:name w:val="Block Text"/>
    <w:basedOn w:val="Normal"/>
    <w:uiPriority w:val="99"/>
    <w:semiHidden/>
    <w:rsid w:val="00E25A11"/>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spacing w:before="240" w:after="0"/>
      <w:ind w:left="1152" w:right="1152"/>
    </w:pPr>
    <w:rPr>
      <w:rFonts w:eastAsiaTheme="minorEastAsia"/>
      <w:i/>
      <w:iCs/>
      <w:color w:val="5B9BD5" w:themeColor="accent1"/>
    </w:rPr>
  </w:style>
  <w:style w:type="paragraph" w:styleId="BodyText2">
    <w:name w:val="Body Text 2"/>
    <w:basedOn w:val="Normal"/>
    <w:link w:val="BodyText2Char"/>
    <w:uiPriority w:val="99"/>
    <w:semiHidden/>
    <w:rsid w:val="00E25A11"/>
    <w:pPr>
      <w:spacing w:before="240" w:after="120" w:line="480" w:lineRule="auto"/>
    </w:pPr>
    <w:rPr>
      <w:rFonts w:ascii="Calibri" w:hAnsi="Calibri"/>
    </w:rPr>
  </w:style>
  <w:style w:type="character" w:customStyle="1" w:styleId="BodyText2Char">
    <w:name w:val="Body Text 2 Char"/>
    <w:basedOn w:val="DefaultParagraphFont"/>
    <w:link w:val="BodyText2"/>
    <w:uiPriority w:val="99"/>
    <w:semiHidden/>
    <w:rsid w:val="00E25A11"/>
    <w:rPr>
      <w:rFonts w:ascii="Calibri" w:hAnsi="Calibri"/>
    </w:rPr>
  </w:style>
  <w:style w:type="paragraph" w:styleId="BodyText3">
    <w:name w:val="Body Text 3"/>
    <w:basedOn w:val="Normal"/>
    <w:link w:val="BodyText3Char"/>
    <w:uiPriority w:val="99"/>
    <w:semiHidden/>
    <w:rsid w:val="00E25A11"/>
    <w:pPr>
      <w:spacing w:before="240" w:after="120"/>
    </w:pPr>
    <w:rPr>
      <w:rFonts w:ascii="Calibri" w:hAnsi="Calibri"/>
      <w:sz w:val="16"/>
      <w:szCs w:val="16"/>
    </w:rPr>
  </w:style>
  <w:style w:type="character" w:customStyle="1" w:styleId="BodyText3Char">
    <w:name w:val="Body Text 3 Char"/>
    <w:basedOn w:val="DefaultParagraphFont"/>
    <w:link w:val="BodyText3"/>
    <w:uiPriority w:val="99"/>
    <w:semiHidden/>
    <w:rsid w:val="00E25A11"/>
    <w:rPr>
      <w:rFonts w:ascii="Calibri" w:hAnsi="Calibri"/>
      <w:sz w:val="16"/>
      <w:szCs w:val="16"/>
    </w:rPr>
  </w:style>
  <w:style w:type="paragraph" w:styleId="BodyTextFirstIndent">
    <w:name w:val="Body Text First Indent"/>
    <w:basedOn w:val="BodyText"/>
    <w:link w:val="BodyTextFirstIndentChar"/>
    <w:uiPriority w:val="99"/>
    <w:semiHidden/>
    <w:rsid w:val="00E25A11"/>
    <w:pPr>
      <w:spacing w:before="0" w:after="0"/>
      <w:ind w:firstLine="360"/>
      <w:jc w:val="both"/>
    </w:pPr>
    <w:rPr>
      <w:bCs/>
      <w:color w:val="222A35" w:themeColor="text2" w:themeShade="80"/>
    </w:rPr>
  </w:style>
  <w:style w:type="character" w:customStyle="1" w:styleId="BodyTextFirstIndentChar">
    <w:name w:val="Body Text First Indent Char"/>
    <w:basedOn w:val="BodyTextChar"/>
    <w:link w:val="BodyTextFirstIndent"/>
    <w:uiPriority w:val="99"/>
    <w:semiHidden/>
    <w:rsid w:val="00E25A11"/>
    <w:rPr>
      <w:rFonts w:ascii="Calibri" w:hAnsi="Calibri"/>
      <w:bCs/>
      <w:color w:val="222A35" w:themeColor="text2" w:themeShade="80"/>
    </w:rPr>
  </w:style>
  <w:style w:type="paragraph" w:styleId="BodyTextIndent">
    <w:name w:val="Body Text Indent"/>
    <w:basedOn w:val="Normal"/>
    <w:link w:val="BodyTextIndentChar"/>
    <w:uiPriority w:val="99"/>
    <w:semiHidden/>
    <w:rsid w:val="00E25A11"/>
    <w:pPr>
      <w:spacing w:before="240" w:after="120"/>
      <w:ind w:left="283"/>
    </w:pPr>
    <w:rPr>
      <w:rFonts w:ascii="Calibri" w:hAnsi="Calibri"/>
    </w:rPr>
  </w:style>
  <w:style w:type="character" w:customStyle="1" w:styleId="BodyTextIndentChar">
    <w:name w:val="Body Text Indent Char"/>
    <w:basedOn w:val="DefaultParagraphFont"/>
    <w:link w:val="BodyTextIndent"/>
    <w:uiPriority w:val="99"/>
    <w:semiHidden/>
    <w:rsid w:val="00E25A11"/>
    <w:rPr>
      <w:rFonts w:ascii="Calibri" w:hAnsi="Calibri"/>
    </w:rPr>
  </w:style>
  <w:style w:type="paragraph" w:styleId="BodyTextFirstIndent2">
    <w:name w:val="Body Text First Indent 2"/>
    <w:basedOn w:val="BodyTextIndent"/>
    <w:link w:val="BodyTextFirstIndent2Char"/>
    <w:uiPriority w:val="99"/>
    <w:semiHidden/>
    <w:rsid w:val="00E25A11"/>
    <w:pPr>
      <w:spacing w:after="0"/>
      <w:ind w:left="360" w:firstLine="360"/>
    </w:pPr>
  </w:style>
  <w:style w:type="character" w:customStyle="1" w:styleId="BodyTextFirstIndent2Char">
    <w:name w:val="Body Text First Indent 2 Char"/>
    <w:basedOn w:val="BodyTextIndentChar"/>
    <w:link w:val="BodyTextFirstIndent2"/>
    <w:uiPriority w:val="99"/>
    <w:semiHidden/>
    <w:rsid w:val="00E25A11"/>
    <w:rPr>
      <w:rFonts w:ascii="Calibri" w:hAnsi="Calibri"/>
    </w:rPr>
  </w:style>
  <w:style w:type="paragraph" w:styleId="BodyTextIndent2">
    <w:name w:val="Body Text Indent 2"/>
    <w:basedOn w:val="Normal"/>
    <w:link w:val="BodyTextIndent2Char"/>
    <w:uiPriority w:val="99"/>
    <w:semiHidden/>
    <w:rsid w:val="00E25A11"/>
    <w:pPr>
      <w:spacing w:before="240" w:after="120" w:line="480" w:lineRule="auto"/>
      <w:ind w:left="283"/>
    </w:pPr>
    <w:rPr>
      <w:rFonts w:ascii="Calibri" w:hAnsi="Calibri"/>
    </w:rPr>
  </w:style>
  <w:style w:type="character" w:customStyle="1" w:styleId="BodyTextIndent2Char">
    <w:name w:val="Body Text Indent 2 Char"/>
    <w:basedOn w:val="DefaultParagraphFont"/>
    <w:link w:val="BodyTextIndent2"/>
    <w:uiPriority w:val="99"/>
    <w:semiHidden/>
    <w:rsid w:val="00E25A11"/>
    <w:rPr>
      <w:rFonts w:ascii="Calibri" w:hAnsi="Calibri"/>
    </w:rPr>
  </w:style>
  <w:style w:type="paragraph" w:styleId="BodyTextIndent3">
    <w:name w:val="Body Text Indent 3"/>
    <w:basedOn w:val="Normal"/>
    <w:link w:val="BodyTextIndent3Char"/>
    <w:uiPriority w:val="99"/>
    <w:semiHidden/>
    <w:rsid w:val="00E25A11"/>
    <w:pPr>
      <w:spacing w:before="240" w:after="120"/>
      <w:ind w:left="283"/>
    </w:pPr>
    <w:rPr>
      <w:rFonts w:ascii="Calibri" w:hAnsi="Calibri"/>
      <w:sz w:val="16"/>
      <w:szCs w:val="16"/>
    </w:rPr>
  </w:style>
  <w:style w:type="character" w:customStyle="1" w:styleId="BodyTextIndent3Char">
    <w:name w:val="Body Text Indent 3 Char"/>
    <w:basedOn w:val="DefaultParagraphFont"/>
    <w:link w:val="BodyTextIndent3"/>
    <w:uiPriority w:val="99"/>
    <w:semiHidden/>
    <w:rsid w:val="00E25A11"/>
    <w:rPr>
      <w:rFonts w:ascii="Calibri" w:hAnsi="Calibri"/>
      <w:sz w:val="16"/>
      <w:szCs w:val="16"/>
    </w:rPr>
  </w:style>
  <w:style w:type="paragraph" w:styleId="Closing">
    <w:name w:val="Closing"/>
    <w:basedOn w:val="Normal"/>
    <w:link w:val="ClosingChar"/>
    <w:uiPriority w:val="99"/>
    <w:semiHidden/>
    <w:rsid w:val="00E25A11"/>
    <w:pPr>
      <w:spacing w:before="240" w:after="0"/>
      <w:ind w:left="4252"/>
    </w:pPr>
    <w:rPr>
      <w:rFonts w:ascii="Calibri" w:hAnsi="Calibri"/>
    </w:rPr>
  </w:style>
  <w:style w:type="character" w:customStyle="1" w:styleId="ClosingChar">
    <w:name w:val="Closing Char"/>
    <w:basedOn w:val="DefaultParagraphFont"/>
    <w:link w:val="Closing"/>
    <w:uiPriority w:val="99"/>
    <w:semiHidden/>
    <w:rsid w:val="00E25A11"/>
    <w:rPr>
      <w:rFonts w:ascii="Calibri" w:hAnsi="Calibri"/>
    </w:rPr>
  </w:style>
  <w:style w:type="paragraph" w:styleId="DocumentMap">
    <w:name w:val="Document Map"/>
    <w:basedOn w:val="Normal"/>
    <w:link w:val="DocumentMapChar"/>
    <w:uiPriority w:val="99"/>
    <w:semiHidden/>
    <w:rsid w:val="00E25A11"/>
    <w:pPr>
      <w:spacing w:before="240"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E25A11"/>
    <w:rPr>
      <w:rFonts w:ascii="Tahoma" w:hAnsi="Tahoma" w:cs="Tahoma"/>
      <w:sz w:val="16"/>
      <w:szCs w:val="16"/>
    </w:rPr>
  </w:style>
  <w:style w:type="paragraph" w:styleId="E-mailSignature">
    <w:name w:val="E-mail Signature"/>
    <w:basedOn w:val="Normal"/>
    <w:link w:val="E-mailSignatureChar"/>
    <w:uiPriority w:val="99"/>
    <w:semiHidden/>
    <w:rsid w:val="00E25A11"/>
    <w:pPr>
      <w:spacing w:before="240" w:after="0"/>
    </w:pPr>
    <w:rPr>
      <w:rFonts w:ascii="Calibri" w:hAnsi="Calibri"/>
    </w:rPr>
  </w:style>
  <w:style w:type="character" w:customStyle="1" w:styleId="E-mailSignatureChar">
    <w:name w:val="E-mail Signature Char"/>
    <w:basedOn w:val="DefaultParagraphFont"/>
    <w:link w:val="E-mailSignature"/>
    <w:uiPriority w:val="99"/>
    <w:semiHidden/>
    <w:rsid w:val="00E25A11"/>
    <w:rPr>
      <w:rFonts w:ascii="Calibri" w:hAnsi="Calibri"/>
    </w:rPr>
  </w:style>
  <w:style w:type="paragraph" w:styleId="EnvelopeAddress">
    <w:name w:val="envelope address"/>
    <w:basedOn w:val="Normal"/>
    <w:uiPriority w:val="99"/>
    <w:semiHidden/>
    <w:rsid w:val="00E25A11"/>
    <w:pPr>
      <w:framePr w:w="7920" w:h="1980" w:hRule="exact" w:hSpace="180" w:wrap="auto" w:hAnchor="page" w:xAlign="center" w:yAlign="bottom"/>
      <w:spacing w:before="240" w:after="0"/>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rsid w:val="00E25A11"/>
    <w:pPr>
      <w:spacing w:before="240" w:after="0"/>
    </w:pPr>
    <w:rPr>
      <w:rFonts w:asciiTheme="majorHAnsi" w:eastAsiaTheme="majorEastAsia" w:hAnsiTheme="majorHAnsi" w:cstheme="majorBidi"/>
      <w:sz w:val="20"/>
      <w:szCs w:val="20"/>
    </w:rPr>
  </w:style>
  <w:style w:type="character" w:styleId="HTMLAcronym">
    <w:name w:val="HTML Acronym"/>
    <w:basedOn w:val="DefaultParagraphFont"/>
    <w:uiPriority w:val="99"/>
    <w:semiHidden/>
    <w:rsid w:val="00E25A11"/>
  </w:style>
  <w:style w:type="paragraph" w:styleId="HTMLAddress">
    <w:name w:val="HTML Address"/>
    <w:basedOn w:val="Normal"/>
    <w:link w:val="HTMLAddressChar"/>
    <w:uiPriority w:val="99"/>
    <w:semiHidden/>
    <w:rsid w:val="00E25A11"/>
    <w:pPr>
      <w:spacing w:before="240" w:after="0"/>
    </w:pPr>
    <w:rPr>
      <w:rFonts w:ascii="Calibri" w:hAnsi="Calibri"/>
      <w:i/>
      <w:iCs/>
    </w:rPr>
  </w:style>
  <w:style w:type="character" w:customStyle="1" w:styleId="HTMLAddressChar">
    <w:name w:val="HTML Address Char"/>
    <w:basedOn w:val="DefaultParagraphFont"/>
    <w:link w:val="HTMLAddress"/>
    <w:uiPriority w:val="99"/>
    <w:semiHidden/>
    <w:rsid w:val="00E25A11"/>
    <w:rPr>
      <w:rFonts w:ascii="Calibri" w:hAnsi="Calibri"/>
      <w:i/>
      <w:iCs/>
    </w:rPr>
  </w:style>
  <w:style w:type="character" w:styleId="HTMLCite">
    <w:name w:val="HTML Cite"/>
    <w:basedOn w:val="DefaultParagraphFont"/>
    <w:uiPriority w:val="99"/>
    <w:semiHidden/>
    <w:rsid w:val="00E25A11"/>
    <w:rPr>
      <w:i/>
      <w:iCs/>
    </w:rPr>
  </w:style>
  <w:style w:type="character" w:styleId="HTMLCode">
    <w:name w:val="HTML Code"/>
    <w:basedOn w:val="DefaultParagraphFont"/>
    <w:uiPriority w:val="99"/>
    <w:semiHidden/>
    <w:rsid w:val="00E25A11"/>
    <w:rPr>
      <w:rFonts w:ascii="Consolas" w:hAnsi="Consolas" w:cs="Consolas"/>
      <w:sz w:val="20"/>
      <w:szCs w:val="20"/>
    </w:rPr>
  </w:style>
  <w:style w:type="character" w:styleId="HTMLDefinition">
    <w:name w:val="HTML Definition"/>
    <w:basedOn w:val="DefaultParagraphFont"/>
    <w:uiPriority w:val="99"/>
    <w:semiHidden/>
    <w:rsid w:val="00E25A11"/>
    <w:rPr>
      <w:i/>
      <w:iCs/>
    </w:rPr>
  </w:style>
  <w:style w:type="character" w:styleId="HTMLKeyboard">
    <w:name w:val="HTML Keyboard"/>
    <w:basedOn w:val="DefaultParagraphFont"/>
    <w:uiPriority w:val="99"/>
    <w:semiHidden/>
    <w:rsid w:val="00E25A11"/>
    <w:rPr>
      <w:rFonts w:ascii="Consolas" w:hAnsi="Consolas" w:cs="Consolas"/>
      <w:sz w:val="20"/>
      <w:szCs w:val="20"/>
    </w:rPr>
  </w:style>
  <w:style w:type="paragraph" w:styleId="HTMLPreformatted">
    <w:name w:val="HTML Preformatted"/>
    <w:basedOn w:val="Normal"/>
    <w:link w:val="HTMLPreformattedChar"/>
    <w:uiPriority w:val="99"/>
    <w:semiHidden/>
    <w:rsid w:val="00E25A11"/>
    <w:pPr>
      <w:spacing w:before="240" w:after="0"/>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E25A11"/>
    <w:rPr>
      <w:rFonts w:ascii="Consolas" w:hAnsi="Consolas" w:cs="Consolas"/>
      <w:sz w:val="20"/>
      <w:szCs w:val="20"/>
    </w:rPr>
  </w:style>
  <w:style w:type="character" w:styleId="HTMLSample">
    <w:name w:val="HTML Sample"/>
    <w:basedOn w:val="DefaultParagraphFont"/>
    <w:uiPriority w:val="99"/>
    <w:semiHidden/>
    <w:rsid w:val="00E25A11"/>
    <w:rPr>
      <w:rFonts w:ascii="Consolas" w:hAnsi="Consolas" w:cs="Consolas"/>
      <w:sz w:val="24"/>
      <w:szCs w:val="24"/>
    </w:rPr>
  </w:style>
  <w:style w:type="character" w:styleId="HTMLTypewriter">
    <w:name w:val="HTML Typewriter"/>
    <w:basedOn w:val="DefaultParagraphFont"/>
    <w:uiPriority w:val="99"/>
    <w:semiHidden/>
    <w:rsid w:val="00E25A11"/>
    <w:rPr>
      <w:rFonts w:ascii="Consolas" w:hAnsi="Consolas" w:cs="Consolas"/>
      <w:sz w:val="20"/>
      <w:szCs w:val="20"/>
    </w:rPr>
  </w:style>
  <w:style w:type="character" w:styleId="HTMLVariable">
    <w:name w:val="HTML Variable"/>
    <w:basedOn w:val="DefaultParagraphFont"/>
    <w:uiPriority w:val="99"/>
    <w:semiHidden/>
    <w:rsid w:val="00E25A11"/>
    <w:rPr>
      <w:i/>
      <w:iCs/>
    </w:rPr>
  </w:style>
  <w:style w:type="paragraph" w:styleId="Index1">
    <w:name w:val="index 1"/>
    <w:basedOn w:val="Normal"/>
    <w:next w:val="Normal"/>
    <w:autoRedefine/>
    <w:uiPriority w:val="99"/>
    <w:semiHidden/>
    <w:rsid w:val="00E25A11"/>
    <w:pPr>
      <w:spacing w:before="240" w:after="0"/>
      <w:ind w:left="220" w:hanging="220"/>
    </w:pPr>
    <w:rPr>
      <w:rFonts w:ascii="Calibri" w:hAnsi="Calibri"/>
    </w:rPr>
  </w:style>
  <w:style w:type="paragraph" w:styleId="Index2">
    <w:name w:val="index 2"/>
    <w:basedOn w:val="Normal"/>
    <w:next w:val="Normal"/>
    <w:autoRedefine/>
    <w:uiPriority w:val="99"/>
    <w:semiHidden/>
    <w:rsid w:val="00E25A11"/>
    <w:pPr>
      <w:spacing w:before="240" w:after="0"/>
      <w:ind w:left="440" w:hanging="220"/>
    </w:pPr>
    <w:rPr>
      <w:rFonts w:ascii="Calibri" w:hAnsi="Calibri"/>
    </w:rPr>
  </w:style>
  <w:style w:type="paragraph" w:styleId="Index3">
    <w:name w:val="index 3"/>
    <w:basedOn w:val="Normal"/>
    <w:next w:val="Normal"/>
    <w:autoRedefine/>
    <w:uiPriority w:val="99"/>
    <w:semiHidden/>
    <w:rsid w:val="00E25A11"/>
    <w:pPr>
      <w:spacing w:before="240" w:after="0"/>
      <w:ind w:left="660" w:hanging="220"/>
    </w:pPr>
    <w:rPr>
      <w:rFonts w:ascii="Calibri" w:hAnsi="Calibri"/>
    </w:rPr>
  </w:style>
  <w:style w:type="paragraph" w:styleId="Index4">
    <w:name w:val="index 4"/>
    <w:basedOn w:val="Normal"/>
    <w:next w:val="Normal"/>
    <w:autoRedefine/>
    <w:uiPriority w:val="99"/>
    <w:semiHidden/>
    <w:rsid w:val="00E25A11"/>
    <w:pPr>
      <w:spacing w:before="240" w:after="0"/>
      <w:ind w:left="880" w:hanging="220"/>
    </w:pPr>
    <w:rPr>
      <w:rFonts w:ascii="Calibri" w:hAnsi="Calibri"/>
    </w:rPr>
  </w:style>
  <w:style w:type="paragraph" w:styleId="Index5">
    <w:name w:val="index 5"/>
    <w:basedOn w:val="Normal"/>
    <w:next w:val="Normal"/>
    <w:autoRedefine/>
    <w:uiPriority w:val="99"/>
    <w:semiHidden/>
    <w:rsid w:val="00E25A11"/>
    <w:pPr>
      <w:spacing w:before="240" w:after="0"/>
      <w:ind w:left="1100" w:hanging="220"/>
    </w:pPr>
    <w:rPr>
      <w:rFonts w:ascii="Calibri" w:hAnsi="Calibri"/>
    </w:rPr>
  </w:style>
  <w:style w:type="paragraph" w:styleId="Index6">
    <w:name w:val="index 6"/>
    <w:basedOn w:val="Normal"/>
    <w:next w:val="Normal"/>
    <w:autoRedefine/>
    <w:uiPriority w:val="99"/>
    <w:semiHidden/>
    <w:rsid w:val="00E25A11"/>
    <w:pPr>
      <w:spacing w:before="240" w:after="0"/>
      <w:ind w:left="1320" w:hanging="220"/>
    </w:pPr>
    <w:rPr>
      <w:rFonts w:ascii="Calibri" w:hAnsi="Calibri"/>
    </w:rPr>
  </w:style>
  <w:style w:type="paragraph" w:styleId="Index7">
    <w:name w:val="index 7"/>
    <w:basedOn w:val="Normal"/>
    <w:next w:val="Normal"/>
    <w:autoRedefine/>
    <w:uiPriority w:val="99"/>
    <w:semiHidden/>
    <w:rsid w:val="00E25A11"/>
    <w:pPr>
      <w:spacing w:before="240" w:after="0"/>
      <w:ind w:left="1540" w:hanging="220"/>
    </w:pPr>
    <w:rPr>
      <w:rFonts w:ascii="Calibri" w:hAnsi="Calibri"/>
    </w:rPr>
  </w:style>
  <w:style w:type="paragraph" w:styleId="Index8">
    <w:name w:val="index 8"/>
    <w:basedOn w:val="Normal"/>
    <w:next w:val="Normal"/>
    <w:autoRedefine/>
    <w:uiPriority w:val="99"/>
    <w:semiHidden/>
    <w:rsid w:val="00E25A11"/>
    <w:pPr>
      <w:spacing w:before="240" w:after="0"/>
      <w:ind w:left="1760" w:hanging="220"/>
    </w:pPr>
    <w:rPr>
      <w:rFonts w:ascii="Calibri" w:hAnsi="Calibri"/>
    </w:rPr>
  </w:style>
  <w:style w:type="paragraph" w:styleId="Index9">
    <w:name w:val="index 9"/>
    <w:basedOn w:val="Normal"/>
    <w:next w:val="Normal"/>
    <w:autoRedefine/>
    <w:uiPriority w:val="99"/>
    <w:semiHidden/>
    <w:rsid w:val="00E25A11"/>
    <w:pPr>
      <w:spacing w:before="240" w:after="0"/>
      <w:ind w:left="1980" w:hanging="220"/>
    </w:pPr>
    <w:rPr>
      <w:rFonts w:ascii="Calibri" w:hAnsi="Calibri"/>
    </w:rPr>
  </w:style>
  <w:style w:type="paragraph" w:styleId="IndexHeading">
    <w:name w:val="index heading"/>
    <w:basedOn w:val="Normal"/>
    <w:next w:val="Index1"/>
    <w:uiPriority w:val="99"/>
    <w:semiHidden/>
    <w:rsid w:val="00E25A11"/>
    <w:pPr>
      <w:spacing w:before="240" w:after="0"/>
    </w:pPr>
    <w:rPr>
      <w:rFonts w:asciiTheme="majorHAnsi" w:eastAsiaTheme="majorEastAsia" w:hAnsiTheme="majorHAnsi" w:cstheme="majorBidi"/>
      <w:b/>
      <w:bCs/>
    </w:rPr>
  </w:style>
  <w:style w:type="character" w:styleId="LineNumber">
    <w:name w:val="line number"/>
    <w:basedOn w:val="DefaultParagraphFont"/>
    <w:uiPriority w:val="99"/>
    <w:semiHidden/>
    <w:rsid w:val="00E25A11"/>
  </w:style>
  <w:style w:type="paragraph" w:styleId="List">
    <w:name w:val="List"/>
    <w:basedOn w:val="Normal"/>
    <w:uiPriority w:val="99"/>
    <w:semiHidden/>
    <w:rsid w:val="00E25A11"/>
    <w:pPr>
      <w:spacing w:before="240" w:after="0"/>
      <w:ind w:left="283" w:hanging="283"/>
      <w:contextualSpacing/>
    </w:pPr>
    <w:rPr>
      <w:rFonts w:ascii="Calibri" w:hAnsi="Calibri"/>
    </w:rPr>
  </w:style>
  <w:style w:type="paragraph" w:styleId="List2">
    <w:name w:val="List 2"/>
    <w:basedOn w:val="Normal"/>
    <w:uiPriority w:val="99"/>
    <w:semiHidden/>
    <w:rsid w:val="00E25A11"/>
    <w:pPr>
      <w:spacing w:before="240" w:after="0"/>
      <w:ind w:left="566" w:hanging="283"/>
      <w:contextualSpacing/>
    </w:pPr>
    <w:rPr>
      <w:rFonts w:ascii="Calibri" w:hAnsi="Calibri"/>
    </w:rPr>
  </w:style>
  <w:style w:type="paragraph" w:styleId="List3">
    <w:name w:val="List 3"/>
    <w:basedOn w:val="Normal"/>
    <w:uiPriority w:val="99"/>
    <w:semiHidden/>
    <w:rsid w:val="00E25A11"/>
    <w:pPr>
      <w:spacing w:before="240" w:after="0"/>
      <w:ind w:left="849" w:hanging="283"/>
      <w:contextualSpacing/>
    </w:pPr>
    <w:rPr>
      <w:rFonts w:ascii="Calibri" w:hAnsi="Calibri"/>
    </w:rPr>
  </w:style>
  <w:style w:type="paragraph" w:styleId="List4">
    <w:name w:val="List 4"/>
    <w:basedOn w:val="Normal"/>
    <w:uiPriority w:val="99"/>
    <w:semiHidden/>
    <w:rsid w:val="00E25A11"/>
    <w:pPr>
      <w:spacing w:before="240" w:after="0"/>
      <w:ind w:left="1132" w:hanging="283"/>
      <w:contextualSpacing/>
    </w:pPr>
    <w:rPr>
      <w:rFonts w:ascii="Calibri" w:hAnsi="Calibri"/>
    </w:rPr>
  </w:style>
  <w:style w:type="paragraph" w:styleId="List5">
    <w:name w:val="List 5"/>
    <w:basedOn w:val="Normal"/>
    <w:uiPriority w:val="99"/>
    <w:semiHidden/>
    <w:rsid w:val="00E25A11"/>
    <w:pPr>
      <w:spacing w:before="240" w:after="0"/>
      <w:ind w:left="1415" w:hanging="283"/>
      <w:contextualSpacing/>
    </w:pPr>
    <w:rPr>
      <w:rFonts w:ascii="Calibri" w:hAnsi="Calibri"/>
    </w:rPr>
  </w:style>
  <w:style w:type="paragraph" w:styleId="ListBullet">
    <w:name w:val="List Bullet"/>
    <w:basedOn w:val="Normal"/>
    <w:rsid w:val="00E25A11"/>
    <w:pPr>
      <w:tabs>
        <w:tab w:val="num" w:pos="360"/>
      </w:tabs>
      <w:spacing w:before="240" w:after="0"/>
      <w:ind w:left="360" w:hanging="360"/>
      <w:contextualSpacing/>
    </w:pPr>
    <w:rPr>
      <w:rFonts w:ascii="Calibri" w:hAnsi="Calibri"/>
    </w:rPr>
  </w:style>
  <w:style w:type="paragraph" w:styleId="ListBullet2">
    <w:name w:val="List Bullet 2"/>
    <w:basedOn w:val="Normal"/>
    <w:uiPriority w:val="99"/>
    <w:semiHidden/>
    <w:rsid w:val="00E25A11"/>
    <w:pPr>
      <w:numPr>
        <w:numId w:val="6"/>
      </w:numPr>
      <w:spacing w:before="240" w:after="0"/>
      <w:contextualSpacing/>
    </w:pPr>
    <w:rPr>
      <w:rFonts w:ascii="Calibri" w:hAnsi="Calibri"/>
    </w:rPr>
  </w:style>
  <w:style w:type="paragraph" w:styleId="ListBullet3">
    <w:name w:val="List Bullet 3"/>
    <w:basedOn w:val="Normal"/>
    <w:uiPriority w:val="99"/>
    <w:semiHidden/>
    <w:rsid w:val="00E25A11"/>
    <w:pPr>
      <w:numPr>
        <w:numId w:val="7"/>
      </w:numPr>
      <w:spacing w:before="240" w:after="0"/>
      <w:contextualSpacing/>
    </w:pPr>
    <w:rPr>
      <w:rFonts w:ascii="Calibri" w:hAnsi="Calibri"/>
    </w:rPr>
  </w:style>
  <w:style w:type="paragraph" w:styleId="ListBullet4">
    <w:name w:val="List Bullet 4"/>
    <w:basedOn w:val="Normal"/>
    <w:uiPriority w:val="99"/>
    <w:semiHidden/>
    <w:rsid w:val="00E25A11"/>
    <w:pPr>
      <w:numPr>
        <w:numId w:val="8"/>
      </w:numPr>
      <w:spacing w:before="240" w:after="0"/>
      <w:contextualSpacing/>
    </w:pPr>
    <w:rPr>
      <w:rFonts w:ascii="Calibri" w:hAnsi="Calibri"/>
    </w:rPr>
  </w:style>
  <w:style w:type="paragraph" w:styleId="ListBullet5">
    <w:name w:val="List Bullet 5"/>
    <w:basedOn w:val="Normal"/>
    <w:uiPriority w:val="99"/>
    <w:semiHidden/>
    <w:rsid w:val="00E25A11"/>
    <w:pPr>
      <w:numPr>
        <w:numId w:val="9"/>
      </w:numPr>
      <w:spacing w:before="240" w:after="0"/>
      <w:contextualSpacing/>
    </w:pPr>
    <w:rPr>
      <w:rFonts w:ascii="Calibri" w:hAnsi="Calibri"/>
    </w:rPr>
  </w:style>
  <w:style w:type="paragraph" w:styleId="ListContinue">
    <w:name w:val="List Continue"/>
    <w:basedOn w:val="Normal"/>
    <w:uiPriority w:val="99"/>
    <w:semiHidden/>
    <w:rsid w:val="00E25A11"/>
    <w:pPr>
      <w:spacing w:before="240" w:after="120"/>
      <w:ind w:left="283"/>
      <w:contextualSpacing/>
    </w:pPr>
    <w:rPr>
      <w:rFonts w:ascii="Calibri" w:hAnsi="Calibri"/>
    </w:rPr>
  </w:style>
  <w:style w:type="paragraph" w:styleId="ListContinue2">
    <w:name w:val="List Continue 2"/>
    <w:basedOn w:val="Normal"/>
    <w:uiPriority w:val="99"/>
    <w:semiHidden/>
    <w:rsid w:val="00E25A11"/>
    <w:pPr>
      <w:spacing w:before="240" w:after="120"/>
      <w:ind w:left="566"/>
      <w:contextualSpacing/>
    </w:pPr>
    <w:rPr>
      <w:rFonts w:ascii="Calibri" w:hAnsi="Calibri"/>
    </w:rPr>
  </w:style>
  <w:style w:type="paragraph" w:styleId="ListContinue3">
    <w:name w:val="List Continue 3"/>
    <w:basedOn w:val="Normal"/>
    <w:uiPriority w:val="99"/>
    <w:semiHidden/>
    <w:rsid w:val="00E25A11"/>
    <w:pPr>
      <w:spacing w:before="240" w:after="120"/>
      <w:ind w:left="849"/>
      <w:contextualSpacing/>
    </w:pPr>
    <w:rPr>
      <w:rFonts w:ascii="Calibri" w:hAnsi="Calibri"/>
    </w:rPr>
  </w:style>
  <w:style w:type="paragraph" w:styleId="ListContinue4">
    <w:name w:val="List Continue 4"/>
    <w:basedOn w:val="Normal"/>
    <w:uiPriority w:val="99"/>
    <w:semiHidden/>
    <w:rsid w:val="00E25A11"/>
    <w:pPr>
      <w:spacing w:before="240" w:after="120"/>
      <w:ind w:left="1132"/>
      <w:contextualSpacing/>
    </w:pPr>
    <w:rPr>
      <w:rFonts w:ascii="Calibri" w:hAnsi="Calibri"/>
    </w:rPr>
  </w:style>
  <w:style w:type="paragraph" w:styleId="ListContinue5">
    <w:name w:val="List Continue 5"/>
    <w:basedOn w:val="Normal"/>
    <w:uiPriority w:val="99"/>
    <w:semiHidden/>
    <w:rsid w:val="00E25A11"/>
    <w:pPr>
      <w:spacing w:before="240" w:after="120"/>
      <w:ind w:left="1415"/>
      <w:contextualSpacing/>
    </w:pPr>
    <w:rPr>
      <w:rFonts w:ascii="Calibri" w:hAnsi="Calibri"/>
    </w:rPr>
  </w:style>
  <w:style w:type="paragraph" w:styleId="ListNumber">
    <w:name w:val="List Number"/>
    <w:basedOn w:val="Normal"/>
    <w:uiPriority w:val="99"/>
    <w:semiHidden/>
    <w:rsid w:val="00E25A11"/>
    <w:pPr>
      <w:numPr>
        <w:numId w:val="10"/>
      </w:numPr>
      <w:spacing w:before="240" w:after="0"/>
      <w:contextualSpacing/>
    </w:pPr>
    <w:rPr>
      <w:rFonts w:ascii="Calibri" w:hAnsi="Calibri"/>
    </w:rPr>
  </w:style>
  <w:style w:type="paragraph" w:styleId="ListNumber2">
    <w:name w:val="List Number 2"/>
    <w:basedOn w:val="Normal"/>
    <w:uiPriority w:val="99"/>
    <w:semiHidden/>
    <w:rsid w:val="00E25A11"/>
    <w:pPr>
      <w:numPr>
        <w:numId w:val="11"/>
      </w:numPr>
      <w:spacing w:before="240" w:after="0"/>
      <w:contextualSpacing/>
    </w:pPr>
    <w:rPr>
      <w:rFonts w:ascii="Calibri" w:hAnsi="Calibri"/>
    </w:rPr>
  </w:style>
  <w:style w:type="paragraph" w:styleId="ListNumber3">
    <w:name w:val="List Number 3"/>
    <w:basedOn w:val="Normal"/>
    <w:uiPriority w:val="99"/>
    <w:semiHidden/>
    <w:rsid w:val="00E25A11"/>
    <w:pPr>
      <w:numPr>
        <w:numId w:val="12"/>
      </w:numPr>
      <w:spacing w:before="240" w:after="0"/>
      <w:contextualSpacing/>
    </w:pPr>
    <w:rPr>
      <w:rFonts w:ascii="Calibri" w:hAnsi="Calibri"/>
    </w:rPr>
  </w:style>
  <w:style w:type="paragraph" w:styleId="ListNumber4">
    <w:name w:val="List Number 4"/>
    <w:basedOn w:val="Normal"/>
    <w:uiPriority w:val="99"/>
    <w:semiHidden/>
    <w:rsid w:val="00E25A11"/>
    <w:pPr>
      <w:numPr>
        <w:numId w:val="13"/>
      </w:numPr>
      <w:spacing w:before="240" w:after="0"/>
      <w:contextualSpacing/>
    </w:pPr>
    <w:rPr>
      <w:rFonts w:ascii="Calibri" w:hAnsi="Calibri"/>
    </w:rPr>
  </w:style>
  <w:style w:type="paragraph" w:styleId="ListNumber5">
    <w:name w:val="List Number 5"/>
    <w:basedOn w:val="Normal"/>
    <w:uiPriority w:val="99"/>
    <w:semiHidden/>
    <w:rsid w:val="00E25A11"/>
    <w:pPr>
      <w:numPr>
        <w:numId w:val="14"/>
      </w:numPr>
      <w:spacing w:before="240" w:after="0"/>
      <w:contextualSpacing/>
    </w:pPr>
    <w:rPr>
      <w:rFonts w:ascii="Calibri" w:hAnsi="Calibri"/>
    </w:rPr>
  </w:style>
  <w:style w:type="paragraph" w:styleId="MacroText">
    <w:name w:val="macro"/>
    <w:link w:val="MacroTextChar"/>
    <w:uiPriority w:val="99"/>
    <w:semiHidden/>
    <w:rsid w:val="00E25A11"/>
    <w:pPr>
      <w:tabs>
        <w:tab w:val="left" w:pos="480"/>
        <w:tab w:val="left" w:pos="960"/>
        <w:tab w:val="left" w:pos="1440"/>
        <w:tab w:val="left" w:pos="1920"/>
        <w:tab w:val="left" w:pos="2400"/>
        <w:tab w:val="left" w:pos="2880"/>
        <w:tab w:val="left" w:pos="3360"/>
        <w:tab w:val="left" w:pos="3840"/>
        <w:tab w:val="left" w:pos="4320"/>
      </w:tabs>
      <w:spacing w:before="240" w:after="0" w:line="240" w:lineRule="auto"/>
      <w:ind w:left="1021" w:hanging="1021"/>
    </w:pPr>
    <w:rPr>
      <w:rFonts w:ascii="Consolas" w:hAnsi="Consolas" w:cs="Consolas"/>
      <w:sz w:val="20"/>
      <w:szCs w:val="20"/>
    </w:rPr>
  </w:style>
  <w:style w:type="character" w:customStyle="1" w:styleId="MacroTextChar">
    <w:name w:val="Macro Text Char"/>
    <w:basedOn w:val="DefaultParagraphFont"/>
    <w:link w:val="MacroText"/>
    <w:uiPriority w:val="99"/>
    <w:semiHidden/>
    <w:rsid w:val="00E25A11"/>
    <w:rPr>
      <w:rFonts w:ascii="Consolas" w:hAnsi="Consolas" w:cs="Consolas"/>
      <w:sz w:val="20"/>
      <w:szCs w:val="20"/>
    </w:rPr>
  </w:style>
  <w:style w:type="paragraph" w:styleId="MessageHeader">
    <w:name w:val="Message Header"/>
    <w:basedOn w:val="Normal"/>
    <w:link w:val="MessageHeaderChar"/>
    <w:uiPriority w:val="99"/>
    <w:semiHidden/>
    <w:rsid w:val="00E25A11"/>
    <w:pPr>
      <w:pBdr>
        <w:top w:val="single" w:sz="6" w:space="1" w:color="auto"/>
        <w:left w:val="single" w:sz="6" w:space="1" w:color="auto"/>
        <w:bottom w:val="single" w:sz="6" w:space="1" w:color="auto"/>
        <w:right w:val="single" w:sz="6" w:space="1" w:color="auto"/>
      </w:pBdr>
      <w:shd w:val="pct20" w:color="auto" w:fill="auto"/>
      <w:spacing w:before="240"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E25A11"/>
    <w:rPr>
      <w:rFonts w:asciiTheme="majorHAnsi" w:eastAsiaTheme="majorEastAsia" w:hAnsiTheme="majorHAnsi" w:cstheme="majorBidi"/>
      <w:sz w:val="24"/>
      <w:szCs w:val="24"/>
      <w:shd w:val="pct20" w:color="auto" w:fill="auto"/>
    </w:rPr>
  </w:style>
  <w:style w:type="paragraph" w:styleId="NormalIndent">
    <w:name w:val="Normal Indent"/>
    <w:basedOn w:val="Normal"/>
    <w:uiPriority w:val="99"/>
    <w:semiHidden/>
    <w:rsid w:val="00E25A11"/>
    <w:pPr>
      <w:spacing w:before="240" w:after="0"/>
      <w:ind w:left="720"/>
    </w:pPr>
    <w:rPr>
      <w:rFonts w:ascii="Calibri" w:hAnsi="Calibri"/>
    </w:rPr>
  </w:style>
  <w:style w:type="paragraph" w:styleId="NoteHeading">
    <w:name w:val="Note Heading"/>
    <w:basedOn w:val="Normal"/>
    <w:next w:val="Normal"/>
    <w:link w:val="NoteHeadingChar"/>
    <w:uiPriority w:val="99"/>
    <w:semiHidden/>
    <w:rsid w:val="00E25A11"/>
    <w:pPr>
      <w:spacing w:before="240" w:after="0"/>
    </w:pPr>
    <w:rPr>
      <w:rFonts w:ascii="Calibri" w:hAnsi="Calibri"/>
    </w:rPr>
  </w:style>
  <w:style w:type="character" w:customStyle="1" w:styleId="NoteHeadingChar">
    <w:name w:val="Note Heading Char"/>
    <w:basedOn w:val="DefaultParagraphFont"/>
    <w:link w:val="NoteHeading"/>
    <w:uiPriority w:val="99"/>
    <w:semiHidden/>
    <w:rsid w:val="00E25A11"/>
    <w:rPr>
      <w:rFonts w:ascii="Calibri" w:hAnsi="Calibri"/>
    </w:rPr>
  </w:style>
  <w:style w:type="character" w:styleId="PlaceholderText">
    <w:name w:val="Placeholder Text"/>
    <w:basedOn w:val="DefaultParagraphFont"/>
    <w:uiPriority w:val="99"/>
    <w:semiHidden/>
    <w:rsid w:val="00E25A11"/>
    <w:rPr>
      <w:color w:val="808080"/>
    </w:rPr>
  </w:style>
  <w:style w:type="paragraph" w:styleId="PlainText">
    <w:name w:val="Plain Text"/>
    <w:basedOn w:val="Normal"/>
    <w:link w:val="PlainTextChar"/>
    <w:uiPriority w:val="99"/>
    <w:semiHidden/>
    <w:rsid w:val="00E25A11"/>
    <w:pPr>
      <w:spacing w:before="240" w:after="0"/>
    </w:pPr>
    <w:rPr>
      <w:rFonts w:ascii="Consolas" w:hAnsi="Consolas" w:cs="Consolas"/>
      <w:sz w:val="21"/>
      <w:szCs w:val="21"/>
    </w:rPr>
  </w:style>
  <w:style w:type="character" w:customStyle="1" w:styleId="PlainTextChar">
    <w:name w:val="Plain Text Char"/>
    <w:basedOn w:val="DefaultParagraphFont"/>
    <w:link w:val="PlainText"/>
    <w:uiPriority w:val="99"/>
    <w:semiHidden/>
    <w:rsid w:val="00E25A11"/>
    <w:rPr>
      <w:rFonts w:ascii="Consolas" w:hAnsi="Consolas" w:cs="Consolas"/>
      <w:sz w:val="21"/>
      <w:szCs w:val="21"/>
    </w:rPr>
  </w:style>
  <w:style w:type="paragraph" w:styleId="Salutation">
    <w:name w:val="Salutation"/>
    <w:basedOn w:val="Normal"/>
    <w:next w:val="Normal"/>
    <w:link w:val="SalutationChar"/>
    <w:uiPriority w:val="99"/>
    <w:semiHidden/>
    <w:rsid w:val="00E25A11"/>
    <w:pPr>
      <w:spacing w:before="240" w:after="0"/>
    </w:pPr>
    <w:rPr>
      <w:rFonts w:ascii="Calibri" w:hAnsi="Calibri"/>
    </w:rPr>
  </w:style>
  <w:style w:type="character" w:customStyle="1" w:styleId="SalutationChar">
    <w:name w:val="Salutation Char"/>
    <w:basedOn w:val="DefaultParagraphFont"/>
    <w:link w:val="Salutation"/>
    <w:uiPriority w:val="99"/>
    <w:semiHidden/>
    <w:rsid w:val="00E25A11"/>
    <w:rPr>
      <w:rFonts w:ascii="Calibri" w:hAnsi="Calibri"/>
    </w:rPr>
  </w:style>
  <w:style w:type="paragraph" w:styleId="Signature">
    <w:name w:val="Signature"/>
    <w:basedOn w:val="Normal"/>
    <w:link w:val="SignatureChar"/>
    <w:uiPriority w:val="99"/>
    <w:semiHidden/>
    <w:rsid w:val="00E25A11"/>
    <w:pPr>
      <w:spacing w:before="240" w:after="0"/>
      <w:ind w:left="4252"/>
    </w:pPr>
    <w:rPr>
      <w:rFonts w:ascii="Calibri" w:hAnsi="Calibri"/>
    </w:rPr>
  </w:style>
  <w:style w:type="character" w:customStyle="1" w:styleId="SignatureChar">
    <w:name w:val="Signature Char"/>
    <w:basedOn w:val="DefaultParagraphFont"/>
    <w:link w:val="Signature"/>
    <w:uiPriority w:val="99"/>
    <w:semiHidden/>
    <w:rsid w:val="00E25A11"/>
    <w:rPr>
      <w:rFonts w:ascii="Calibri" w:hAnsi="Calibri"/>
    </w:rPr>
  </w:style>
  <w:style w:type="table" w:styleId="Table3Deffects1">
    <w:name w:val="Table 3D effects 1"/>
    <w:basedOn w:val="TableNormal"/>
    <w:uiPriority w:val="99"/>
    <w:semiHidden/>
    <w:unhideWhenUsed/>
    <w:rsid w:val="00E25A11"/>
    <w:pPr>
      <w:spacing w:before="240" w:after="0" w:line="240" w:lineRule="auto"/>
      <w:ind w:left="1021" w:hanging="1021"/>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E25A11"/>
    <w:pPr>
      <w:spacing w:before="240" w:after="0" w:line="240" w:lineRule="auto"/>
      <w:ind w:left="1021" w:hanging="1021"/>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E25A11"/>
    <w:pPr>
      <w:spacing w:before="240" w:after="0" w:line="240" w:lineRule="auto"/>
      <w:ind w:left="1021" w:hanging="1021"/>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E25A11"/>
    <w:pPr>
      <w:spacing w:before="240" w:after="0" w:line="240" w:lineRule="auto"/>
      <w:ind w:left="1021" w:hanging="1021"/>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E25A11"/>
    <w:pPr>
      <w:spacing w:before="240" w:after="0" w:line="240" w:lineRule="auto"/>
      <w:ind w:left="1021" w:hanging="1021"/>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E25A11"/>
    <w:pPr>
      <w:spacing w:before="240" w:after="0" w:line="240" w:lineRule="auto"/>
      <w:ind w:left="1021" w:hanging="1021"/>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E25A11"/>
    <w:pPr>
      <w:spacing w:before="240" w:after="0" w:line="240" w:lineRule="auto"/>
      <w:ind w:left="1021" w:hanging="1021"/>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umns1">
    <w:name w:val="Table Columns 1"/>
    <w:basedOn w:val="TableNormal"/>
    <w:uiPriority w:val="99"/>
    <w:semiHidden/>
    <w:unhideWhenUsed/>
    <w:rsid w:val="00E25A11"/>
    <w:pPr>
      <w:spacing w:before="240" w:after="0" w:line="240" w:lineRule="auto"/>
      <w:ind w:left="1021" w:hanging="1021"/>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E25A11"/>
    <w:pPr>
      <w:spacing w:before="240" w:after="0" w:line="240" w:lineRule="auto"/>
      <w:ind w:left="1021" w:hanging="1021"/>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E25A11"/>
    <w:pPr>
      <w:spacing w:before="240" w:after="0" w:line="240" w:lineRule="auto"/>
      <w:ind w:left="1021" w:hanging="1021"/>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E25A11"/>
    <w:pPr>
      <w:spacing w:before="240" w:after="0" w:line="240" w:lineRule="auto"/>
      <w:ind w:left="1021" w:hanging="1021"/>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E25A11"/>
    <w:pPr>
      <w:spacing w:before="240" w:after="0" w:line="240" w:lineRule="auto"/>
      <w:ind w:left="1021" w:hanging="1021"/>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E25A11"/>
    <w:pPr>
      <w:spacing w:before="240" w:after="0" w:line="240" w:lineRule="auto"/>
      <w:ind w:left="1021" w:hanging="1021"/>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E25A11"/>
    <w:pPr>
      <w:spacing w:before="240" w:after="0" w:line="240" w:lineRule="auto"/>
      <w:ind w:left="1021" w:hanging="1021"/>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E25A11"/>
    <w:pPr>
      <w:spacing w:before="240" w:after="0" w:line="240" w:lineRule="auto"/>
      <w:ind w:left="1021" w:hanging="1021"/>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E25A11"/>
    <w:pPr>
      <w:spacing w:before="240" w:after="0" w:line="240" w:lineRule="auto"/>
      <w:ind w:left="1021" w:hanging="1021"/>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E25A11"/>
    <w:pPr>
      <w:spacing w:before="240" w:after="0" w:line="240" w:lineRule="auto"/>
      <w:ind w:left="1021" w:hanging="1021"/>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E25A11"/>
    <w:pPr>
      <w:spacing w:before="240" w:after="0" w:line="240" w:lineRule="auto"/>
      <w:ind w:left="1021" w:hanging="1021"/>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E25A11"/>
    <w:pPr>
      <w:spacing w:before="240" w:after="0" w:line="240" w:lineRule="auto"/>
      <w:ind w:left="1021" w:hanging="1021"/>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E25A11"/>
    <w:pPr>
      <w:spacing w:before="240" w:after="0" w:line="240" w:lineRule="auto"/>
      <w:ind w:left="1021" w:hanging="1021"/>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E25A11"/>
    <w:pPr>
      <w:spacing w:before="240" w:after="0" w:line="240" w:lineRule="auto"/>
      <w:ind w:left="1021" w:hanging="1021"/>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E25A11"/>
    <w:pPr>
      <w:spacing w:before="240" w:after="0" w:line="240" w:lineRule="auto"/>
      <w:ind w:left="1021" w:hanging="1021"/>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rsid w:val="00E25A11"/>
    <w:pPr>
      <w:spacing w:before="240" w:after="0"/>
      <w:ind w:left="220" w:hanging="220"/>
    </w:pPr>
    <w:rPr>
      <w:rFonts w:ascii="Calibri" w:hAnsi="Calibri"/>
    </w:rPr>
  </w:style>
  <w:style w:type="paragraph" w:styleId="TableofFigures">
    <w:name w:val="table of figures"/>
    <w:basedOn w:val="Normal"/>
    <w:next w:val="Normal"/>
    <w:uiPriority w:val="99"/>
    <w:rsid w:val="00E25A11"/>
    <w:pPr>
      <w:spacing w:before="240" w:after="0"/>
    </w:pPr>
    <w:rPr>
      <w:rFonts w:ascii="Calibri" w:hAnsi="Calibri"/>
    </w:rPr>
  </w:style>
  <w:style w:type="table" w:styleId="TableProfessional">
    <w:name w:val="Table Professional"/>
    <w:basedOn w:val="TableNormal"/>
    <w:uiPriority w:val="99"/>
    <w:semiHidden/>
    <w:unhideWhenUsed/>
    <w:rsid w:val="00E25A11"/>
    <w:pPr>
      <w:spacing w:before="240" w:after="0" w:line="240" w:lineRule="auto"/>
      <w:ind w:left="1021" w:hanging="1021"/>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E25A11"/>
    <w:pPr>
      <w:spacing w:before="240" w:after="0" w:line="240" w:lineRule="auto"/>
      <w:ind w:left="1021" w:hanging="1021"/>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E25A11"/>
    <w:pPr>
      <w:spacing w:before="240" w:after="0" w:line="240" w:lineRule="auto"/>
      <w:ind w:left="1021" w:hanging="1021"/>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E25A11"/>
    <w:pPr>
      <w:spacing w:before="240" w:after="0" w:line="240" w:lineRule="auto"/>
      <w:ind w:left="1021" w:hanging="1021"/>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E25A11"/>
    <w:pPr>
      <w:spacing w:before="240" w:after="0" w:line="240" w:lineRule="auto"/>
      <w:ind w:left="1021" w:hanging="1021"/>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E25A11"/>
    <w:pPr>
      <w:spacing w:before="240" w:after="0" w:line="240" w:lineRule="auto"/>
      <w:ind w:left="1021" w:hanging="1021"/>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E25A11"/>
    <w:pPr>
      <w:spacing w:before="240" w:after="0" w:line="240" w:lineRule="auto"/>
      <w:ind w:left="1021" w:hanging="1021"/>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E25A11"/>
    <w:pPr>
      <w:spacing w:before="240" w:after="0" w:line="240" w:lineRule="auto"/>
      <w:ind w:left="1021" w:hanging="1021"/>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E25A11"/>
    <w:pPr>
      <w:spacing w:before="240" w:after="0" w:line="240" w:lineRule="auto"/>
      <w:ind w:left="1021" w:hanging="1021"/>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E25A11"/>
    <w:pPr>
      <w:spacing w:before="240" w:after="0" w:line="240" w:lineRule="auto"/>
      <w:ind w:left="1021" w:hanging="1021"/>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rsid w:val="00E25A11"/>
    <w:pPr>
      <w:spacing w:before="120" w:after="0"/>
    </w:pPr>
    <w:rPr>
      <w:rFonts w:asciiTheme="majorHAnsi" w:eastAsiaTheme="majorEastAsia" w:hAnsiTheme="majorHAnsi" w:cstheme="majorBidi"/>
      <w:b/>
      <w:bCs/>
      <w:sz w:val="24"/>
      <w:szCs w:val="24"/>
    </w:rPr>
  </w:style>
  <w:style w:type="paragraph" w:customStyle="1" w:styleId="Definitiontext">
    <w:name w:val="Definition text"/>
    <w:basedOn w:val="BodyText"/>
    <w:uiPriority w:val="20"/>
    <w:qFormat/>
    <w:rsid w:val="00E25A11"/>
    <w:pPr>
      <w:spacing w:before="120" w:after="0"/>
      <w:jc w:val="both"/>
    </w:pPr>
    <w:rPr>
      <w:bCs/>
      <w:color w:val="222A35" w:themeColor="text2" w:themeShade="80"/>
    </w:rPr>
  </w:style>
  <w:style w:type="paragraph" w:customStyle="1" w:styleId="Definitionterm">
    <w:name w:val="Definition term"/>
    <w:basedOn w:val="Definitiontext"/>
    <w:next w:val="Definitiontext"/>
    <w:uiPriority w:val="20"/>
    <w:qFormat/>
    <w:rsid w:val="00E25A11"/>
    <w:pPr>
      <w:spacing w:before="240" w:after="120"/>
    </w:pPr>
    <w:rPr>
      <w:b/>
    </w:rPr>
  </w:style>
  <w:style w:type="table" w:customStyle="1" w:styleId="ColorfulGrid1">
    <w:name w:val="Colorful Grid1"/>
    <w:basedOn w:val="TableNormal"/>
    <w:uiPriority w:val="99"/>
    <w:semiHidden/>
    <w:rsid w:val="00E25A11"/>
    <w:pPr>
      <w:spacing w:before="240" w:after="0" w:line="240" w:lineRule="auto"/>
      <w:ind w:left="1021" w:hanging="1021"/>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99"/>
    <w:semiHidden/>
    <w:rsid w:val="00E25A11"/>
    <w:pPr>
      <w:spacing w:before="240" w:after="0" w:line="240" w:lineRule="auto"/>
      <w:ind w:left="1021" w:hanging="1021"/>
    </w:pPr>
    <w:rPr>
      <w:color w:val="000000" w:themeColor="text1"/>
    </w:rPr>
    <w:tblPr>
      <w:tblStyleRowBandSize w:val="1"/>
      <w:tblStyleColBandSize w:val="1"/>
      <w:tblBorders>
        <w:insideH w:val="single" w:sz="4" w:space="0" w:color="FFFFFF" w:themeColor="background1"/>
      </w:tblBorders>
    </w:tblPr>
    <w:tcPr>
      <w:shd w:val="clear" w:color="auto" w:fill="DEEAF6" w:themeFill="accent1" w:themeFillTint="33"/>
    </w:tcPr>
    <w:tblStylePr w:type="firstRow">
      <w:rPr>
        <w:b/>
        <w:bCs/>
      </w:rPr>
      <w:tblPr/>
      <w:tcPr>
        <w:shd w:val="clear" w:color="auto" w:fill="BDD6EE" w:themeFill="accent1" w:themeFillTint="66"/>
      </w:tcPr>
    </w:tblStylePr>
    <w:tblStylePr w:type="lastRow">
      <w:rPr>
        <w:b/>
        <w:bCs/>
        <w:color w:val="000000" w:themeColor="text1"/>
      </w:rPr>
      <w:tblPr/>
      <w:tcPr>
        <w:shd w:val="clear" w:color="auto" w:fill="BDD6EE" w:themeFill="accent1" w:themeFillTint="66"/>
      </w:tcPr>
    </w:tblStylePr>
    <w:tblStylePr w:type="firstCol">
      <w:rPr>
        <w:color w:val="FFFFFF" w:themeColor="background1"/>
      </w:rPr>
      <w:tblPr/>
      <w:tcPr>
        <w:shd w:val="clear" w:color="auto" w:fill="2E74B5" w:themeFill="accent1" w:themeFillShade="BF"/>
      </w:tcPr>
    </w:tblStylePr>
    <w:tblStylePr w:type="lastCol">
      <w:rPr>
        <w:color w:val="FFFFFF" w:themeColor="background1"/>
      </w:rPr>
      <w:tblPr/>
      <w:tcPr>
        <w:shd w:val="clear" w:color="auto" w:fill="2E74B5" w:themeFill="accent1" w:themeFillShade="BF"/>
      </w:tc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ColorfulGrid-Accent2">
    <w:name w:val="Colorful Grid Accent 2"/>
    <w:basedOn w:val="TableNormal"/>
    <w:uiPriority w:val="99"/>
    <w:semiHidden/>
    <w:rsid w:val="00E25A11"/>
    <w:pPr>
      <w:spacing w:before="240" w:after="0" w:line="240" w:lineRule="auto"/>
      <w:ind w:left="1021" w:hanging="1021"/>
    </w:pPr>
    <w:rPr>
      <w:color w:val="000000" w:themeColor="text1"/>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ColorfulGrid-Accent3">
    <w:name w:val="Colorful Grid Accent 3"/>
    <w:basedOn w:val="TableNormal"/>
    <w:uiPriority w:val="99"/>
    <w:semiHidden/>
    <w:rsid w:val="00E25A11"/>
    <w:pPr>
      <w:spacing w:before="240" w:after="0" w:line="240" w:lineRule="auto"/>
      <w:ind w:left="1021" w:hanging="1021"/>
    </w:pPr>
    <w:rPr>
      <w:color w:val="000000" w:themeColor="text1"/>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ColorfulGrid-Accent4">
    <w:name w:val="Colorful Grid Accent 4"/>
    <w:basedOn w:val="TableNormal"/>
    <w:uiPriority w:val="99"/>
    <w:semiHidden/>
    <w:rsid w:val="00E25A11"/>
    <w:pPr>
      <w:spacing w:before="240" w:after="0" w:line="240" w:lineRule="auto"/>
      <w:ind w:left="1021" w:hanging="1021"/>
    </w:pPr>
    <w:rPr>
      <w:color w:val="000000" w:themeColor="text1"/>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ColorfulGrid-Accent5">
    <w:name w:val="Colorful Grid Accent 5"/>
    <w:basedOn w:val="TableNormal"/>
    <w:uiPriority w:val="99"/>
    <w:semiHidden/>
    <w:rsid w:val="00E25A11"/>
    <w:pPr>
      <w:spacing w:before="240" w:after="0" w:line="240" w:lineRule="auto"/>
      <w:ind w:left="1021" w:hanging="1021"/>
    </w:pPr>
    <w:rPr>
      <w:color w:val="000000" w:themeColor="text1"/>
    </w:rPr>
    <w:tblPr>
      <w:tblStyleRowBandSize w:val="1"/>
      <w:tblStyleColBandSize w:val="1"/>
      <w:tblBorders>
        <w:insideH w:val="single" w:sz="4" w:space="0" w:color="FFFFFF" w:themeColor="background1"/>
      </w:tblBorders>
    </w:tblPr>
    <w:tcPr>
      <w:shd w:val="clear" w:color="auto" w:fill="D9E2F3" w:themeFill="accent5" w:themeFillTint="33"/>
    </w:tcPr>
    <w:tblStylePr w:type="firstRow">
      <w:rPr>
        <w:b/>
        <w:bCs/>
      </w:rPr>
      <w:tblPr/>
      <w:tcPr>
        <w:shd w:val="clear" w:color="auto" w:fill="B4C6E7" w:themeFill="accent5" w:themeFillTint="66"/>
      </w:tcPr>
    </w:tblStylePr>
    <w:tblStylePr w:type="lastRow">
      <w:rPr>
        <w:b/>
        <w:bCs/>
        <w:color w:val="000000" w:themeColor="text1"/>
      </w:rPr>
      <w:tblPr/>
      <w:tcPr>
        <w:shd w:val="clear" w:color="auto" w:fill="B4C6E7" w:themeFill="accent5" w:themeFillTint="66"/>
      </w:tcPr>
    </w:tblStylePr>
    <w:tblStylePr w:type="firstCol">
      <w:rPr>
        <w:color w:val="FFFFFF" w:themeColor="background1"/>
      </w:rPr>
      <w:tblPr/>
      <w:tcPr>
        <w:shd w:val="clear" w:color="auto" w:fill="2F5496" w:themeFill="accent5" w:themeFillShade="BF"/>
      </w:tcPr>
    </w:tblStylePr>
    <w:tblStylePr w:type="lastCol">
      <w:rPr>
        <w:color w:val="FFFFFF" w:themeColor="background1"/>
      </w:rPr>
      <w:tblPr/>
      <w:tcPr>
        <w:shd w:val="clear" w:color="auto" w:fill="2F5496" w:themeFill="accent5" w:themeFillShade="BF"/>
      </w:tc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ColorfulGrid-Accent6">
    <w:name w:val="Colorful Grid Accent 6"/>
    <w:basedOn w:val="TableNormal"/>
    <w:uiPriority w:val="99"/>
    <w:semiHidden/>
    <w:rsid w:val="00E25A11"/>
    <w:pPr>
      <w:spacing w:before="240" w:after="0" w:line="240" w:lineRule="auto"/>
      <w:ind w:left="1021" w:hanging="1021"/>
    </w:pPr>
    <w:rPr>
      <w:color w:val="000000" w:themeColor="text1"/>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customStyle="1" w:styleId="ColorfulList1">
    <w:name w:val="Colorful List1"/>
    <w:basedOn w:val="TableNormal"/>
    <w:uiPriority w:val="99"/>
    <w:semiHidden/>
    <w:rsid w:val="00E25A11"/>
    <w:pPr>
      <w:spacing w:before="240" w:after="0" w:line="240" w:lineRule="auto"/>
      <w:ind w:left="1021" w:hanging="1021"/>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99"/>
    <w:semiHidden/>
    <w:rsid w:val="00E25A11"/>
    <w:pPr>
      <w:spacing w:before="240" w:after="0" w:line="240" w:lineRule="auto"/>
      <w:ind w:left="1021" w:hanging="1021"/>
    </w:pPr>
    <w:rPr>
      <w:color w:val="000000" w:themeColor="text1"/>
    </w:rPr>
    <w:tblPr>
      <w:tblStyleRowBandSize w:val="1"/>
      <w:tblStyleColBandSize w:val="1"/>
    </w:tblPr>
    <w:tcPr>
      <w:shd w:val="clear" w:color="auto" w:fill="EEF5FB"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table" w:styleId="ColorfulList-Accent2">
    <w:name w:val="Colorful List Accent 2"/>
    <w:basedOn w:val="TableNormal"/>
    <w:uiPriority w:val="99"/>
    <w:semiHidden/>
    <w:rsid w:val="00E25A11"/>
    <w:pPr>
      <w:spacing w:before="240" w:after="0" w:line="240" w:lineRule="auto"/>
      <w:ind w:left="1021" w:hanging="1021"/>
    </w:pPr>
    <w:rPr>
      <w:color w:val="000000" w:themeColor="text1"/>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ColorfulList-Accent3">
    <w:name w:val="Colorful List Accent 3"/>
    <w:basedOn w:val="TableNormal"/>
    <w:uiPriority w:val="99"/>
    <w:semiHidden/>
    <w:rsid w:val="00E25A11"/>
    <w:pPr>
      <w:spacing w:before="240" w:after="0" w:line="240" w:lineRule="auto"/>
      <w:ind w:left="1021" w:hanging="1021"/>
    </w:pPr>
    <w:rPr>
      <w:color w:val="000000" w:themeColor="text1"/>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ColorfulList-Accent4">
    <w:name w:val="Colorful List Accent 4"/>
    <w:basedOn w:val="TableNormal"/>
    <w:uiPriority w:val="99"/>
    <w:semiHidden/>
    <w:rsid w:val="00E25A11"/>
    <w:pPr>
      <w:spacing w:before="240" w:after="0" w:line="240" w:lineRule="auto"/>
      <w:ind w:left="1021" w:hanging="1021"/>
    </w:pPr>
    <w:rPr>
      <w:color w:val="000000" w:themeColor="text1"/>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ColorfulList-Accent5">
    <w:name w:val="Colorful List Accent 5"/>
    <w:basedOn w:val="TableNormal"/>
    <w:uiPriority w:val="99"/>
    <w:semiHidden/>
    <w:rsid w:val="00E25A11"/>
    <w:pPr>
      <w:spacing w:before="240" w:after="0" w:line="240" w:lineRule="auto"/>
      <w:ind w:left="1021" w:hanging="1021"/>
    </w:pPr>
    <w:rPr>
      <w:color w:val="000000" w:themeColor="text1"/>
    </w:rPr>
    <w:tblPr>
      <w:tblStyleRowBandSize w:val="1"/>
      <w:tblStyleColBandSize w:val="1"/>
    </w:tblPr>
    <w:tcPr>
      <w:shd w:val="clear" w:color="auto" w:fill="ECF1F9"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5" w:themeFillTint="3F"/>
      </w:tcPr>
    </w:tblStylePr>
    <w:tblStylePr w:type="band1Horz">
      <w:tblPr/>
      <w:tcPr>
        <w:shd w:val="clear" w:color="auto" w:fill="D9E2F3" w:themeFill="accent5" w:themeFillTint="33"/>
      </w:tcPr>
    </w:tblStylePr>
  </w:style>
  <w:style w:type="table" w:styleId="ColorfulList-Accent6">
    <w:name w:val="Colorful List Accent 6"/>
    <w:basedOn w:val="TableNormal"/>
    <w:uiPriority w:val="99"/>
    <w:semiHidden/>
    <w:rsid w:val="00E25A11"/>
    <w:pPr>
      <w:spacing w:before="240" w:after="0" w:line="240" w:lineRule="auto"/>
      <w:ind w:left="1021" w:hanging="1021"/>
    </w:pPr>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customStyle="1" w:styleId="ColorfulShading1">
    <w:name w:val="Colorful Shading1"/>
    <w:basedOn w:val="TableNormal"/>
    <w:uiPriority w:val="99"/>
    <w:semiHidden/>
    <w:rsid w:val="00E25A11"/>
    <w:pPr>
      <w:spacing w:before="240" w:after="0" w:line="240" w:lineRule="auto"/>
      <w:ind w:left="1021" w:hanging="1021"/>
    </w:pPr>
    <w:rPr>
      <w:color w:val="000000" w:themeColor="text1"/>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99"/>
    <w:semiHidden/>
    <w:rsid w:val="00E25A11"/>
    <w:pPr>
      <w:spacing w:before="240" w:after="0" w:line="240" w:lineRule="auto"/>
      <w:ind w:left="1021" w:hanging="1021"/>
    </w:pPr>
    <w:rPr>
      <w:color w:val="000000" w:themeColor="text1"/>
    </w:rPr>
    <w:tblPr>
      <w:tblStyleRowBandSize w:val="1"/>
      <w:tblStyleColBandSize w:val="1"/>
      <w:tblBorders>
        <w:top w:val="single" w:sz="24" w:space="0" w:color="ED7D31" w:themeColor="accent2"/>
        <w:left w:val="single" w:sz="4" w:space="0" w:color="5B9BD5" w:themeColor="accent1"/>
        <w:bottom w:val="single" w:sz="4" w:space="0" w:color="5B9BD5" w:themeColor="accent1"/>
        <w:right w:val="single" w:sz="4" w:space="0" w:color="5B9BD5" w:themeColor="accent1"/>
        <w:insideH w:val="single" w:sz="4" w:space="0" w:color="FFFFFF" w:themeColor="background1"/>
        <w:insideV w:val="single" w:sz="4" w:space="0" w:color="FFFFFF" w:themeColor="background1"/>
      </w:tblBorders>
    </w:tblPr>
    <w:tcPr>
      <w:shd w:val="clear" w:color="auto" w:fill="EEF5FB"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1" w:themeFillShade="99"/>
      </w:tcPr>
    </w:tblStylePr>
    <w:tblStylePr w:type="firstCol">
      <w:rPr>
        <w:color w:val="FFFFFF" w:themeColor="background1"/>
      </w:rPr>
      <w:tblPr/>
      <w:tcPr>
        <w:tcBorders>
          <w:top w:val="nil"/>
          <w:left w:val="nil"/>
          <w:bottom w:val="nil"/>
          <w:right w:val="nil"/>
          <w:insideH w:val="single" w:sz="4" w:space="0" w:color="255D91" w:themeColor="accent1" w:themeShade="99"/>
          <w:insideV w:val="nil"/>
        </w:tcBorders>
        <w:shd w:val="clear" w:color="auto" w:fill="255D9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1" w:themeFillShade="99"/>
      </w:tcPr>
    </w:tblStylePr>
    <w:tblStylePr w:type="band1Vert">
      <w:tblPr/>
      <w:tcPr>
        <w:shd w:val="clear" w:color="auto" w:fill="BDD6EE" w:themeFill="accent1" w:themeFillTint="66"/>
      </w:tcPr>
    </w:tblStylePr>
    <w:tblStylePr w:type="band1Horz">
      <w:tblPr/>
      <w:tcPr>
        <w:shd w:val="clear" w:color="auto" w:fill="ADCCEA"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99"/>
    <w:semiHidden/>
    <w:rsid w:val="00E25A11"/>
    <w:pPr>
      <w:spacing w:before="240" w:after="0" w:line="240" w:lineRule="auto"/>
      <w:ind w:left="1021" w:hanging="1021"/>
    </w:pPr>
    <w:rPr>
      <w:color w:val="000000" w:themeColor="text1"/>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99"/>
    <w:semiHidden/>
    <w:rsid w:val="00E25A11"/>
    <w:pPr>
      <w:spacing w:before="240" w:after="0" w:line="240" w:lineRule="auto"/>
      <w:ind w:left="1021" w:hanging="1021"/>
    </w:pPr>
    <w:rPr>
      <w:color w:val="000000" w:themeColor="text1"/>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ColorfulShading-Accent4">
    <w:name w:val="Colorful Shading Accent 4"/>
    <w:basedOn w:val="TableNormal"/>
    <w:uiPriority w:val="99"/>
    <w:semiHidden/>
    <w:rsid w:val="00E25A11"/>
    <w:pPr>
      <w:spacing w:before="240" w:after="0" w:line="240" w:lineRule="auto"/>
      <w:ind w:left="1021" w:hanging="1021"/>
    </w:pPr>
    <w:rPr>
      <w:color w:val="000000" w:themeColor="text1"/>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99"/>
    <w:semiHidden/>
    <w:rsid w:val="00E25A11"/>
    <w:pPr>
      <w:spacing w:before="240" w:after="0" w:line="240" w:lineRule="auto"/>
      <w:ind w:left="1021" w:hanging="1021"/>
    </w:pPr>
    <w:rPr>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99"/>
    <w:semiHidden/>
    <w:rsid w:val="00E25A11"/>
    <w:pPr>
      <w:spacing w:before="240" w:after="0" w:line="240" w:lineRule="auto"/>
      <w:ind w:left="1021" w:hanging="1021"/>
    </w:pPr>
    <w:rPr>
      <w:color w:val="000000" w:themeColor="text1"/>
    </w:rPr>
    <w:tblPr>
      <w:tblStyleRowBandSize w:val="1"/>
      <w:tblStyleColBandSize w:val="1"/>
      <w:tblBorders>
        <w:top w:val="single" w:sz="24" w:space="0" w:color="4472C4"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customStyle="1" w:styleId="DarkList1">
    <w:name w:val="Dark List1"/>
    <w:basedOn w:val="TableNormal"/>
    <w:uiPriority w:val="99"/>
    <w:semiHidden/>
    <w:rsid w:val="00E25A11"/>
    <w:pPr>
      <w:spacing w:before="240" w:after="0" w:line="240" w:lineRule="auto"/>
      <w:ind w:left="1021" w:hanging="1021"/>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99"/>
    <w:semiHidden/>
    <w:rsid w:val="00E25A11"/>
    <w:pPr>
      <w:spacing w:before="240" w:after="0" w:line="240" w:lineRule="auto"/>
      <w:ind w:left="1021" w:hanging="1021"/>
    </w:pPr>
    <w:rPr>
      <w:color w:val="FFFFFF" w:themeColor="background1"/>
    </w:rPr>
    <w:tblPr>
      <w:tblStyleRowBandSize w:val="1"/>
      <w:tblStyleColBandSize w:val="1"/>
    </w:tblPr>
    <w:tcPr>
      <w:shd w:val="clear" w:color="auto" w:fill="5B9BD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1" w:themeFillShade="BF"/>
      </w:tcPr>
    </w:tblStylePr>
    <w:tblStylePr w:type="band1Vert">
      <w:tblPr/>
      <w:tcPr>
        <w:tcBorders>
          <w:top w:val="nil"/>
          <w:left w:val="nil"/>
          <w:bottom w:val="nil"/>
          <w:right w:val="nil"/>
          <w:insideH w:val="nil"/>
          <w:insideV w:val="nil"/>
        </w:tcBorders>
        <w:shd w:val="clear" w:color="auto" w:fill="2E74B5" w:themeFill="accent1" w:themeFillShade="BF"/>
      </w:tcPr>
    </w:tblStylePr>
    <w:tblStylePr w:type="band1Horz">
      <w:tblPr/>
      <w:tcPr>
        <w:tcBorders>
          <w:top w:val="nil"/>
          <w:left w:val="nil"/>
          <w:bottom w:val="nil"/>
          <w:right w:val="nil"/>
          <w:insideH w:val="nil"/>
          <w:insideV w:val="nil"/>
        </w:tcBorders>
        <w:shd w:val="clear" w:color="auto" w:fill="2E74B5" w:themeFill="accent1" w:themeFillShade="BF"/>
      </w:tcPr>
    </w:tblStylePr>
  </w:style>
  <w:style w:type="table" w:styleId="DarkList-Accent2">
    <w:name w:val="Dark List Accent 2"/>
    <w:basedOn w:val="TableNormal"/>
    <w:uiPriority w:val="99"/>
    <w:semiHidden/>
    <w:rsid w:val="00E25A11"/>
    <w:pPr>
      <w:spacing w:before="240" w:after="0" w:line="240" w:lineRule="auto"/>
      <w:ind w:left="1021" w:hanging="1021"/>
    </w:pPr>
    <w:rPr>
      <w:color w:val="FFFFFF" w:themeColor="background1"/>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DarkList-Accent3">
    <w:name w:val="Dark List Accent 3"/>
    <w:basedOn w:val="TableNormal"/>
    <w:uiPriority w:val="99"/>
    <w:semiHidden/>
    <w:rsid w:val="00E25A11"/>
    <w:pPr>
      <w:spacing w:before="240" w:after="0" w:line="240" w:lineRule="auto"/>
      <w:ind w:left="1021" w:hanging="1021"/>
    </w:pPr>
    <w:rPr>
      <w:color w:val="FFFFFF" w:themeColor="background1"/>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DarkList-Accent4">
    <w:name w:val="Dark List Accent 4"/>
    <w:basedOn w:val="TableNormal"/>
    <w:uiPriority w:val="99"/>
    <w:semiHidden/>
    <w:rsid w:val="00E25A11"/>
    <w:pPr>
      <w:spacing w:before="240" w:after="0" w:line="240" w:lineRule="auto"/>
      <w:ind w:left="1021" w:hanging="1021"/>
    </w:pPr>
    <w:rPr>
      <w:color w:val="FFFFFF" w:themeColor="background1"/>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DarkList-Accent5">
    <w:name w:val="Dark List Accent 5"/>
    <w:basedOn w:val="TableNormal"/>
    <w:uiPriority w:val="99"/>
    <w:semiHidden/>
    <w:rsid w:val="00E25A11"/>
    <w:pPr>
      <w:spacing w:before="240" w:after="0" w:line="240" w:lineRule="auto"/>
      <w:ind w:left="1021" w:hanging="1021"/>
    </w:pPr>
    <w:rPr>
      <w:color w:val="FFFFFF" w:themeColor="background1"/>
    </w:rPr>
    <w:tblPr>
      <w:tblStyleRowBandSize w:val="1"/>
      <w:tblStyleColBandSize w:val="1"/>
    </w:tblPr>
    <w:tcPr>
      <w:shd w:val="clear" w:color="auto" w:fill="4472C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5" w:themeFillShade="BF"/>
      </w:tcPr>
    </w:tblStylePr>
    <w:tblStylePr w:type="band1Vert">
      <w:tblPr/>
      <w:tcPr>
        <w:tcBorders>
          <w:top w:val="nil"/>
          <w:left w:val="nil"/>
          <w:bottom w:val="nil"/>
          <w:right w:val="nil"/>
          <w:insideH w:val="nil"/>
          <w:insideV w:val="nil"/>
        </w:tcBorders>
        <w:shd w:val="clear" w:color="auto" w:fill="2F5496" w:themeFill="accent5" w:themeFillShade="BF"/>
      </w:tcPr>
    </w:tblStylePr>
    <w:tblStylePr w:type="band1Horz">
      <w:tblPr/>
      <w:tcPr>
        <w:tcBorders>
          <w:top w:val="nil"/>
          <w:left w:val="nil"/>
          <w:bottom w:val="nil"/>
          <w:right w:val="nil"/>
          <w:insideH w:val="nil"/>
          <w:insideV w:val="nil"/>
        </w:tcBorders>
        <w:shd w:val="clear" w:color="auto" w:fill="2F5496" w:themeFill="accent5" w:themeFillShade="BF"/>
      </w:tcPr>
    </w:tblStylePr>
  </w:style>
  <w:style w:type="table" w:styleId="DarkList-Accent6">
    <w:name w:val="Dark List Accent 6"/>
    <w:basedOn w:val="TableNormal"/>
    <w:uiPriority w:val="99"/>
    <w:semiHidden/>
    <w:rsid w:val="00E25A11"/>
    <w:pPr>
      <w:spacing w:before="240" w:after="0" w:line="240" w:lineRule="auto"/>
      <w:ind w:left="1021" w:hanging="1021"/>
    </w:pPr>
    <w:rPr>
      <w:color w:val="FFFFFF" w:themeColor="background1"/>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table" w:customStyle="1" w:styleId="LightGrid1">
    <w:name w:val="Light Grid1"/>
    <w:basedOn w:val="TableNormal"/>
    <w:uiPriority w:val="99"/>
    <w:semiHidden/>
    <w:rsid w:val="00E25A11"/>
    <w:pPr>
      <w:spacing w:before="240" w:after="0" w:line="240" w:lineRule="auto"/>
      <w:ind w:left="1021" w:hanging="1021"/>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1">
    <w:name w:val="Light Grid - Accent 11"/>
    <w:basedOn w:val="TableNormal"/>
    <w:uiPriority w:val="99"/>
    <w:semiHidden/>
    <w:rsid w:val="00E25A11"/>
    <w:pPr>
      <w:spacing w:before="240" w:after="0" w:line="240" w:lineRule="auto"/>
      <w:ind w:left="1021" w:hanging="1021"/>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LightGrid-Accent2">
    <w:name w:val="Light Grid Accent 2"/>
    <w:basedOn w:val="TableNormal"/>
    <w:uiPriority w:val="99"/>
    <w:semiHidden/>
    <w:rsid w:val="00E25A11"/>
    <w:pPr>
      <w:spacing w:before="240" w:after="0" w:line="240" w:lineRule="auto"/>
      <w:ind w:left="1021" w:hanging="1021"/>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LightGrid-Accent3">
    <w:name w:val="Light Grid Accent 3"/>
    <w:basedOn w:val="TableNormal"/>
    <w:uiPriority w:val="99"/>
    <w:semiHidden/>
    <w:rsid w:val="00E25A11"/>
    <w:pPr>
      <w:spacing w:before="240" w:after="0" w:line="240" w:lineRule="auto"/>
      <w:ind w:left="1021" w:hanging="1021"/>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ightGrid-Accent4">
    <w:name w:val="Light Grid Accent 4"/>
    <w:basedOn w:val="TableNormal"/>
    <w:uiPriority w:val="99"/>
    <w:semiHidden/>
    <w:rsid w:val="00E25A11"/>
    <w:pPr>
      <w:spacing w:before="240" w:after="0" w:line="240" w:lineRule="auto"/>
      <w:ind w:left="1021" w:hanging="1021"/>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LightGrid-Accent5">
    <w:name w:val="Light Grid Accent 5"/>
    <w:basedOn w:val="TableNormal"/>
    <w:uiPriority w:val="99"/>
    <w:semiHidden/>
    <w:rsid w:val="00E25A11"/>
    <w:pPr>
      <w:spacing w:before="240" w:after="0" w:line="240" w:lineRule="auto"/>
      <w:ind w:left="1021" w:hanging="1021"/>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styleId="LightGrid-Accent6">
    <w:name w:val="Light Grid Accent 6"/>
    <w:basedOn w:val="TableNormal"/>
    <w:uiPriority w:val="99"/>
    <w:semiHidden/>
    <w:rsid w:val="00E25A11"/>
    <w:pPr>
      <w:spacing w:before="240" w:after="0" w:line="240" w:lineRule="auto"/>
      <w:ind w:left="1021" w:hanging="1021"/>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customStyle="1" w:styleId="LightList1">
    <w:name w:val="Light List1"/>
    <w:basedOn w:val="TableNormal"/>
    <w:uiPriority w:val="99"/>
    <w:semiHidden/>
    <w:rsid w:val="00E25A11"/>
    <w:pPr>
      <w:spacing w:before="240" w:after="0" w:line="240" w:lineRule="auto"/>
      <w:ind w:left="1021" w:hanging="1021"/>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1">
    <w:name w:val="Light List - Accent 11"/>
    <w:basedOn w:val="TableNormal"/>
    <w:uiPriority w:val="99"/>
    <w:semiHidden/>
    <w:rsid w:val="00E25A11"/>
    <w:pPr>
      <w:spacing w:before="240" w:after="0" w:line="240" w:lineRule="auto"/>
      <w:ind w:left="1021" w:hanging="1021"/>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LightList-Accent2">
    <w:name w:val="Light List Accent 2"/>
    <w:basedOn w:val="TableNormal"/>
    <w:uiPriority w:val="99"/>
    <w:semiHidden/>
    <w:rsid w:val="00E25A11"/>
    <w:pPr>
      <w:spacing w:before="240" w:after="0" w:line="240" w:lineRule="auto"/>
      <w:ind w:left="1021" w:hanging="1021"/>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ightList-Accent3">
    <w:name w:val="Light List Accent 3"/>
    <w:basedOn w:val="TableNormal"/>
    <w:uiPriority w:val="99"/>
    <w:semiHidden/>
    <w:rsid w:val="00E25A11"/>
    <w:pPr>
      <w:spacing w:before="240" w:after="0" w:line="240" w:lineRule="auto"/>
      <w:ind w:left="1021" w:hanging="1021"/>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List-Accent4">
    <w:name w:val="Light List Accent 4"/>
    <w:basedOn w:val="TableNormal"/>
    <w:uiPriority w:val="99"/>
    <w:semiHidden/>
    <w:rsid w:val="00E25A11"/>
    <w:pPr>
      <w:spacing w:before="240" w:after="0" w:line="240" w:lineRule="auto"/>
      <w:ind w:left="1021" w:hanging="1021"/>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ghtList-Accent5">
    <w:name w:val="Light List Accent 5"/>
    <w:basedOn w:val="TableNormal"/>
    <w:uiPriority w:val="99"/>
    <w:semiHidden/>
    <w:rsid w:val="00E25A11"/>
    <w:pPr>
      <w:spacing w:before="240" w:after="0" w:line="240" w:lineRule="auto"/>
      <w:ind w:left="1021" w:hanging="1021"/>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LightList-Accent6">
    <w:name w:val="Light List Accent 6"/>
    <w:basedOn w:val="TableNormal"/>
    <w:uiPriority w:val="99"/>
    <w:semiHidden/>
    <w:rsid w:val="00E25A11"/>
    <w:pPr>
      <w:spacing w:before="240" w:after="0" w:line="240" w:lineRule="auto"/>
      <w:ind w:left="1021" w:hanging="1021"/>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LightShading1">
    <w:name w:val="Light Shading1"/>
    <w:basedOn w:val="TableNormal"/>
    <w:uiPriority w:val="99"/>
    <w:semiHidden/>
    <w:rsid w:val="00E25A11"/>
    <w:pPr>
      <w:spacing w:before="240" w:after="0" w:line="240" w:lineRule="auto"/>
      <w:ind w:left="1021" w:hanging="1021"/>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TableNormal"/>
    <w:uiPriority w:val="99"/>
    <w:semiHidden/>
    <w:rsid w:val="00E25A11"/>
    <w:pPr>
      <w:spacing w:before="240" w:after="0" w:line="240" w:lineRule="auto"/>
      <w:ind w:left="1021" w:hanging="1021"/>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LightShading-Accent3">
    <w:name w:val="Light Shading Accent 3"/>
    <w:basedOn w:val="TableNormal"/>
    <w:uiPriority w:val="99"/>
    <w:semiHidden/>
    <w:rsid w:val="00E25A11"/>
    <w:pPr>
      <w:spacing w:before="240" w:after="0" w:line="240" w:lineRule="auto"/>
      <w:ind w:left="1021" w:hanging="1021"/>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Accent4">
    <w:name w:val="Light Shading Accent 4"/>
    <w:basedOn w:val="TableNormal"/>
    <w:uiPriority w:val="99"/>
    <w:semiHidden/>
    <w:rsid w:val="00E25A11"/>
    <w:pPr>
      <w:spacing w:before="240" w:after="0" w:line="240" w:lineRule="auto"/>
      <w:ind w:left="1021" w:hanging="1021"/>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ightShading-Accent5">
    <w:name w:val="Light Shading Accent 5"/>
    <w:basedOn w:val="TableNormal"/>
    <w:uiPriority w:val="99"/>
    <w:semiHidden/>
    <w:rsid w:val="00E25A11"/>
    <w:pPr>
      <w:spacing w:before="240" w:after="0" w:line="240" w:lineRule="auto"/>
      <w:ind w:left="1021" w:hanging="1021"/>
    </w:pPr>
    <w:rPr>
      <w:color w:val="2F5496" w:themeColor="accent5" w:themeShade="BF"/>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LightShading-Accent6">
    <w:name w:val="Light Shading Accent 6"/>
    <w:basedOn w:val="TableNormal"/>
    <w:uiPriority w:val="99"/>
    <w:semiHidden/>
    <w:rsid w:val="00E25A11"/>
    <w:pPr>
      <w:spacing w:before="240" w:after="0" w:line="240" w:lineRule="auto"/>
      <w:ind w:left="1021" w:hanging="1021"/>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customStyle="1" w:styleId="MediumGrid11">
    <w:name w:val="Medium Grid 11"/>
    <w:basedOn w:val="TableNormal"/>
    <w:uiPriority w:val="99"/>
    <w:semiHidden/>
    <w:rsid w:val="00E25A11"/>
    <w:pPr>
      <w:spacing w:before="240" w:after="0" w:line="240" w:lineRule="auto"/>
      <w:ind w:left="1021" w:hanging="1021"/>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99"/>
    <w:semiHidden/>
    <w:rsid w:val="00E25A11"/>
    <w:pPr>
      <w:spacing w:before="240" w:after="0" w:line="240" w:lineRule="auto"/>
      <w:ind w:left="1021" w:hanging="1021"/>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MediumGrid1-Accent2">
    <w:name w:val="Medium Grid 1 Accent 2"/>
    <w:basedOn w:val="TableNormal"/>
    <w:uiPriority w:val="99"/>
    <w:semiHidden/>
    <w:rsid w:val="00E25A11"/>
    <w:pPr>
      <w:spacing w:before="240" w:after="0" w:line="240" w:lineRule="auto"/>
      <w:ind w:left="1021" w:hanging="1021"/>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MediumGrid1-Accent3">
    <w:name w:val="Medium Grid 1 Accent 3"/>
    <w:basedOn w:val="TableNormal"/>
    <w:uiPriority w:val="99"/>
    <w:semiHidden/>
    <w:rsid w:val="00E25A11"/>
    <w:pPr>
      <w:spacing w:before="240" w:after="0" w:line="240" w:lineRule="auto"/>
      <w:ind w:left="1021" w:hanging="1021"/>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ediumGrid1-Accent4">
    <w:name w:val="Medium Grid 1 Accent 4"/>
    <w:basedOn w:val="TableNormal"/>
    <w:uiPriority w:val="99"/>
    <w:semiHidden/>
    <w:rsid w:val="00E25A11"/>
    <w:pPr>
      <w:spacing w:before="240" w:after="0" w:line="240" w:lineRule="auto"/>
      <w:ind w:left="1021" w:hanging="1021"/>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MediumGrid1-Accent5">
    <w:name w:val="Medium Grid 1 Accent 5"/>
    <w:basedOn w:val="TableNormal"/>
    <w:uiPriority w:val="99"/>
    <w:semiHidden/>
    <w:rsid w:val="00E25A11"/>
    <w:pPr>
      <w:spacing w:before="240" w:after="0" w:line="240" w:lineRule="auto"/>
      <w:ind w:left="1021" w:hanging="1021"/>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insideV w:val="single" w:sz="8" w:space="0" w:color="7295D2" w:themeColor="accent5" w:themeTint="BF"/>
      </w:tblBorders>
    </w:tblPr>
    <w:tcPr>
      <w:shd w:val="clear" w:color="auto" w:fill="D0DBF0" w:themeFill="accent5" w:themeFillTint="3F"/>
    </w:tcPr>
    <w:tblStylePr w:type="firstRow">
      <w:rPr>
        <w:b/>
        <w:bCs/>
      </w:rPr>
    </w:tblStylePr>
    <w:tblStylePr w:type="lastRow">
      <w:rPr>
        <w:b/>
        <w:bCs/>
      </w:rPr>
      <w:tblPr/>
      <w:tcPr>
        <w:tcBorders>
          <w:top w:val="single" w:sz="18" w:space="0" w:color="7295D2" w:themeColor="accent5" w:themeTint="BF"/>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MediumGrid1-Accent6">
    <w:name w:val="Medium Grid 1 Accent 6"/>
    <w:basedOn w:val="TableNormal"/>
    <w:uiPriority w:val="99"/>
    <w:semiHidden/>
    <w:rsid w:val="00E25A11"/>
    <w:pPr>
      <w:spacing w:before="240" w:after="0" w:line="240" w:lineRule="auto"/>
      <w:ind w:left="1021" w:hanging="1021"/>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customStyle="1" w:styleId="MediumGrid21">
    <w:name w:val="Medium Grid 21"/>
    <w:basedOn w:val="TableNormal"/>
    <w:uiPriority w:val="99"/>
    <w:semiHidden/>
    <w:rsid w:val="00E25A11"/>
    <w:pPr>
      <w:spacing w:before="240" w:after="0" w:line="240" w:lineRule="auto"/>
      <w:ind w:left="1021" w:hanging="1021"/>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99"/>
    <w:semiHidden/>
    <w:rsid w:val="00E25A11"/>
    <w:pPr>
      <w:spacing w:before="240" w:after="0" w:line="240" w:lineRule="auto"/>
      <w:ind w:left="1021" w:hanging="1021"/>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cPr>
      <w:shd w:val="clear" w:color="auto" w:fill="D6E6F4" w:themeFill="accent1" w:themeFillTint="3F"/>
    </w:tcPr>
    <w:tblStylePr w:type="firstRow">
      <w:rPr>
        <w:b/>
        <w:bCs/>
        <w:color w:val="000000" w:themeColor="text1"/>
      </w:rPr>
      <w:tblPr/>
      <w:tcPr>
        <w:shd w:val="clear" w:color="auto" w:fill="EEF5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1" w:themeFillTint="33"/>
      </w:tcPr>
    </w:tblStylePr>
    <w:tblStylePr w:type="band1Vert">
      <w:tblPr/>
      <w:tcPr>
        <w:shd w:val="clear" w:color="auto" w:fill="ADCCEA" w:themeFill="accent1" w:themeFillTint="7F"/>
      </w:tcPr>
    </w:tblStylePr>
    <w:tblStylePr w:type="band1Horz">
      <w:tblPr/>
      <w:tcPr>
        <w:tcBorders>
          <w:insideH w:val="single" w:sz="6" w:space="0" w:color="5B9BD5" w:themeColor="accent1"/>
          <w:insideV w:val="single" w:sz="6" w:space="0" w:color="5B9BD5" w:themeColor="accent1"/>
        </w:tcBorders>
        <w:shd w:val="clear" w:color="auto" w:fill="ADCCEA"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99"/>
    <w:semiHidden/>
    <w:rsid w:val="00E25A11"/>
    <w:pPr>
      <w:spacing w:before="240" w:after="0" w:line="240" w:lineRule="auto"/>
      <w:ind w:left="1021" w:hanging="1021"/>
    </w:pPr>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99"/>
    <w:semiHidden/>
    <w:rsid w:val="00E25A11"/>
    <w:pPr>
      <w:spacing w:before="240" w:after="0" w:line="240" w:lineRule="auto"/>
      <w:ind w:left="1021" w:hanging="1021"/>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99"/>
    <w:semiHidden/>
    <w:rsid w:val="00E25A11"/>
    <w:pPr>
      <w:spacing w:before="240" w:after="0" w:line="240" w:lineRule="auto"/>
      <w:ind w:left="1021" w:hanging="1021"/>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99"/>
    <w:semiHidden/>
    <w:rsid w:val="00E25A11"/>
    <w:pPr>
      <w:spacing w:before="240" w:after="0" w:line="240" w:lineRule="auto"/>
      <w:ind w:left="1021" w:hanging="1021"/>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cPr>
      <w:shd w:val="clear" w:color="auto" w:fill="D0DBF0" w:themeFill="accent5" w:themeFillTint="3F"/>
    </w:tcPr>
    <w:tblStylePr w:type="firstRow">
      <w:rPr>
        <w:b/>
        <w:bCs/>
        <w:color w:val="000000" w:themeColor="text1"/>
      </w:rPr>
      <w:tblPr/>
      <w:tcPr>
        <w:shd w:val="clear" w:color="auto" w:fill="ECF1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5" w:themeFillTint="33"/>
      </w:tcPr>
    </w:tblStylePr>
    <w:tblStylePr w:type="band1Vert">
      <w:tblPr/>
      <w:tcPr>
        <w:shd w:val="clear" w:color="auto" w:fill="A1B8E1" w:themeFill="accent5" w:themeFillTint="7F"/>
      </w:tcPr>
    </w:tblStylePr>
    <w:tblStylePr w:type="band1Horz">
      <w:tblPr/>
      <w:tcPr>
        <w:tcBorders>
          <w:insideH w:val="single" w:sz="6" w:space="0" w:color="4472C4" w:themeColor="accent5"/>
          <w:insideV w:val="single" w:sz="6" w:space="0" w:color="4472C4" w:themeColor="accent5"/>
        </w:tcBorders>
        <w:shd w:val="clear" w:color="auto" w:fill="A1B8E1"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99"/>
    <w:semiHidden/>
    <w:rsid w:val="00E25A11"/>
    <w:pPr>
      <w:spacing w:before="240" w:after="0" w:line="240" w:lineRule="auto"/>
      <w:ind w:left="1021" w:hanging="1021"/>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customStyle="1" w:styleId="MediumGrid31">
    <w:name w:val="Medium Grid 31"/>
    <w:basedOn w:val="TableNormal"/>
    <w:uiPriority w:val="99"/>
    <w:semiHidden/>
    <w:rsid w:val="00E25A11"/>
    <w:pPr>
      <w:spacing w:before="240" w:after="0" w:line="240" w:lineRule="auto"/>
      <w:ind w:left="1021" w:hanging="1021"/>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99"/>
    <w:semiHidden/>
    <w:rsid w:val="00E25A11"/>
    <w:pPr>
      <w:spacing w:before="240" w:after="0" w:line="240" w:lineRule="auto"/>
      <w:ind w:left="1021" w:hanging="1021"/>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styleId="MediumGrid3-Accent2">
    <w:name w:val="Medium Grid 3 Accent 2"/>
    <w:basedOn w:val="TableNormal"/>
    <w:uiPriority w:val="99"/>
    <w:semiHidden/>
    <w:rsid w:val="00E25A11"/>
    <w:pPr>
      <w:spacing w:before="240" w:after="0" w:line="240" w:lineRule="auto"/>
      <w:ind w:left="1021" w:hanging="1021"/>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MediumGrid3-Accent3">
    <w:name w:val="Medium Grid 3 Accent 3"/>
    <w:basedOn w:val="TableNormal"/>
    <w:uiPriority w:val="99"/>
    <w:semiHidden/>
    <w:rsid w:val="00E25A11"/>
    <w:pPr>
      <w:spacing w:before="240" w:after="0" w:line="240" w:lineRule="auto"/>
      <w:ind w:left="1021" w:hanging="1021"/>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ediumGrid3-Accent4">
    <w:name w:val="Medium Grid 3 Accent 4"/>
    <w:basedOn w:val="TableNormal"/>
    <w:uiPriority w:val="99"/>
    <w:semiHidden/>
    <w:rsid w:val="00E25A11"/>
    <w:pPr>
      <w:spacing w:before="240" w:after="0" w:line="240" w:lineRule="auto"/>
      <w:ind w:left="1021" w:hanging="1021"/>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MediumGrid3-Accent5">
    <w:name w:val="Medium Grid 3 Accent 5"/>
    <w:basedOn w:val="TableNormal"/>
    <w:uiPriority w:val="99"/>
    <w:semiHidden/>
    <w:rsid w:val="00E25A11"/>
    <w:pPr>
      <w:spacing w:before="240" w:after="0" w:line="240" w:lineRule="auto"/>
      <w:ind w:left="1021" w:hanging="1021"/>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styleId="MediumGrid3-Accent6">
    <w:name w:val="Medium Grid 3 Accent 6"/>
    <w:basedOn w:val="TableNormal"/>
    <w:uiPriority w:val="99"/>
    <w:semiHidden/>
    <w:rsid w:val="00E25A11"/>
    <w:pPr>
      <w:spacing w:before="240" w:after="0" w:line="240" w:lineRule="auto"/>
      <w:ind w:left="1021" w:hanging="1021"/>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customStyle="1" w:styleId="MediumList11">
    <w:name w:val="Medium List 11"/>
    <w:basedOn w:val="TableNormal"/>
    <w:uiPriority w:val="99"/>
    <w:semiHidden/>
    <w:rsid w:val="00E25A11"/>
    <w:pPr>
      <w:spacing w:before="240" w:after="0" w:line="240" w:lineRule="auto"/>
      <w:ind w:left="1021" w:hanging="1021"/>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1">
    <w:name w:val="Medium List 1 - Accent 11"/>
    <w:basedOn w:val="TableNormal"/>
    <w:uiPriority w:val="99"/>
    <w:semiHidden/>
    <w:rsid w:val="00E25A11"/>
    <w:pPr>
      <w:spacing w:before="240" w:after="0" w:line="240" w:lineRule="auto"/>
      <w:ind w:left="1021" w:hanging="1021"/>
    </w:pPr>
    <w:rPr>
      <w:color w:val="000000" w:themeColor="text1"/>
    </w:r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styleId="MediumList1-Accent2">
    <w:name w:val="Medium List 1 Accent 2"/>
    <w:basedOn w:val="TableNormal"/>
    <w:uiPriority w:val="99"/>
    <w:semiHidden/>
    <w:rsid w:val="00E25A11"/>
    <w:pPr>
      <w:spacing w:before="240" w:after="0" w:line="240" w:lineRule="auto"/>
      <w:ind w:left="1021" w:hanging="1021"/>
    </w:pPr>
    <w:rPr>
      <w:color w:val="000000" w:themeColor="text1"/>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MediumList1-Accent3">
    <w:name w:val="Medium List 1 Accent 3"/>
    <w:basedOn w:val="TableNormal"/>
    <w:uiPriority w:val="99"/>
    <w:semiHidden/>
    <w:rsid w:val="00E25A11"/>
    <w:pPr>
      <w:spacing w:before="240" w:after="0" w:line="240" w:lineRule="auto"/>
      <w:ind w:left="1021" w:hanging="1021"/>
    </w:pPr>
    <w:rPr>
      <w:color w:val="000000" w:themeColor="text1"/>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ediumList1-Accent4">
    <w:name w:val="Medium List 1 Accent 4"/>
    <w:basedOn w:val="TableNormal"/>
    <w:uiPriority w:val="99"/>
    <w:semiHidden/>
    <w:rsid w:val="00E25A11"/>
    <w:pPr>
      <w:spacing w:before="240" w:after="0" w:line="240" w:lineRule="auto"/>
      <w:ind w:left="1021" w:hanging="1021"/>
    </w:pPr>
    <w:rPr>
      <w:color w:val="000000" w:themeColor="text1"/>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MediumList1-Accent5">
    <w:name w:val="Medium List 1 Accent 5"/>
    <w:basedOn w:val="TableNormal"/>
    <w:uiPriority w:val="99"/>
    <w:semiHidden/>
    <w:rsid w:val="00E25A11"/>
    <w:pPr>
      <w:spacing w:before="240" w:after="0" w:line="240" w:lineRule="auto"/>
      <w:ind w:left="1021" w:hanging="1021"/>
    </w:pPr>
    <w:rPr>
      <w:color w:val="000000" w:themeColor="text1"/>
    </w:rPr>
    <w:tblPr>
      <w:tblStyleRowBandSize w:val="1"/>
      <w:tblStyleColBandSize w:val="1"/>
      <w:tblBorders>
        <w:top w:val="single" w:sz="8" w:space="0" w:color="4472C4" w:themeColor="accent5"/>
        <w:bottom w:val="single" w:sz="8" w:space="0" w:color="4472C4" w:themeColor="accent5"/>
      </w:tblBorders>
    </w:tblPr>
    <w:tblStylePr w:type="firstRow">
      <w:rPr>
        <w:rFonts w:asciiTheme="majorHAnsi" w:eastAsiaTheme="majorEastAsia" w:hAnsiTheme="majorHAnsi" w:cstheme="majorBidi"/>
      </w:rPr>
      <w:tblPr/>
      <w:tcPr>
        <w:tcBorders>
          <w:top w:val="nil"/>
          <w:bottom w:val="single" w:sz="8" w:space="0" w:color="4472C4" w:themeColor="accent5"/>
        </w:tcBorders>
      </w:tcPr>
    </w:tblStylePr>
    <w:tblStylePr w:type="lastRow">
      <w:rPr>
        <w:b/>
        <w:bCs/>
        <w:color w:val="44546A" w:themeColor="text2"/>
      </w:rPr>
      <w:tblPr/>
      <w:tcPr>
        <w:tcBorders>
          <w:top w:val="single" w:sz="8" w:space="0" w:color="4472C4" w:themeColor="accent5"/>
          <w:bottom w:val="single" w:sz="8" w:space="0" w:color="4472C4" w:themeColor="accent5"/>
        </w:tcBorders>
      </w:tcPr>
    </w:tblStylePr>
    <w:tblStylePr w:type="firstCol">
      <w:rPr>
        <w:b/>
        <w:bCs/>
      </w:rPr>
    </w:tblStylePr>
    <w:tblStylePr w:type="lastCol">
      <w:rPr>
        <w:b/>
        <w:bCs/>
      </w:rPr>
      <w:tblPr/>
      <w:tcPr>
        <w:tcBorders>
          <w:top w:val="single" w:sz="8" w:space="0" w:color="4472C4" w:themeColor="accent5"/>
          <w:bottom w:val="single" w:sz="8" w:space="0" w:color="4472C4" w:themeColor="accent5"/>
        </w:tcBorders>
      </w:tcPr>
    </w:tblStylePr>
    <w:tblStylePr w:type="band1Vert">
      <w:tblPr/>
      <w:tcPr>
        <w:shd w:val="clear" w:color="auto" w:fill="D0DBF0" w:themeFill="accent5" w:themeFillTint="3F"/>
      </w:tcPr>
    </w:tblStylePr>
    <w:tblStylePr w:type="band1Horz">
      <w:tblPr/>
      <w:tcPr>
        <w:shd w:val="clear" w:color="auto" w:fill="D0DBF0" w:themeFill="accent5" w:themeFillTint="3F"/>
      </w:tcPr>
    </w:tblStylePr>
  </w:style>
  <w:style w:type="table" w:styleId="MediumList1-Accent6">
    <w:name w:val="Medium List 1 Accent 6"/>
    <w:basedOn w:val="TableNormal"/>
    <w:uiPriority w:val="99"/>
    <w:semiHidden/>
    <w:rsid w:val="00E25A11"/>
    <w:pPr>
      <w:spacing w:before="240" w:after="0" w:line="240" w:lineRule="auto"/>
      <w:ind w:left="1021" w:hanging="1021"/>
    </w:pPr>
    <w:rPr>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customStyle="1" w:styleId="MediumList21">
    <w:name w:val="Medium List 21"/>
    <w:basedOn w:val="TableNormal"/>
    <w:uiPriority w:val="99"/>
    <w:semiHidden/>
    <w:rsid w:val="00E25A11"/>
    <w:pPr>
      <w:spacing w:before="240" w:after="0" w:line="240" w:lineRule="auto"/>
      <w:ind w:left="1021" w:hanging="1021"/>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99"/>
    <w:semiHidden/>
    <w:rsid w:val="00E25A11"/>
    <w:pPr>
      <w:spacing w:before="240" w:after="0" w:line="240" w:lineRule="auto"/>
      <w:ind w:left="1021" w:hanging="1021"/>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99"/>
    <w:semiHidden/>
    <w:rsid w:val="00E25A11"/>
    <w:pPr>
      <w:spacing w:before="240" w:after="0" w:line="240" w:lineRule="auto"/>
      <w:ind w:left="1021" w:hanging="1021"/>
    </w:pPr>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99"/>
    <w:semiHidden/>
    <w:rsid w:val="00E25A11"/>
    <w:pPr>
      <w:spacing w:before="240" w:after="0" w:line="240" w:lineRule="auto"/>
      <w:ind w:left="1021" w:hanging="1021"/>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99"/>
    <w:semiHidden/>
    <w:rsid w:val="00E25A11"/>
    <w:pPr>
      <w:spacing w:before="240" w:after="0" w:line="240" w:lineRule="auto"/>
      <w:ind w:left="1021" w:hanging="1021"/>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8" w:space="0" w:color="FFC0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99"/>
    <w:semiHidden/>
    <w:rsid w:val="00E25A11"/>
    <w:pPr>
      <w:spacing w:before="240" w:after="0" w:line="240" w:lineRule="auto"/>
      <w:ind w:left="1021" w:hanging="1021"/>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rPr>
        <w:sz w:val="24"/>
        <w:szCs w:val="24"/>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tblPr/>
      <w:tcPr>
        <w:tcBorders>
          <w:top w:val="single" w:sz="8" w:space="0" w:color="4472C4"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5"/>
          <w:insideH w:val="nil"/>
          <w:insideV w:val="nil"/>
        </w:tcBorders>
        <w:shd w:val="clear" w:color="auto" w:fill="FFFFFF" w:themeFill="background1"/>
      </w:tcPr>
    </w:tblStylePr>
    <w:tblStylePr w:type="lastCol">
      <w:tblPr/>
      <w:tcPr>
        <w:tcBorders>
          <w:top w:val="nil"/>
          <w:left w:val="single" w:sz="8" w:space="0" w:color="4472C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top w:val="nil"/>
          <w:bottom w:val="nil"/>
          <w:insideH w:val="nil"/>
          <w:insideV w:val="nil"/>
        </w:tcBorders>
        <w:shd w:val="clear" w:color="auto" w:fill="D0DB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99"/>
    <w:semiHidden/>
    <w:rsid w:val="00E25A11"/>
    <w:pPr>
      <w:spacing w:before="240" w:after="0" w:line="240" w:lineRule="auto"/>
      <w:ind w:left="1021" w:hanging="1021"/>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1">
    <w:name w:val="Medium Shading 11"/>
    <w:basedOn w:val="TableNormal"/>
    <w:uiPriority w:val="99"/>
    <w:semiHidden/>
    <w:rsid w:val="00E25A11"/>
    <w:pPr>
      <w:spacing w:before="240" w:after="0" w:line="240" w:lineRule="auto"/>
      <w:ind w:left="1021" w:hanging="1021"/>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1">
    <w:name w:val="Medium Shading 1 - Accent 11"/>
    <w:basedOn w:val="TableNormal"/>
    <w:uiPriority w:val="99"/>
    <w:semiHidden/>
    <w:rsid w:val="00E25A11"/>
    <w:pPr>
      <w:spacing w:before="240" w:after="0" w:line="240" w:lineRule="auto"/>
      <w:ind w:left="1021" w:hanging="1021"/>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99"/>
    <w:semiHidden/>
    <w:rsid w:val="00E25A11"/>
    <w:pPr>
      <w:spacing w:before="240" w:after="0" w:line="240" w:lineRule="auto"/>
      <w:ind w:left="1021" w:hanging="1021"/>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99"/>
    <w:semiHidden/>
    <w:rsid w:val="00E25A11"/>
    <w:pPr>
      <w:spacing w:before="240" w:after="0" w:line="240" w:lineRule="auto"/>
      <w:ind w:left="1021" w:hanging="1021"/>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99"/>
    <w:semiHidden/>
    <w:rsid w:val="00E25A11"/>
    <w:pPr>
      <w:spacing w:before="240" w:after="0" w:line="240" w:lineRule="auto"/>
      <w:ind w:left="1021" w:hanging="1021"/>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99"/>
    <w:semiHidden/>
    <w:rsid w:val="00E25A11"/>
    <w:pPr>
      <w:spacing w:before="240" w:after="0" w:line="240" w:lineRule="auto"/>
      <w:ind w:left="1021" w:hanging="1021"/>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99"/>
    <w:semiHidden/>
    <w:rsid w:val="00E25A11"/>
    <w:pPr>
      <w:spacing w:before="240" w:after="0" w:line="240" w:lineRule="auto"/>
      <w:ind w:left="1021" w:hanging="1021"/>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MediumShading21">
    <w:name w:val="Medium Shading 21"/>
    <w:basedOn w:val="TableNormal"/>
    <w:uiPriority w:val="99"/>
    <w:semiHidden/>
    <w:rsid w:val="00E25A11"/>
    <w:pPr>
      <w:spacing w:before="240" w:after="0" w:line="240" w:lineRule="auto"/>
      <w:ind w:left="1021" w:hanging="1021"/>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99"/>
    <w:semiHidden/>
    <w:rsid w:val="00E25A11"/>
    <w:pPr>
      <w:spacing w:before="240" w:after="0" w:line="240" w:lineRule="auto"/>
      <w:ind w:left="1021" w:hanging="1021"/>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99"/>
    <w:semiHidden/>
    <w:rsid w:val="00E25A11"/>
    <w:pPr>
      <w:spacing w:before="240" w:after="0" w:line="240" w:lineRule="auto"/>
      <w:ind w:left="1021" w:hanging="1021"/>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99"/>
    <w:semiHidden/>
    <w:rsid w:val="00E25A11"/>
    <w:pPr>
      <w:spacing w:before="240" w:after="0" w:line="240" w:lineRule="auto"/>
      <w:ind w:left="1021" w:hanging="1021"/>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99"/>
    <w:semiHidden/>
    <w:rsid w:val="00E25A11"/>
    <w:pPr>
      <w:spacing w:before="240" w:after="0" w:line="240" w:lineRule="auto"/>
      <w:ind w:left="1021" w:hanging="1021"/>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99"/>
    <w:semiHidden/>
    <w:rsid w:val="00E25A11"/>
    <w:pPr>
      <w:spacing w:before="240" w:after="0" w:line="240" w:lineRule="auto"/>
      <w:ind w:left="1021" w:hanging="1021"/>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99"/>
    <w:semiHidden/>
    <w:rsid w:val="00E25A11"/>
    <w:pPr>
      <w:spacing w:before="240" w:after="0" w:line="240" w:lineRule="auto"/>
      <w:ind w:left="1021" w:hanging="1021"/>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ableColorful1">
    <w:name w:val="Table Colorful 1"/>
    <w:basedOn w:val="TableNormal"/>
    <w:uiPriority w:val="99"/>
    <w:semiHidden/>
    <w:rsid w:val="00E25A11"/>
    <w:pPr>
      <w:spacing w:before="240" w:after="0" w:line="240" w:lineRule="auto"/>
      <w:ind w:left="1021" w:hanging="1021"/>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rsid w:val="00E25A11"/>
    <w:pPr>
      <w:spacing w:before="240" w:after="0" w:line="240" w:lineRule="auto"/>
      <w:ind w:left="1021" w:hanging="1021"/>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rsid w:val="00E25A11"/>
    <w:pPr>
      <w:spacing w:before="240" w:after="0" w:line="240" w:lineRule="auto"/>
      <w:ind w:left="1021" w:hanging="1021"/>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Grid10">
    <w:name w:val="Table Grid 1"/>
    <w:basedOn w:val="TableNormal"/>
    <w:uiPriority w:val="99"/>
    <w:semiHidden/>
    <w:rsid w:val="00E25A11"/>
    <w:pPr>
      <w:spacing w:before="240" w:after="0" w:line="240" w:lineRule="auto"/>
      <w:ind w:left="1021" w:hanging="1021"/>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0">
    <w:name w:val="Table Grid 2"/>
    <w:basedOn w:val="TableNormal"/>
    <w:uiPriority w:val="99"/>
    <w:semiHidden/>
    <w:rsid w:val="00E25A11"/>
    <w:pPr>
      <w:spacing w:before="240" w:after="0" w:line="240" w:lineRule="auto"/>
      <w:ind w:left="1021" w:hanging="1021"/>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rsid w:val="00E25A11"/>
    <w:pPr>
      <w:spacing w:before="240" w:after="0" w:line="240" w:lineRule="auto"/>
      <w:ind w:left="1021" w:hanging="1021"/>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rsid w:val="00E25A11"/>
    <w:pPr>
      <w:spacing w:before="240" w:after="0" w:line="240" w:lineRule="auto"/>
      <w:ind w:left="1021" w:hanging="1021"/>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rsid w:val="00E25A11"/>
    <w:pPr>
      <w:spacing w:before="240" w:after="0" w:line="240" w:lineRule="auto"/>
      <w:ind w:left="1021" w:hanging="1021"/>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rsid w:val="00E25A11"/>
    <w:pPr>
      <w:spacing w:before="240" w:after="0" w:line="240" w:lineRule="auto"/>
      <w:ind w:left="1021" w:hanging="1021"/>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rsid w:val="00E25A11"/>
    <w:pPr>
      <w:spacing w:before="240" w:after="0" w:line="240" w:lineRule="auto"/>
      <w:ind w:left="1021" w:hanging="1021"/>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rsid w:val="00E25A11"/>
    <w:pPr>
      <w:spacing w:before="240" w:after="0" w:line="240" w:lineRule="auto"/>
      <w:ind w:left="1021" w:hanging="1021"/>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FigurecaptionCharChar">
    <w:name w:val="Figure caption Char Char"/>
    <w:basedOn w:val="DefaultParagraphFont"/>
    <w:link w:val="Figurecaption"/>
    <w:uiPriority w:val="10"/>
    <w:locked/>
    <w:rsid w:val="00E25A11"/>
    <w:rPr>
      <w:rFonts w:ascii="Calibri" w:hAnsi="Calibri"/>
      <w:b/>
      <w:bCs/>
      <w:color w:val="000000" w:themeColor="text1"/>
      <w:sz w:val="18"/>
      <w:szCs w:val="18"/>
    </w:rPr>
  </w:style>
  <w:style w:type="paragraph" w:customStyle="1" w:styleId="Reference">
    <w:name w:val="Reference"/>
    <w:basedOn w:val="BodyText"/>
    <w:uiPriority w:val="20"/>
    <w:rsid w:val="00E25A11"/>
    <w:pPr>
      <w:spacing w:before="360" w:after="360"/>
      <w:jc w:val="both"/>
    </w:pPr>
    <w:rPr>
      <w:bCs/>
      <w:noProof/>
      <w:color w:val="222A35" w:themeColor="text2" w:themeShade="80"/>
    </w:rPr>
  </w:style>
  <w:style w:type="paragraph" w:customStyle="1" w:styleId="Bodytext-Quote">
    <w:name w:val="Body text - Quote"/>
    <w:basedOn w:val="BodyText"/>
    <w:next w:val="BodyText"/>
    <w:qFormat/>
    <w:rsid w:val="00E25A11"/>
    <w:pPr>
      <w:spacing w:before="0" w:after="0"/>
      <w:ind w:left="567" w:right="567"/>
      <w:jc w:val="both"/>
    </w:pPr>
    <w:rPr>
      <w:bCs/>
      <w:color w:val="222A35" w:themeColor="text2" w:themeShade="80"/>
    </w:rPr>
  </w:style>
  <w:style w:type="character" w:customStyle="1" w:styleId="BCRchartsChar">
    <w:name w:val="BCR charts Char"/>
    <w:aliases w:val="tables and figures heading Char"/>
    <w:basedOn w:val="H2Char"/>
    <w:link w:val="BCRcharts"/>
    <w:rsid w:val="00E25A11"/>
    <w:rPr>
      <w:rFonts w:ascii="Cambria" w:eastAsiaTheme="majorEastAsia" w:hAnsi="Cambria" w:cstheme="majorBidi"/>
      <w:b/>
      <w:bCs/>
      <w:color w:val="ED7D31" w:themeColor="accent2"/>
      <w:sz w:val="26"/>
      <w:szCs w:val="26"/>
    </w:rPr>
  </w:style>
  <w:style w:type="paragraph" w:customStyle="1" w:styleId="DBCDElogo">
    <w:name w:val="DBCDE logo"/>
    <w:basedOn w:val="Normal"/>
    <w:next w:val="BodyText"/>
    <w:semiHidden/>
    <w:qFormat/>
    <w:rsid w:val="00E25A11"/>
    <w:pPr>
      <w:spacing w:before="240" w:after="0"/>
      <w:jc w:val="center"/>
    </w:pPr>
    <w:rPr>
      <w:rFonts w:ascii="Calibri" w:hAnsi="Calibri"/>
      <w:noProof/>
      <w:lang w:eastAsia="en-AU"/>
    </w:rPr>
  </w:style>
  <w:style w:type="character" w:customStyle="1" w:styleId="Instructionaltext">
    <w:name w:val="Instructional text"/>
    <w:basedOn w:val="DefaultParagraphFont"/>
    <w:uiPriority w:val="59"/>
    <w:rsid w:val="00E25A11"/>
    <w:rPr>
      <w:i/>
      <w:color w:val="4472C4" w:themeColor="accent5"/>
    </w:rPr>
  </w:style>
  <w:style w:type="paragraph" w:customStyle="1" w:styleId="Instructionaltext-Numberedlist">
    <w:name w:val="Instructional text - Numbered list"/>
    <w:basedOn w:val="Normal"/>
    <w:uiPriority w:val="59"/>
    <w:rsid w:val="00E25A11"/>
    <w:pPr>
      <w:numPr>
        <w:numId w:val="23"/>
      </w:numPr>
      <w:spacing w:before="240"/>
    </w:pPr>
    <w:rPr>
      <w:rFonts w:ascii="Calibri" w:hAnsi="Calibri"/>
      <w:i/>
      <w:color w:val="4472C4" w:themeColor="accent5"/>
    </w:rPr>
  </w:style>
  <w:style w:type="character" w:customStyle="1" w:styleId="Exampletext">
    <w:name w:val="Example text"/>
    <w:basedOn w:val="DefaultParagraphFont"/>
    <w:uiPriority w:val="60"/>
    <w:rsid w:val="00E25A11"/>
    <w:rPr>
      <w:color w:val="1F4E79" w:themeColor="accent1" w:themeShade="80"/>
    </w:rPr>
  </w:style>
  <w:style w:type="paragraph" w:customStyle="1" w:styleId="Documenttype">
    <w:name w:val="Document type"/>
    <w:basedOn w:val="Normal"/>
    <w:uiPriority w:val="17"/>
    <w:qFormat/>
    <w:rsid w:val="00E25A11"/>
    <w:pPr>
      <w:spacing w:before="120" w:after="0"/>
      <w:jc w:val="right"/>
    </w:pPr>
    <w:rPr>
      <w:rFonts w:ascii="Cambria" w:eastAsia="Times New Roman" w:hAnsi="Cambria" w:cs="Times New Roman"/>
      <w:b/>
      <w:color w:val="44546A" w:themeColor="text2"/>
      <w:kern w:val="28"/>
      <w:sz w:val="24"/>
      <w:szCs w:val="52"/>
    </w:rPr>
  </w:style>
  <w:style w:type="paragraph" w:customStyle="1" w:styleId="DotPoint2">
    <w:name w:val="Dot Point 2"/>
    <w:basedOn w:val="ListParagraph"/>
    <w:link w:val="DotPoint2Char"/>
    <w:rsid w:val="00E25A11"/>
    <w:pPr>
      <w:spacing w:after="120"/>
      <w:ind w:left="1080" w:hanging="360"/>
      <w:contextualSpacing w:val="0"/>
    </w:pPr>
    <w:rPr>
      <w:rFonts w:ascii="Calibri" w:hAnsi="Calibri"/>
    </w:rPr>
  </w:style>
  <w:style w:type="paragraph" w:customStyle="1" w:styleId="DotPoint3">
    <w:name w:val="Dot Point 3"/>
    <w:basedOn w:val="ListParagraph"/>
    <w:rsid w:val="00E25A11"/>
    <w:pPr>
      <w:tabs>
        <w:tab w:val="num" w:pos="360"/>
      </w:tabs>
      <w:spacing w:before="240" w:after="120"/>
      <w:ind w:left="1800" w:hanging="180"/>
      <w:contextualSpacing w:val="0"/>
    </w:pPr>
    <w:rPr>
      <w:rFonts w:eastAsia="Times New Roman" w:cstheme="minorHAnsi"/>
    </w:rPr>
  </w:style>
  <w:style w:type="character" w:customStyle="1" w:styleId="DotPoint2Char">
    <w:name w:val="Dot Point 2 Char"/>
    <w:basedOn w:val="ListParagraphChar"/>
    <w:link w:val="DotPoint2"/>
    <w:rsid w:val="00E25A11"/>
    <w:rPr>
      <w:rFonts w:ascii="Calibri" w:hAnsi="Calibri"/>
    </w:rPr>
  </w:style>
  <w:style w:type="paragraph" w:styleId="Revision">
    <w:name w:val="Revision"/>
    <w:hidden/>
    <w:uiPriority w:val="99"/>
    <w:semiHidden/>
    <w:rsid w:val="00E25A11"/>
    <w:pPr>
      <w:spacing w:after="0" w:line="240" w:lineRule="auto"/>
    </w:pPr>
    <w:rPr>
      <w:rFonts w:ascii="Calibri" w:hAnsi="Calibri"/>
    </w:rPr>
  </w:style>
  <w:style w:type="paragraph" w:customStyle="1" w:styleId="Boxsub-headingQUESTION">
    <w:name w:val="Box sub-heading QUESTION"/>
    <w:basedOn w:val="Boxsub-heading"/>
    <w:next w:val="BoxtextQUESTION"/>
    <w:qFormat/>
    <w:rsid w:val="00E25A11"/>
    <w:pPr>
      <w:pBdr>
        <w:top w:val="single" w:sz="4" w:space="8" w:color="005491"/>
        <w:left w:val="single" w:sz="4" w:space="8" w:color="005491"/>
        <w:bottom w:val="single" w:sz="4" w:space="8" w:color="005491"/>
        <w:right w:val="single" w:sz="4" w:space="0" w:color="005491"/>
      </w:pBdr>
      <w:shd w:val="clear" w:color="auto" w:fill="A5A5A5" w:themeFill="accent3"/>
    </w:pPr>
    <w:rPr>
      <w:color w:val="222A35" w:themeColor="text2" w:themeShade="80"/>
    </w:rPr>
  </w:style>
  <w:style w:type="paragraph" w:customStyle="1" w:styleId="BoxtextQUESTION">
    <w:name w:val="Box text QUESTION"/>
    <w:basedOn w:val="Boxtext"/>
    <w:qFormat/>
    <w:rsid w:val="00E25A11"/>
    <w:pPr>
      <w:pBdr>
        <w:top w:val="single" w:sz="4" w:space="8" w:color="808080" w:themeColor="background1" w:themeShade="80"/>
        <w:left w:val="single" w:sz="4" w:space="8" w:color="808080" w:themeColor="background1" w:themeShade="80"/>
        <w:bottom w:val="single" w:sz="4" w:space="8" w:color="808080" w:themeColor="background1" w:themeShade="80"/>
        <w:right w:val="single" w:sz="4" w:space="0" w:color="808080" w:themeColor="background1" w:themeShade="80"/>
      </w:pBdr>
      <w:shd w:val="clear" w:color="auto" w:fill="F3F5F4"/>
    </w:pPr>
    <w:rPr>
      <w:b/>
    </w:rPr>
  </w:style>
  <w:style w:type="paragraph" w:customStyle="1" w:styleId="BoxtextQUESTIONITALICS">
    <w:name w:val="Box text QUESTION ITALICS"/>
    <w:basedOn w:val="BoxtextQUESTION"/>
    <w:qFormat/>
    <w:rsid w:val="00E25A11"/>
    <w:rPr>
      <w:b w:val="0"/>
      <w:i/>
    </w:rPr>
  </w:style>
  <w:style w:type="character" w:customStyle="1" w:styleId="TitleheadingChar">
    <w:name w:val="Title heading Char"/>
    <w:basedOn w:val="BodyTextChar"/>
    <w:link w:val="Titleheading"/>
    <w:uiPriority w:val="15"/>
    <w:rsid w:val="00E25A11"/>
    <w:rPr>
      <w:rFonts w:ascii="Calibri" w:hAnsi="Calibri"/>
      <w:color w:val="005391"/>
      <w:sz w:val="60"/>
    </w:rPr>
  </w:style>
  <w:style w:type="paragraph" w:customStyle="1" w:styleId="HeaderTitle">
    <w:name w:val="Header Title"/>
    <w:basedOn w:val="Bodytext-Indent"/>
    <w:autoRedefine/>
    <w:qFormat/>
    <w:rsid w:val="00E25A11"/>
    <w:pPr>
      <w:jc w:val="right"/>
    </w:pPr>
  </w:style>
  <w:style w:type="table" w:customStyle="1" w:styleId="GridTable4-Accent51">
    <w:name w:val="Grid Table 4 - Accent 51"/>
    <w:basedOn w:val="TableNormal"/>
    <w:uiPriority w:val="49"/>
    <w:rsid w:val="00E25A11"/>
    <w:pPr>
      <w:spacing w:before="240" w:after="0" w:line="240" w:lineRule="auto"/>
      <w:ind w:left="1021" w:hanging="1021"/>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5Dark1">
    <w:name w:val="Grid Table 5 Dark1"/>
    <w:basedOn w:val="TableNormal"/>
    <w:uiPriority w:val="50"/>
    <w:rsid w:val="00E25A11"/>
    <w:pPr>
      <w:spacing w:before="240" w:after="0" w:line="240" w:lineRule="auto"/>
      <w:ind w:left="1021" w:hanging="1021"/>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21">
    <w:name w:val="Grid Table 5 Dark - Accent 21"/>
    <w:basedOn w:val="TableNormal"/>
    <w:uiPriority w:val="50"/>
    <w:rsid w:val="00E25A11"/>
    <w:pPr>
      <w:spacing w:before="240" w:after="0" w:line="240" w:lineRule="auto"/>
      <w:ind w:left="1021" w:hanging="1021"/>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GridTable4-Accent41">
    <w:name w:val="Grid Table 4 - Accent 41"/>
    <w:basedOn w:val="TableNormal"/>
    <w:uiPriority w:val="49"/>
    <w:rsid w:val="00E25A11"/>
    <w:pPr>
      <w:spacing w:before="240" w:after="0" w:line="240" w:lineRule="auto"/>
      <w:ind w:left="1021" w:hanging="1021"/>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41">
    <w:name w:val="Grid Table 41"/>
    <w:basedOn w:val="TableNormal"/>
    <w:uiPriority w:val="49"/>
    <w:rsid w:val="00E25A11"/>
    <w:pPr>
      <w:spacing w:before="240" w:after="0" w:line="240" w:lineRule="auto"/>
      <w:ind w:left="1021" w:hanging="1021"/>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H3">
    <w:name w:val="H3"/>
    <w:basedOn w:val="Heading3"/>
    <w:qFormat/>
    <w:rsid w:val="00E25A11"/>
    <w:pPr>
      <w:keepLines/>
      <w:spacing w:before="200"/>
    </w:pPr>
    <w:rPr>
      <w:rFonts w:ascii="Cambria" w:hAnsi="Cambria"/>
      <w:b w:val="0"/>
      <w:bCs/>
      <w:color w:val="ED7D31" w:themeColor="accent2"/>
      <w:sz w:val="28"/>
      <w:szCs w:val="22"/>
    </w:rPr>
  </w:style>
  <w:style w:type="numbering" w:customStyle="1" w:styleId="Style1">
    <w:name w:val="Style1"/>
    <w:uiPriority w:val="99"/>
    <w:rsid w:val="00E25A11"/>
    <w:pPr>
      <w:numPr>
        <w:numId w:val="29"/>
      </w:numPr>
    </w:pPr>
  </w:style>
  <w:style w:type="paragraph" w:customStyle="1" w:styleId="BCRReporttitle">
    <w:name w:val="BCR Report title"/>
    <w:basedOn w:val="Normal"/>
    <w:qFormat/>
    <w:rsid w:val="00E25A11"/>
    <w:pPr>
      <w:keepNext/>
      <w:keepLines/>
      <w:spacing w:after="120"/>
      <w:outlineLvl w:val="0"/>
    </w:pPr>
    <w:rPr>
      <w:rFonts w:ascii="Calibri" w:eastAsia="Times New Roman" w:hAnsi="Calibri" w:cs="Times New Roman"/>
      <w:b/>
      <w:bCs/>
      <w:color w:val="0E293A"/>
      <w:sz w:val="60"/>
      <w:szCs w:val="48"/>
    </w:rPr>
  </w:style>
  <w:style w:type="paragraph" w:customStyle="1" w:styleId="BCRsubhead">
    <w:name w:val="BCR sub head"/>
    <w:basedOn w:val="Normal"/>
    <w:qFormat/>
    <w:rsid w:val="00E25A11"/>
    <w:pPr>
      <w:keepNext/>
      <w:keepLines/>
      <w:spacing w:after="120"/>
    </w:pPr>
    <w:rPr>
      <w:rFonts w:ascii="Calibri" w:eastAsia="Times New Roman" w:hAnsi="Calibri" w:cs="Times New Roman"/>
      <w:bCs/>
      <w:color w:val="AA0F14"/>
      <w:sz w:val="40"/>
      <w:szCs w:val="48"/>
    </w:rPr>
  </w:style>
  <w:style w:type="paragraph" w:customStyle="1" w:styleId="BCRBodytext">
    <w:name w:val="BCR Body text"/>
    <w:link w:val="BCRBodytextChar"/>
    <w:rsid w:val="00E25A11"/>
    <w:pPr>
      <w:spacing w:before="120" w:after="0" w:line="240" w:lineRule="auto"/>
    </w:pPr>
    <w:rPr>
      <w:rFonts w:ascii="Calibri" w:hAnsi="Calibri"/>
    </w:rPr>
  </w:style>
  <w:style w:type="character" w:customStyle="1" w:styleId="BCRBodytextChar">
    <w:name w:val="BCR Body text Char"/>
    <w:basedOn w:val="DefaultParagraphFont"/>
    <w:link w:val="BCRBodytext"/>
    <w:rsid w:val="00E25A11"/>
    <w:rPr>
      <w:rFonts w:ascii="Calibri" w:hAnsi="Calibri"/>
    </w:rPr>
  </w:style>
  <w:style w:type="table" w:customStyle="1" w:styleId="LightList-Accent111">
    <w:name w:val="Light List - Accent 111"/>
    <w:basedOn w:val="TableNormal"/>
    <w:uiPriority w:val="61"/>
    <w:rsid w:val="00E25A11"/>
    <w:pPr>
      <w:spacing w:before="240" w:after="0" w:line="240" w:lineRule="auto"/>
      <w:ind w:left="1021" w:hanging="1021"/>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paragraph" w:customStyle="1" w:styleId="Versionhistory">
    <w:name w:val="Version history"/>
    <w:basedOn w:val="Normal"/>
    <w:link w:val="VersionhistoryChar"/>
    <w:qFormat/>
    <w:rsid w:val="00E25A11"/>
    <w:pPr>
      <w:spacing w:before="360"/>
      <w:outlineLvl w:val="1"/>
    </w:pPr>
    <w:rPr>
      <w:rFonts w:ascii="Calibri" w:hAnsi="Calibri"/>
      <w:color w:val="AA0F14"/>
      <w:sz w:val="36"/>
      <w:szCs w:val="32"/>
    </w:rPr>
  </w:style>
  <w:style w:type="paragraph" w:customStyle="1" w:styleId="Doccontrolsheet">
    <w:name w:val="Doc control sheet"/>
    <w:basedOn w:val="Normal"/>
    <w:link w:val="DoccontrolsheetChar"/>
    <w:qFormat/>
    <w:rsid w:val="00E25A11"/>
    <w:pPr>
      <w:spacing w:before="480" w:after="0" w:line="360" w:lineRule="auto"/>
      <w:ind w:left="1021" w:hanging="1021"/>
      <w:outlineLvl w:val="0"/>
    </w:pPr>
    <w:rPr>
      <w:rFonts w:ascii="Calibri" w:hAnsi="Calibri"/>
      <w:b/>
      <w:color w:val="AA0F14"/>
      <w:sz w:val="40"/>
      <w:szCs w:val="32"/>
    </w:rPr>
  </w:style>
  <w:style w:type="character" w:customStyle="1" w:styleId="VersionhistoryChar">
    <w:name w:val="Version history Char"/>
    <w:basedOn w:val="DefaultParagraphFont"/>
    <w:link w:val="Versionhistory"/>
    <w:rsid w:val="00E25A11"/>
    <w:rPr>
      <w:rFonts w:ascii="Calibri" w:hAnsi="Calibri"/>
      <w:color w:val="AA0F14"/>
      <w:sz w:val="36"/>
      <w:szCs w:val="32"/>
    </w:rPr>
  </w:style>
  <w:style w:type="character" w:customStyle="1" w:styleId="DoccontrolsheetChar">
    <w:name w:val="Doc control sheet Char"/>
    <w:basedOn w:val="DefaultParagraphFont"/>
    <w:link w:val="Doccontrolsheet"/>
    <w:rsid w:val="00E25A11"/>
    <w:rPr>
      <w:rFonts w:ascii="Calibri" w:hAnsi="Calibri"/>
      <w:b/>
      <w:color w:val="AA0F14"/>
      <w:sz w:val="40"/>
      <w:szCs w:val="32"/>
    </w:rPr>
  </w:style>
  <w:style w:type="table" w:customStyle="1" w:styleId="ListTable31">
    <w:name w:val="List Table 31"/>
    <w:basedOn w:val="TableNormal"/>
    <w:uiPriority w:val="48"/>
    <w:rsid w:val="00E25A11"/>
    <w:pPr>
      <w:spacing w:before="240" w:after="0" w:line="240" w:lineRule="auto"/>
      <w:ind w:left="1021" w:hanging="1021"/>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Bodybullet-Level3">
    <w:name w:val="Body bullet - Level 3"/>
    <w:basedOn w:val="Normal"/>
    <w:uiPriority w:val="1"/>
    <w:qFormat/>
    <w:rsid w:val="00E25A11"/>
    <w:pPr>
      <w:numPr>
        <w:numId w:val="30"/>
      </w:numPr>
      <w:spacing w:before="120" w:after="180"/>
    </w:pPr>
    <w:rPr>
      <w:rFonts w:ascii="Calibri" w:hAnsi="Calibri"/>
      <w:color w:val="222A35" w:themeColor="text2" w:themeShade="80"/>
    </w:rPr>
  </w:style>
  <w:style w:type="paragraph" w:customStyle="1" w:styleId="Chartandfiguresheading">
    <w:name w:val="Chart and figures heading"/>
    <w:basedOn w:val="H2"/>
    <w:next w:val="BodyText"/>
    <w:link w:val="ChartandfiguresheadingChar"/>
    <w:qFormat/>
    <w:rsid w:val="00E25A11"/>
    <w:pPr>
      <w:spacing w:before="240" w:after="200"/>
    </w:pPr>
    <w:rPr>
      <w:b/>
      <w:sz w:val="26"/>
    </w:rPr>
  </w:style>
  <w:style w:type="character" w:customStyle="1" w:styleId="ChartandfiguresheadingChar">
    <w:name w:val="Chart and figures heading Char"/>
    <w:basedOn w:val="H2Char"/>
    <w:link w:val="Chartandfiguresheading"/>
    <w:rsid w:val="00E25A11"/>
    <w:rPr>
      <w:rFonts w:ascii="Cambria" w:eastAsiaTheme="majorEastAsia" w:hAnsi="Cambria" w:cstheme="majorBidi"/>
      <w:b/>
      <w:bCs/>
      <w:color w:val="ED7D31" w:themeColor="accent2"/>
      <w:sz w:val="26"/>
      <w:szCs w:val="26"/>
    </w:rPr>
  </w:style>
  <w:style w:type="character" w:customStyle="1" w:styleId="apple-converted-space">
    <w:name w:val="apple-converted-space"/>
    <w:basedOn w:val="DefaultParagraphFont"/>
    <w:rsid w:val="00E25A11"/>
  </w:style>
  <w:style w:type="paragraph" w:customStyle="1" w:styleId="BCRbodybold">
    <w:name w:val="BCR body bold"/>
    <w:basedOn w:val="BodyText"/>
    <w:qFormat/>
    <w:rsid w:val="00E25A11"/>
    <w:pPr>
      <w:spacing w:before="160" w:after="160" w:line="259" w:lineRule="auto"/>
      <w:jc w:val="both"/>
    </w:pPr>
    <w:rPr>
      <w:rFonts w:asciiTheme="minorHAnsi" w:hAnsiTheme="minorHAnsi"/>
      <w:b/>
      <w:bCs/>
      <w:color w:val="000000" w:themeColor="text1"/>
    </w:rPr>
  </w:style>
  <w:style w:type="paragraph" w:customStyle="1" w:styleId="Figure">
    <w:name w:val="Figure"/>
    <w:basedOn w:val="BodyText"/>
    <w:rsid w:val="000C30DA"/>
    <w:pPr>
      <w:keepNext/>
      <w:spacing w:before="120" w:after="120" w:line="240" w:lineRule="atLeast"/>
      <w:jc w:val="center"/>
    </w:pPr>
    <w:rPr>
      <w:rFonts w:ascii="Times New Roman" w:eastAsia="Times New Roman" w:hAnsi="Times New Roman" w:cs="Times New Roman"/>
      <w:sz w:val="24"/>
      <w:szCs w:val="20"/>
      <w:lang w:eastAsia="en-AU"/>
    </w:rPr>
  </w:style>
  <w:style w:type="paragraph" w:customStyle="1" w:styleId="TableBodyText">
    <w:name w:val="Table Body Text"/>
    <w:basedOn w:val="BodyText"/>
    <w:rsid w:val="000C30DA"/>
    <w:pPr>
      <w:keepNext/>
      <w:keepLines/>
      <w:spacing w:before="0" w:after="40" w:line="200" w:lineRule="atLeast"/>
      <w:ind w:left="6" w:right="113"/>
      <w:jc w:val="right"/>
    </w:pPr>
    <w:rPr>
      <w:rFonts w:ascii="Arial" w:eastAsia="Times New Roman" w:hAnsi="Arial" w:cs="Times New Roman"/>
      <w:sz w:val="18"/>
      <w:szCs w:val="20"/>
      <w:lang w:eastAsia="en-AU"/>
    </w:rPr>
  </w:style>
  <w:style w:type="character" w:customStyle="1" w:styleId="Hyperlink1">
    <w:name w:val="Hyperlink1"/>
    <w:basedOn w:val="DefaultParagraphFont"/>
    <w:uiPriority w:val="99"/>
    <w:unhideWhenUsed/>
    <w:rsid w:val="000C30DA"/>
    <w:rPr>
      <w:color w:val="AB0F14"/>
      <w:u w:val="single"/>
    </w:rPr>
  </w:style>
  <w:style w:type="character" w:customStyle="1" w:styleId="selectable">
    <w:name w:val="selectable"/>
    <w:basedOn w:val="DefaultParagraphFont"/>
    <w:rsid w:val="000C30DA"/>
  </w:style>
  <w:style w:type="character" w:customStyle="1" w:styleId="Style1Char">
    <w:name w:val="Style1 Char"/>
    <w:basedOn w:val="DefaultParagraphFont"/>
    <w:rsid w:val="000C30DA"/>
    <w:rPr>
      <w:shd w:val="clear" w:color="auto" w:fill="DEEAF6" w:themeFill="accent1" w:themeFillTint="33"/>
    </w:rPr>
  </w:style>
  <w:style w:type="paragraph" w:customStyle="1" w:styleId="NoteSource">
    <w:name w:val="Note/Source"/>
    <w:basedOn w:val="Caption"/>
    <w:link w:val="NoteSourceChar"/>
    <w:qFormat/>
    <w:rsid w:val="00870DD3"/>
    <w:pPr>
      <w:keepNext/>
      <w:spacing w:before="60"/>
    </w:pPr>
    <w:rPr>
      <w:i w:val="0"/>
      <w:color w:val="07478C"/>
      <w:sz w:val="20"/>
    </w:rPr>
  </w:style>
  <w:style w:type="character" w:customStyle="1" w:styleId="CaptionChar">
    <w:name w:val="Caption Char"/>
    <w:aliases w:val="Resp caption Char,SA Caption Char,Table/Figure Heading Char,Collis Bijschrift Char"/>
    <w:basedOn w:val="DefaultParagraphFont"/>
    <w:link w:val="Caption"/>
    <w:uiPriority w:val="35"/>
    <w:rsid w:val="000C30DA"/>
    <w:rPr>
      <w:i/>
      <w:iCs/>
      <w:color w:val="5B9BD5" w:themeColor="accent1"/>
      <w:szCs w:val="18"/>
    </w:rPr>
  </w:style>
  <w:style w:type="character" w:customStyle="1" w:styleId="NoteSourceChar">
    <w:name w:val="Note/Source Char"/>
    <w:basedOn w:val="CaptionChar"/>
    <w:link w:val="NoteSource"/>
    <w:rsid w:val="00870DD3"/>
    <w:rPr>
      <w:i w:val="0"/>
      <w:iCs/>
      <w:color w:val="07478C"/>
      <w:sz w:val="20"/>
      <w:szCs w:val="18"/>
    </w:rPr>
  </w:style>
  <w:style w:type="paragraph" w:customStyle="1" w:styleId="11BCRhead">
    <w:name w:val="1.1 BCR head"/>
    <w:basedOn w:val="Normal"/>
    <w:qFormat/>
    <w:rsid w:val="000C30DA"/>
    <w:pPr>
      <w:spacing w:before="240" w:after="120"/>
      <w:ind w:left="454" w:hanging="454"/>
    </w:pPr>
    <w:rPr>
      <w:rFonts w:ascii="Calibri" w:hAnsi="Calibri"/>
      <w:b/>
      <w:color w:val="AA0F14"/>
      <w:sz w:val="32"/>
      <w:szCs w:val="32"/>
    </w:rPr>
  </w:style>
  <w:style w:type="table" w:styleId="MediumShading2-Accent1">
    <w:name w:val="Medium Shading 2 Accent 1"/>
    <w:basedOn w:val="TableNormal"/>
    <w:uiPriority w:val="64"/>
    <w:rsid w:val="000C30DA"/>
    <w:pPr>
      <w:spacing w:after="0" w:line="240" w:lineRule="auto"/>
    </w:pPr>
    <w:rPr>
      <w:lang w:val="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ridTable3-Accent1">
    <w:name w:val="Grid Table 3 Accent 1"/>
    <w:basedOn w:val="TableNormal"/>
    <w:uiPriority w:val="48"/>
    <w:rsid w:val="000C30DA"/>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paragraph" w:customStyle="1" w:styleId="Bullets">
    <w:name w:val="Bullets"/>
    <w:basedOn w:val="ListParagraph"/>
    <w:qFormat/>
    <w:rsid w:val="000C30DA"/>
    <w:pPr>
      <w:numPr>
        <w:numId w:val="31"/>
      </w:numPr>
      <w:spacing w:after="120" w:line="259" w:lineRule="auto"/>
      <w:ind w:left="714" w:hanging="357"/>
      <w:contextualSpacing w:val="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5908669">
      <w:bodyDiv w:val="1"/>
      <w:marLeft w:val="0"/>
      <w:marRight w:val="0"/>
      <w:marTop w:val="0"/>
      <w:marBottom w:val="0"/>
      <w:divBdr>
        <w:top w:val="none" w:sz="0" w:space="0" w:color="auto"/>
        <w:left w:val="none" w:sz="0" w:space="0" w:color="auto"/>
        <w:bottom w:val="none" w:sz="0" w:space="0" w:color="auto"/>
        <w:right w:val="none" w:sz="0" w:space="0" w:color="auto"/>
      </w:divBdr>
      <w:divsChild>
        <w:div w:id="366873104">
          <w:marLeft w:val="547"/>
          <w:marRight w:val="0"/>
          <w:marTop w:val="154"/>
          <w:marBottom w:val="0"/>
          <w:divBdr>
            <w:top w:val="none" w:sz="0" w:space="0" w:color="auto"/>
            <w:left w:val="none" w:sz="0" w:space="0" w:color="auto"/>
            <w:bottom w:val="none" w:sz="0" w:space="0" w:color="auto"/>
            <w:right w:val="none" w:sz="0" w:space="0" w:color="auto"/>
          </w:divBdr>
        </w:div>
        <w:div w:id="96563302">
          <w:marLeft w:val="547"/>
          <w:marRight w:val="0"/>
          <w:marTop w:val="154"/>
          <w:marBottom w:val="0"/>
          <w:divBdr>
            <w:top w:val="none" w:sz="0" w:space="0" w:color="auto"/>
            <w:left w:val="none" w:sz="0" w:space="0" w:color="auto"/>
            <w:bottom w:val="none" w:sz="0" w:space="0" w:color="auto"/>
            <w:right w:val="none" w:sz="0" w:space="0" w:color="auto"/>
          </w:divBdr>
        </w:div>
      </w:divsChild>
    </w:div>
    <w:div w:id="596520184">
      <w:bodyDiv w:val="1"/>
      <w:marLeft w:val="0"/>
      <w:marRight w:val="0"/>
      <w:marTop w:val="0"/>
      <w:marBottom w:val="0"/>
      <w:divBdr>
        <w:top w:val="none" w:sz="0" w:space="0" w:color="auto"/>
        <w:left w:val="none" w:sz="0" w:space="0" w:color="auto"/>
        <w:bottom w:val="none" w:sz="0" w:space="0" w:color="auto"/>
        <w:right w:val="none" w:sz="0" w:space="0" w:color="auto"/>
      </w:divBdr>
    </w:div>
    <w:div w:id="1437208630">
      <w:bodyDiv w:val="1"/>
      <w:marLeft w:val="0"/>
      <w:marRight w:val="0"/>
      <w:marTop w:val="0"/>
      <w:marBottom w:val="0"/>
      <w:divBdr>
        <w:top w:val="none" w:sz="0" w:space="0" w:color="auto"/>
        <w:left w:val="none" w:sz="0" w:space="0" w:color="auto"/>
        <w:bottom w:val="none" w:sz="0" w:space="0" w:color="auto"/>
        <w:right w:val="none" w:sz="0" w:space="0" w:color="auto"/>
      </w:divBdr>
      <w:divsChild>
        <w:div w:id="477377916">
          <w:marLeft w:val="547"/>
          <w:marRight w:val="0"/>
          <w:marTop w:val="154"/>
          <w:marBottom w:val="0"/>
          <w:divBdr>
            <w:top w:val="none" w:sz="0" w:space="0" w:color="auto"/>
            <w:left w:val="none" w:sz="0" w:space="0" w:color="auto"/>
            <w:bottom w:val="none" w:sz="0" w:space="0" w:color="auto"/>
            <w:right w:val="none" w:sz="0" w:space="0" w:color="auto"/>
          </w:divBdr>
        </w:div>
        <w:div w:id="1676953640">
          <w:marLeft w:val="547"/>
          <w:marRight w:val="0"/>
          <w:marTop w:val="154"/>
          <w:marBottom w:val="0"/>
          <w:divBdr>
            <w:top w:val="none" w:sz="0" w:space="0" w:color="auto"/>
            <w:left w:val="none" w:sz="0" w:space="0" w:color="auto"/>
            <w:bottom w:val="none" w:sz="0" w:space="0" w:color="auto"/>
            <w:right w:val="none" w:sz="0" w:space="0" w:color="auto"/>
          </w:divBdr>
        </w:div>
      </w:divsChild>
    </w:div>
    <w:div w:id="1730109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cid:image001.jpg@01CF53E2.F599DED0" TargetMode="External"/><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footer" Target="footer3.xml"/><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9.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jpeg"/><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eader" Target="header3.xml"/><Relationship Id="rId29" Type="http://schemas.openxmlformats.org/officeDocument/2006/relationships/image" Target="media/image13.png"/><Relationship Id="rId41" Type="http://schemas.openxmlformats.org/officeDocument/2006/relationships/image" Target="media/image25.png"/><Relationship Id="rId54" Type="http://schemas.openxmlformats.org/officeDocument/2006/relationships/image" Target="media/image3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image" Target="media/image3.tiff"/><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hyperlink" Target="http://www.creativecommons.org/licenses/by/3.0/au/" TargetMode="External"/><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png"/><Relationship Id="rId8" Type="http://schemas.openxmlformats.org/officeDocument/2006/relationships/webSettings" Target="webSettings.xml"/><Relationship Id="rId51" Type="http://schemas.openxmlformats.org/officeDocument/2006/relationships/image" Target="media/image35.png"/><Relationship Id="rId3" Type="http://schemas.openxmlformats.org/officeDocument/2006/relationships/customXml" Target="../customXml/item3.xml"/></Relationships>
</file>

<file path=word/_rels/endnotes.xml.rels><?xml version="1.0" encoding="UTF-8" standalone="yes"?>
<Relationships xmlns="http://schemas.openxmlformats.org/package/2006/relationships"><Relationship Id="rId3" Type="http://schemas.openxmlformats.org/officeDocument/2006/relationships/hyperlink" Target="http://www.itu.int/en/ITU-D/Statistics/Documents/publications/misr2016/MISR2016-w4.pdf" TargetMode="External"/><Relationship Id="rId2" Type="http://schemas.openxmlformats.org/officeDocument/2006/relationships/hyperlink" Target="http://www.mobileconnectivityindex.com/" TargetMode="External"/><Relationship Id="rId1" Type="http://schemas.openxmlformats.org/officeDocument/2006/relationships/hyperlink" Target="http://www.acoss.org.au/wp-content/uploads/2016/10/PovertyMethods2016.pdf" TargetMode="External"/><Relationship Id="rId5" Type="http://schemas.openxmlformats.org/officeDocument/2006/relationships/hyperlink" Target="http://www.itu.int/en/ITU-D/Statistics/Documents/publications/misr2016/MISR2016-w4.pdf" TargetMode="External"/><Relationship Id="rId4" Type="http://schemas.openxmlformats.org/officeDocument/2006/relationships/hyperlink" Target="http://www3.weforum.org/docs/GITR2016/WEF_GITR_Full_Report.pd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G:\Templates\DEPT\Department%20-%20report%20-%20accessible%20Word%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C31F991944AFF49A09B178135F34F7F" ma:contentTypeVersion="0" ma:contentTypeDescription="Create a new document." ma:contentTypeScope="" ma:versionID="862c3af984e8225252cd011dbe7ff1c5">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3B1B18-5CC7-4B34-A370-60767FA8009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EAF60C5-5176-49FB-AB7A-95092674D393}">
  <ds:schemaRefs>
    <ds:schemaRef ds:uri="http://schemas.microsoft.com/sharepoint/v3/contenttype/forms"/>
  </ds:schemaRefs>
</ds:datastoreItem>
</file>

<file path=customXml/itemProps3.xml><?xml version="1.0" encoding="utf-8"?>
<ds:datastoreItem xmlns:ds="http://schemas.openxmlformats.org/officeDocument/2006/customXml" ds:itemID="{EC4164DA-6BBE-4B4F-9EC7-C3DB7B0B6F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265A1E96-BC79-47EB-891F-172B7FA5BA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Department - report - accessible Word template.dotx</Template>
  <TotalTime>1</TotalTime>
  <Pages>34</Pages>
  <Words>11709</Words>
  <Characters>60775</Characters>
  <Application>Microsoft Office Word</Application>
  <DocSecurity>4</DocSecurity>
  <Lines>1168</Lines>
  <Paragraphs>594</Paragraphs>
  <ScaleCrop>false</ScaleCrop>
  <HeadingPairs>
    <vt:vector size="2" baseType="variant">
      <vt:variant>
        <vt:lpstr>Title</vt:lpstr>
      </vt:variant>
      <vt:variant>
        <vt:i4>1</vt:i4>
      </vt:variant>
    </vt:vector>
  </HeadingPairs>
  <TitlesOfParts>
    <vt:vector size="1" baseType="lpstr">
      <vt:lpstr>Trends and drivers in the affordability of communications services for Australian households</vt:lpstr>
    </vt:vector>
  </TitlesOfParts>
  <Company>Department of Communications</Company>
  <LinksUpToDate>false</LinksUpToDate>
  <CharactersWithSpaces>71890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Trends and drivers in the affordability of communications services for Australian households</dc:title>
  <dc:subject/>
  <dc:creator>Department of Communications and the Arts</dc:creator>
  <cp:keywords/>
  <dc:description/>
  <cp:lastModifiedBy>Jones, Shakira</cp:lastModifiedBy>
  <cp:revision>2</cp:revision>
  <cp:lastPrinted>2017-07-05T01:27:00Z</cp:lastPrinted>
  <dcterms:created xsi:type="dcterms:W3CDTF">2017-07-07T08:06:00Z</dcterms:created>
  <dcterms:modified xsi:type="dcterms:W3CDTF">2017-07-07T08:06:00Z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0x010100AC31F991944AFF49A09B178135F34F7F</vt:lpwstr>
  </property>
  <property fmtid="{D5CDD505-2E9C-101B-9397-08002B2CF9AE}" pid="3" name="TrimRevisionNumber">
    <vt:i4>80</vt:i4>
  </property>
</Properties>
</file>