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BF44361" w14:textId="77777777" w:rsidR="00567FAF" w:rsidRDefault="00C56413" w:rsidP="00C56413">
      <w:pPr>
        <w:sectPr w:rsidR="00567FAF" w:rsidSect="00C56413">
          <w:headerReference w:type="default" r:id="rId11"/>
          <w:footerReference w:type="default" r:id="rId12"/>
          <w:headerReference w:type="first" r:id="rId13"/>
          <w:footerReference w:type="first" r:id="rId14"/>
          <w:pgSz w:w="11906" w:h="16838"/>
          <w:pgMar w:top="1418" w:right="1440" w:bottom="1440" w:left="1440" w:header="0" w:footer="0" w:gutter="0"/>
          <w:cols w:space="708"/>
          <w:docGrid w:linePitch="360"/>
        </w:sectPr>
      </w:pPr>
      <w:r>
        <w:rPr>
          <w:noProof/>
          <w:lang w:eastAsia="zh-TW" w:bidi="hi-IN"/>
        </w:rPr>
        <w:drawing>
          <wp:inline distT="0" distB="0" distL="0" distR="0" wp14:anchorId="7D585C4D" wp14:editId="41D9E4F1">
            <wp:extent cx="3544824" cy="679704"/>
            <wp:effectExtent l="0" t="0" r="0" b="6350"/>
            <wp:docPr id="2" name="Picture 2" descr="Logo: Australian Government, Department of Communications and the Ar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Dept_of_Comms-Reg-Inline-Press.tif"/>
                    <pic:cNvPicPr/>
                  </pic:nvPicPr>
                  <pic:blipFill>
                    <a:blip r:embed="rId15" cstate="print">
                      <a:extLst>
                        <a:ext uri="{28A0092B-C50C-407E-A947-70E740481C1C}">
                          <a14:useLocalDpi xmlns:a14="http://schemas.microsoft.com/office/drawing/2010/main" val="0"/>
                        </a:ext>
                      </a:extLst>
                    </a:blip>
                    <a:stretch>
                      <a:fillRect/>
                    </a:stretch>
                  </pic:blipFill>
                  <pic:spPr>
                    <a:xfrm>
                      <a:off x="0" y="0"/>
                      <a:ext cx="3544824" cy="679704"/>
                    </a:xfrm>
                    <a:prstGeom prst="rect">
                      <a:avLst/>
                    </a:prstGeom>
                  </pic:spPr>
                </pic:pic>
              </a:graphicData>
            </a:graphic>
          </wp:inline>
        </w:drawing>
      </w:r>
    </w:p>
    <w:p w14:paraId="04C9ABEB" w14:textId="77777777" w:rsidR="00C56413" w:rsidRDefault="00C56413" w:rsidP="000A53E6">
      <w:pPr>
        <w:spacing w:after="0"/>
      </w:pPr>
      <w:r w:rsidRPr="00C56413">
        <w:rPr>
          <w:rFonts w:ascii="Gafata" w:hAnsi="Gafata"/>
          <w:sz w:val="48"/>
          <w:szCs w:val="48"/>
        </w:rPr>
        <w:t>Bureau of</w:t>
      </w:r>
      <w:r>
        <w:rPr>
          <w:rFonts w:ascii="Gafata" w:hAnsi="Gafata"/>
          <w:sz w:val="48"/>
          <w:szCs w:val="48"/>
        </w:rPr>
        <w:br/>
      </w:r>
      <w:r w:rsidRPr="00C56413">
        <w:rPr>
          <w:rFonts w:ascii="Gafata" w:hAnsi="Gafata"/>
          <w:sz w:val="48"/>
          <w:szCs w:val="48"/>
        </w:rPr>
        <w:t>Communications</w:t>
      </w:r>
      <w:r>
        <w:rPr>
          <w:rFonts w:ascii="Gafata" w:hAnsi="Gafata"/>
          <w:sz w:val="48"/>
          <w:szCs w:val="48"/>
        </w:rPr>
        <w:br/>
        <w:t>a</w:t>
      </w:r>
      <w:r w:rsidRPr="00C56413">
        <w:rPr>
          <w:rFonts w:ascii="Gafata" w:hAnsi="Gafata"/>
          <w:sz w:val="48"/>
          <w:szCs w:val="48"/>
        </w:rPr>
        <w:t>nd Arts Resea</w:t>
      </w:r>
      <w:r>
        <w:rPr>
          <w:rFonts w:ascii="Gafata" w:hAnsi="Gafata"/>
          <w:sz w:val="48"/>
          <w:szCs w:val="48"/>
        </w:rPr>
        <w:t>rch</w:t>
      </w:r>
    </w:p>
    <w:p w14:paraId="47D51B61" w14:textId="77777777" w:rsidR="00C56413" w:rsidRDefault="00C56413" w:rsidP="00C56413">
      <w:pPr>
        <w:spacing w:before="240"/>
      </w:pPr>
      <w:r>
        <w:rPr>
          <w:noProof/>
          <w:lang w:eastAsia="zh-TW" w:bidi="hi-IN"/>
        </w:rPr>
        <w:drawing>
          <wp:inline distT="0" distB="0" distL="0" distR="0" wp14:anchorId="5F30CBD6" wp14:editId="6E08CC39">
            <wp:extent cx="3751190" cy="622300"/>
            <wp:effectExtent l="0" t="0" r="1905" b="6350"/>
            <wp:docPr id="4" name="Picture 4" descr="Cutural Partnerships Australia logo" title="Cutural Partnerships Austral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reative_partnerships_australia_greyscale_hor.jpg"/>
                    <pic:cNvPicPr/>
                  </pic:nvPicPr>
                  <pic:blipFill rotWithShape="1">
                    <a:blip r:embed="rId16" cstate="print">
                      <a:extLst>
                        <a:ext uri="{28A0092B-C50C-407E-A947-70E740481C1C}">
                          <a14:useLocalDpi xmlns:a14="http://schemas.microsoft.com/office/drawing/2010/main" val="0"/>
                        </a:ext>
                      </a:extLst>
                    </a:blip>
                    <a:srcRect/>
                    <a:stretch/>
                  </pic:blipFill>
                  <pic:spPr bwMode="auto">
                    <a:xfrm>
                      <a:off x="0" y="0"/>
                      <a:ext cx="3751805" cy="622402"/>
                    </a:xfrm>
                    <a:prstGeom prst="rect">
                      <a:avLst/>
                    </a:prstGeom>
                    <a:ln>
                      <a:noFill/>
                    </a:ln>
                    <a:extLst>
                      <a:ext uri="{53640926-AAD7-44D8-BBD7-CCE9431645EC}">
                        <a14:shadowObscured xmlns:a14="http://schemas.microsoft.com/office/drawing/2010/main"/>
                      </a:ext>
                    </a:extLst>
                  </pic:spPr>
                </pic:pic>
              </a:graphicData>
            </a:graphic>
          </wp:inline>
        </w:drawing>
      </w:r>
    </w:p>
    <w:p w14:paraId="55883D3E" w14:textId="780E75B9" w:rsidR="00A7176A" w:rsidRDefault="00C56413" w:rsidP="00EC0F01">
      <w:pPr>
        <w:pStyle w:val="Heading1"/>
        <w:tabs>
          <w:tab w:val="clear" w:pos="360"/>
        </w:tabs>
        <w:spacing w:before="120"/>
        <w:ind w:left="0" w:firstLine="0"/>
      </w:pPr>
      <w:r>
        <w:t>Private sector support for the arts in Australia</w:t>
      </w:r>
    </w:p>
    <w:p w14:paraId="66A247AA" w14:textId="77777777" w:rsidR="00C56413" w:rsidRDefault="00C56413" w:rsidP="00A7176A">
      <w:pPr>
        <w:pStyle w:val="Normal-monthyearforcoverpage"/>
      </w:pPr>
      <w:r>
        <w:t>June 2017</w:t>
      </w:r>
    </w:p>
    <w:p w14:paraId="7AA44448" w14:textId="77777777" w:rsidR="00A7176A" w:rsidRDefault="00C56413" w:rsidP="00A7176A">
      <w:pPr>
        <w:pStyle w:val="Normal-monthyearforcoverpage"/>
      </w:pPr>
      <w:r>
        <w:t>Background statistical paper</w:t>
      </w:r>
    </w:p>
    <w:p w14:paraId="0ADC8435" w14:textId="48D22AE6" w:rsidR="00A7176A" w:rsidRDefault="000A53E6" w:rsidP="00EC0F01">
      <w:pPr>
        <w:ind w:right="-1440"/>
        <w:jc w:val="right"/>
      </w:pPr>
      <w:r>
        <w:rPr>
          <w:noProof/>
          <w:lang w:eastAsia="zh-TW" w:bidi="hi-IN"/>
        </w:rPr>
        <w:drawing>
          <wp:inline distT="0" distB="0" distL="0" distR="0" wp14:anchorId="41C48409" wp14:editId="30542EAE">
            <wp:extent cx="3044659" cy="4306578"/>
            <wp:effectExtent l="0" t="0" r="3810" b="0"/>
            <wp:docPr id="21" name="Picture 21" descr="BCAR logo design image&#10;&#10;communications.gov.au/BCAR&#10;&#10;#CommAuBCAR" title="BCAR logo design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BCR Report cover-option2.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3099181" cy="4383698"/>
                    </a:xfrm>
                    <a:prstGeom prst="rect">
                      <a:avLst/>
                    </a:prstGeom>
                  </pic:spPr>
                </pic:pic>
              </a:graphicData>
            </a:graphic>
          </wp:inline>
        </w:drawing>
      </w:r>
      <w:r w:rsidR="00A7176A">
        <w:br w:type="page"/>
      </w:r>
    </w:p>
    <w:p w14:paraId="48C89715" w14:textId="77777777" w:rsidR="00C53C30" w:rsidRPr="0009516A" w:rsidRDefault="00C53C30" w:rsidP="00C53C30">
      <w:pPr>
        <w:pStyle w:val="Heading2-notshowingincontentsindocument"/>
      </w:pPr>
      <w:r>
        <w:lastRenderedPageBreak/>
        <w:t>Disclaimer</w:t>
      </w:r>
    </w:p>
    <w:p w14:paraId="5258D273" w14:textId="77777777" w:rsidR="00C56413" w:rsidRPr="006301D0" w:rsidRDefault="00C56413" w:rsidP="00C56413">
      <w:r w:rsidRPr="006301D0">
        <w:t>The material in this paper is of a general nature and should not be regarded as legal advice or relied on for assistance in any particular circumstance or emergency situation. In any important matter, you should seek appropriate independent professional advice in relation to your own circumstances.</w:t>
      </w:r>
    </w:p>
    <w:p w14:paraId="348E6D1B" w14:textId="77777777" w:rsidR="00C56413" w:rsidRPr="006301D0" w:rsidRDefault="00C56413" w:rsidP="00C56413">
      <w:r w:rsidRPr="006301D0">
        <w:t>The Commonwealth accepts no responsibility or liability for any damage, loss or expense incurred as a result of the reliance on information contained in this discussion paper.</w:t>
      </w:r>
    </w:p>
    <w:p w14:paraId="56FC6ACA" w14:textId="77777777" w:rsidR="00C56413" w:rsidRPr="006301D0" w:rsidRDefault="00C56413" w:rsidP="00C56413">
      <w:r w:rsidRPr="006301D0">
        <w:t>This paper has been prepared for consultation purposes only and does not indicate the Commonwealth’s commitment to a particular course of action. Additionally, any third party views or recommendations included in this discussion paper do not reflect the views of the Commonwealth, or indicate its commitment to a particular course of action.</w:t>
      </w:r>
    </w:p>
    <w:p w14:paraId="2C99BA40" w14:textId="77777777" w:rsidR="00C53C30" w:rsidRPr="0009516A" w:rsidRDefault="00C53C30" w:rsidP="00C53C30">
      <w:pPr>
        <w:pStyle w:val="Heading2-notshowingincontentsindocument"/>
      </w:pPr>
      <w:r w:rsidRPr="0009516A">
        <w:t>Co</w:t>
      </w:r>
      <w:r>
        <w:t>pyright</w:t>
      </w:r>
    </w:p>
    <w:p w14:paraId="208AEE30" w14:textId="77777777" w:rsidR="00C53C30" w:rsidRPr="006628F3" w:rsidRDefault="00C53C30" w:rsidP="00C53C30">
      <w:r w:rsidRPr="006628F3">
        <w:t>© Commonwealth of Australia</w:t>
      </w:r>
      <w:r w:rsidR="00C56413">
        <w:t xml:space="preserve"> 2017</w:t>
      </w:r>
    </w:p>
    <w:p w14:paraId="0CE05F1D" w14:textId="77777777" w:rsidR="00C53C30" w:rsidRPr="006628F3" w:rsidRDefault="00C53C30" w:rsidP="00C53C30">
      <w:r w:rsidRPr="006628F3">
        <w:rPr>
          <w:noProof/>
          <w:lang w:eastAsia="zh-TW" w:bidi="hi-IN"/>
        </w:rPr>
        <w:drawing>
          <wp:inline distT="0" distB="0" distL="0" distR="0" wp14:anchorId="1F47836D" wp14:editId="1589ABEA">
            <wp:extent cx="836930" cy="293370"/>
            <wp:effectExtent l="0" t="0" r="1270" b="0"/>
            <wp:docPr id="14" name="Picture 14" descr="Logo:  Creative Commons." title="Creative Common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jpg@01CF4DB8.C9F87BE0"/>
                    <pic:cNvPicPr>
                      <a:picLocks noChangeAspect="1" noChangeArrowheads="1"/>
                    </pic:cNvPicPr>
                  </pic:nvPicPr>
                  <pic:blipFill>
                    <a:blip r:embed="rId18" r:link="rId19">
                      <a:extLst>
                        <a:ext uri="{28A0092B-C50C-407E-A947-70E740481C1C}">
                          <a14:useLocalDpi xmlns:a14="http://schemas.microsoft.com/office/drawing/2010/main" val="0"/>
                        </a:ext>
                      </a:extLst>
                    </a:blip>
                    <a:srcRect/>
                    <a:stretch>
                      <a:fillRect/>
                    </a:stretch>
                  </pic:blipFill>
                  <pic:spPr bwMode="auto">
                    <a:xfrm>
                      <a:off x="0" y="0"/>
                      <a:ext cx="836930" cy="293370"/>
                    </a:xfrm>
                    <a:prstGeom prst="rect">
                      <a:avLst/>
                    </a:prstGeom>
                    <a:noFill/>
                    <a:ln>
                      <a:noFill/>
                    </a:ln>
                  </pic:spPr>
                </pic:pic>
              </a:graphicData>
            </a:graphic>
          </wp:inline>
        </w:drawing>
      </w:r>
      <w:r w:rsidRPr="006628F3">
        <w:t>  The material in this discussion paper is licensed under a Creative Commons Attribution—3.0 Australia license, with the exception of:</w:t>
      </w:r>
    </w:p>
    <w:p w14:paraId="16AD8D71" w14:textId="77777777" w:rsidR="00C53C30" w:rsidRPr="00BC0293" w:rsidRDefault="00C53C30" w:rsidP="00BC0293">
      <w:pPr>
        <w:pStyle w:val="Bulletlevel1"/>
      </w:pPr>
      <w:r w:rsidRPr="00BC0293">
        <w:t>the Commonwealth Coat of Arms</w:t>
      </w:r>
    </w:p>
    <w:p w14:paraId="1B17DA7B" w14:textId="77777777" w:rsidR="00C53C30" w:rsidRPr="00BC0293" w:rsidRDefault="00C53C30" w:rsidP="00BC0293">
      <w:pPr>
        <w:pStyle w:val="Bulletlevel1"/>
      </w:pPr>
      <w:r w:rsidRPr="00BC0293">
        <w:t>this Department’s logo</w:t>
      </w:r>
    </w:p>
    <w:p w14:paraId="7D255D86" w14:textId="77777777" w:rsidR="00C53C30" w:rsidRPr="00BC0293" w:rsidRDefault="00C53C30" w:rsidP="00BC0293">
      <w:pPr>
        <w:pStyle w:val="Bulletlevel1"/>
      </w:pPr>
      <w:r w:rsidRPr="00BC0293">
        <w:t>any third party material</w:t>
      </w:r>
    </w:p>
    <w:p w14:paraId="1D81CA67" w14:textId="77777777" w:rsidR="00C53C30" w:rsidRPr="00BC0293" w:rsidRDefault="00C53C30" w:rsidP="00BC0293">
      <w:pPr>
        <w:pStyle w:val="Bulletlevel1"/>
      </w:pPr>
      <w:r w:rsidRPr="00BC0293">
        <w:t>any material protected by a trademark, and</w:t>
      </w:r>
    </w:p>
    <w:p w14:paraId="173E9A7A" w14:textId="77777777" w:rsidR="00C53C30" w:rsidRPr="00BC0293" w:rsidRDefault="00C53C30" w:rsidP="00BC0293">
      <w:pPr>
        <w:pStyle w:val="Bulletlevel1"/>
      </w:pPr>
      <w:r w:rsidRPr="00BC0293">
        <w:t>any images and/or photographs.</w:t>
      </w:r>
    </w:p>
    <w:p w14:paraId="57B8F19E" w14:textId="77777777" w:rsidR="00C56413" w:rsidRPr="0023386C" w:rsidRDefault="00C56413" w:rsidP="00C56413">
      <w:r w:rsidRPr="0023386C">
        <w:t xml:space="preserve">More information on this CC BY license is set out at the creative commons website: </w:t>
      </w:r>
      <w:hyperlink r:id="rId20" w:history="1">
        <w:r w:rsidRPr="0023386C">
          <w:rPr>
            <w:rStyle w:val="Hyperlink"/>
          </w:rPr>
          <w:t>www.creativecommons.org/licenses/by/3.0/au/</w:t>
        </w:r>
      </w:hyperlink>
      <w:r w:rsidRPr="0023386C">
        <w:t>. Enquiries about this license and any use of this paper can be sent to: National Security and International Branch, Department of Communications and the Arts, GPO</w:t>
      </w:r>
      <w:bookmarkStart w:id="0" w:name="_Toc356292521"/>
      <w:r w:rsidRPr="0023386C">
        <w:t xml:space="preserve"> Box 2154, Canberra, ACT, 2601.</w:t>
      </w:r>
    </w:p>
    <w:p w14:paraId="6D1A162F" w14:textId="77777777" w:rsidR="00C56413" w:rsidRPr="0023386C" w:rsidRDefault="00C56413" w:rsidP="00C56413">
      <w:pPr>
        <w:pStyle w:val="Heading3-notshowingincontentsindocument"/>
      </w:pPr>
      <w:r w:rsidRPr="0023386C">
        <w:t>Attribution</w:t>
      </w:r>
      <w:bookmarkEnd w:id="0"/>
    </w:p>
    <w:p w14:paraId="1CD1F679" w14:textId="77777777" w:rsidR="00C56413" w:rsidRPr="0023386C" w:rsidRDefault="00C56413" w:rsidP="00C56413">
      <w:bookmarkStart w:id="1" w:name="_Toc356292522"/>
      <w:r w:rsidRPr="0023386C">
        <w:t>Use of all or part of this discussion paper must include the following attribution:</w:t>
      </w:r>
      <w:bookmarkEnd w:id="1"/>
    </w:p>
    <w:p w14:paraId="3DE93AED" w14:textId="77777777" w:rsidR="00C56413" w:rsidRPr="0023386C" w:rsidRDefault="00C56413" w:rsidP="00C56413">
      <w:pPr>
        <w:ind w:left="567"/>
      </w:pPr>
      <w:bookmarkStart w:id="2" w:name="_Toc356292523"/>
      <w:r w:rsidRPr="0023386C">
        <w:t>© Commonwealth of Australia 201</w:t>
      </w:r>
      <w:bookmarkEnd w:id="2"/>
      <w:r w:rsidRPr="0023386C">
        <w:t>7</w:t>
      </w:r>
    </w:p>
    <w:p w14:paraId="37866E10" w14:textId="77777777" w:rsidR="00C56413" w:rsidRPr="0023386C" w:rsidRDefault="00C56413" w:rsidP="00C56413">
      <w:pPr>
        <w:pStyle w:val="Heading3-notshowingincontentsindocument"/>
      </w:pPr>
      <w:bookmarkStart w:id="3" w:name="_Toc356292524"/>
      <w:r w:rsidRPr="0023386C">
        <w:t>Using the Commonwealth Coat of Arms</w:t>
      </w:r>
      <w:bookmarkEnd w:id="3"/>
    </w:p>
    <w:p w14:paraId="3B393F18" w14:textId="77777777" w:rsidR="001061E5" w:rsidRDefault="00C56413" w:rsidP="00C56413">
      <w:bookmarkStart w:id="4" w:name="_Toc356292525"/>
      <w:r w:rsidRPr="0023386C">
        <w:t xml:space="preserve">The terms of use for the Coat of Arms are available from the It’s an Honour website (see </w:t>
      </w:r>
      <w:bookmarkEnd w:id="4"/>
      <w:r w:rsidRPr="0023386C">
        <w:fldChar w:fldCharType="begin"/>
      </w:r>
      <w:r w:rsidRPr="0023386C">
        <w:instrText xml:space="preserve"> HYPERLINK "http://www.itsanhonour.gov.au/" </w:instrText>
      </w:r>
      <w:r w:rsidRPr="0023386C">
        <w:fldChar w:fldCharType="separate"/>
      </w:r>
      <w:r w:rsidRPr="0023386C">
        <w:rPr>
          <w:rStyle w:val="Hyperlink"/>
        </w:rPr>
        <w:t>www.itsanhonour.gov.au</w:t>
      </w:r>
      <w:r w:rsidRPr="0023386C">
        <w:fldChar w:fldCharType="end"/>
      </w:r>
      <w:r w:rsidRPr="0023386C">
        <w:t xml:space="preserve"> and click ‘Commonwealth Coat of Arms’).</w:t>
      </w:r>
    </w:p>
    <w:p w14:paraId="1E36490C" w14:textId="77777777" w:rsidR="00A7176A" w:rsidRDefault="00A7176A" w:rsidP="00A7176A">
      <w:r>
        <w:br w:type="page"/>
      </w:r>
    </w:p>
    <w:p w14:paraId="239D1638" w14:textId="77777777" w:rsidR="00A7176A" w:rsidRPr="0009516A" w:rsidRDefault="00A7176A" w:rsidP="000248E0">
      <w:pPr>
        <w:pStyle w:val="Heading2-notshowingincontentsindocument"/>
        <w:spacing w:before="0" w:after="120"/>
      </w:pPr>
      <w:r w:rsidRPr="0009516A">
        <w:lastRenderedPageBreak/>
        <w:t>Contents</w:t>
      </w:r>
    </w:p>
    <w:p w14:paraId="5F806640" w14:textId="77777777" w:rsidR="00C331F6" w:rsidRDefault="00540B2F">
      <w:pPr>
        <w:pStyle w:val="TOC1"/>
        <w:tabs>
          <w:tab w:val="right" w:leader="dot" w:pos="9016"/>
        </w:tabs>
        <w:rPr>
          <w:rFonts w:eastAsiaTheme="minorEastAsia"/>
          <w:b w:val="0"/>
          <w:noProof/>
          <w:color w:val="auto"/>
          <w:sz w:val="22"/>
          <w:lang w:eastAsia="en-AU"/>
        </w:rPr>
      </w:pPr>
      <w:r>
        <w:rPr>
          <w:b w:val="0"/>
        </w:rPr>
        <w:fldChar w:fldCharType="begin"/>
      </w:r>
      <w:r>
        <w:rPr>
          <w:b w:val="0"/>
        </w:rPr>
        <w:instrText xml:space="preserve"> TOC \h \z \t "Heading 2,1,Heading 3,2,Heading 4,3,Heading 2 - list,1,Heading 3 - list,2,Heading 4 - list,3" </w:instrText>
      </w:r>
      <w:r>
        <w:rPr>
          <w:b w:val="0"/>
        </w:rPr>
        <w:fldChar w:fldCharType="separate"/>
      </w:r>
      <w:hyperlink w:anchor="_Toc486319713" w:history="1">
        <w:r w:rsidR="00C331F6" w:rsidRPr="00B826AD">
          <w:rPr>
            <w:rStyle w:val="Hyperlink"/>
            <w:noProof/>
          </w:rPr>
          <w:t>Glossary</w:t>
        </w:r>
        <w:r w:rsidR="00C331F6">
          <w:rPr>
            <w:noProof/>
            <w:webHidden/>
          </w:rPr>
          <w:tab/>
        </w:r>
        <w:r w:rsidR="00C331F6">
          <w:rPr>
            <w:noProof/>
            <w:webHidden/>
          </w:rPr>
          <w:fldChar w:fldCharType="begin"/>
        </w:r>
        <w:r w:rsidR="00C331F6">
          <w:rPr>
            <w:noProof/>
            <w:webHidden/>
          </w:rPr>
          <w:instrText xml:space="preserve"> PAGEREF _Toc486319713 \h </w:instrText>
        </w:r>
        <w:r w:rsidR="00C331F6">
          <w:rPr>
            <w:noProof/>
            <w:webHidden/>
          </w:rPr>
        </w:r>
        <w:r w:rsidR="00C331F6">
          <w:rPr>
            <w:noProof/>
            <w:webHidden/>
          </w:rPr>
          <w:fldChar w:fldCharType="separate"/>
        </w:r>
        <w:r w:rsidR="00ED08CC">
          <w:rPr>
            <w:noProof/>
            <w:webHidden/>
          </w:rPr>
          <w:t>iv</w:t>
        </w:r>
        <w:r w:rsidR="00C331F6">
          <w:rPr>
            <w:noProof/>
            <w:webHidden/>
          </w:rPr>
          <w:fldChar w:fldCharType="end"/>
        </w:r>
      </w:hyperlink>
    </w:p>
    <w:p w14:paraId="5BDF85FB" w14:textId="77777777" w:rsidR="00C331F6" w:rsidRDefault="00ED08CC">
      <w:pPr>
        <w:pStyle w:val="TOC1"/>
        <w:tabs>
          <w:tab w:val="right" w:leader="dot" w:pos="9016"/>
        </w:tabs>
        <w:rPr>
          <w:rFonts w:eastAsiaTheme="minorEastAsia"/>
          <w:b w:val="0"/>
          <w:noProof/>
          <w:color w:val="auto"/>
          <w:sz w:val="22"/>
          <w:lang w:eastAsia="en-AU"/>
        </w:rPr>
      </w:pPr>
      <w:hyperlink w:anchor="_Toc486319714" w:history="1">
        <w:r w:rsidR="00C331F6" w:rsidRPr="00B826AD">
          <w:rPr>
            <w:rStyle w:val="Hyperlink"/>
            <w:noProof/>
          </w:rPr>
          <w:t>Introduction</w:t>
        </w:r>
        <w:r w:rsidR="00C331F6">
          <w:rPr>
            <w:noProof/>
            <w:webHidden/>
          </w:rPr>
          <w:tab/>
        </w:r>
        <w:r w:rsidR="00C331F6">
          <w:rPr>
            <w:noProof/>
            <w:webHidden/>
          </w:rPr>
          <w:fldChar w:fldCharType="begin"/>
        </w:r>
        <w:r w:rsidR="00C331F6">
          <w:rPr>
            <w:noProof/>
            <w:webHidden/>
          </w:rPr>
          <w:instrText xml:space="preserve"> PAGEREF _Toc486319714 \h </w:instrText>
        </w:r>
        <w:r w:rsidR="00C331F6">
          <w:rPr>
            <w:noProof/>
            <w:webHidden/>
          </w:rPr>
        </w:r>
        <w:r w:rsidR="00C331F6">
          <w:rPr>
            <w:noProof/>
            <w:webHidden/>
          </w:rPr>
          <w:fldChar w:fldCharType="separate"/>
        </w:r>
        <w:r>
          <w:rPr>
            <w:noProof/>
            <w:webHidden/>
          </w:rPr>
          <w:t>1</w:t>
        </w:r>
        <w:r w:rsidR="00C331F6">
          <w:rPr>
            <w:noProof/>
            <w:webHidden/>
          </w:rPr>
          <w:fldChar w:fldCharType="end"/>
        </w:r>
      </w:hyperlink>
    </w:p>
    <w:p w14:paraId="2923DB22" w14:textId="77777777" w:rsidR="00C331F6" w:rsidRDefault="00ED08CC">
      <w:pPr>
        <w:pStyle w:val="TOC1"/>
        <w:tabs>
          <w:tab w:val="right" w:leader="dot" w:pos="9016"/>
        </w:tabs>
        <w:rPr>
          <w:rFonts w:eastAsiaTheme="minorEastAsia"/>
          <w:b w:val="0"/>
          <w:noProof/>
          <w:color w:val="auto"/>
          <w:sz w:val="22"/>
          <w:lang w:eastAsia="en-AU"/>
        </w:rPr>
      </w:pPr>
      <w:hyperlink w:anchor="_Toc486319715" w:history="1">
        <w:r w:rsidR="00C331F6" w:rsidRPr="00B826AD">
          <w:rPr>
            <w:rStyle w:val="Hyperlink"/>
            <w:noProof/>
          </w:rPr>
          <w:t>Key findings</w:t>
        </w:r>
        <w:r w:rsidR="00C331F6">
          <w:rPr>
            <w:noProof/>
            <w:webHidden/>
          </w:rPr>
          <w:tab/>
        </w:r>
        <w:r w:rsidR="00C331F6">
          <w:rPr>
            <w:noProof/>
            <w:webHidden/>
          </w:rPr>
          <w:fldChar w:fldCharType="begin"/>
        </w:r>
        <w:r w:rsidR="00C331F6">
          <w:rPr>
            <w:noProof/>
            <w:webHidden/>
          </w:rPr>
          <w:instrText xml:space="preserve"> PAGEREF _Toc486319715 \h </w:instrText>
        </w:r>
        <w:r w:rsidR="00C331F6">
          <w:rPr>
            <w:noProof/>
            <w:webHidden/>
          </w:rPr>
        </w:r>
        <w:r w:rsidR="00C331F6">
          <w:rPr>
            <w:noProof/>
            <w:webHidden/>
          </w:rPr>
          <w:fldChar w:fldCharType="separate"/>
        </w:r>
        <w:r>
          <w:rPr>
            <w:noProof/>
            <w:webHidden/>
          </w:rPr>
          <w:t>1</w:t>
        </w:r>
        <w:r w:rsidR="00C331F6">
          <w:rPr>
            <w:noProof/>
            <w:webHidden/>
          </w:rPr>
          <w:fldChar w:fldCharType="end"/>
        </w:r>
      </w:hyperlink>
    </w:p>
    <w:p w14:paraId="5F9A5EDF" w14:textId="77777777" w:rsidR="00C331F6" w:rsidRDefault="00ED08CC">
      <w:pPr>
        <w:pStyle w:val="TOC2"/>
        <w:tabs>
          <w:tab w:val="right" w:leader="dot" w:pos="9016"/>
        </w:tabs>
        <w:rPr>
          <w:rFonts w:eastAsiaTheme="minorEastAsia"/>
          <w:noProof/>
          <w:lang w:eastAsia="en-AU"/>
        </w:rPr>
      </w:pPr>
      <w:hyperlink w:anchor="_Toc486319716" w:history="1">
        <w:r w:rsidR="00C331F6" w:rsidRPr="00B826AD">
          <w:rPr>
            <w:rStyle w:val="Hyperlink"/>
            <w:noProof/>
          </w:rPr>
          <w:t>Estimates of total support</w:t>
        </w:r>
        <w:r w:rsidR="00C331F6">
          <w:rPr>
            <w:noProof/>
            <w:webHidden/>
          </w:rPr>
          <w:tab/>
        </w:r>
        <w:r w:rsidR="00C331F6">
          <w:rPr>
            <w:noProof/>
            <w:webHidden/>
          </w:rPr>
          <w:fldChar w:fldCharType="begin"/>
        </w:r>
        <w:r w:rsidR="00C331F6">
          <w:rPr>
            <w:noProof/>
            <w:webHidden/>
          </w:rPr>
          <w:instrText xml:space="preserve"> PAGEREF _Toc486319716 \h </w:instrText>
        </w:r>
        <w:r w:rsidR="00C331F6">
          <w:rPr>
            <w:noProof/>
            <w:webHidden/>
          </w:rPr>
        </w:r>
        <w:r w:rsidR="00C331F6">
          <w:rPr>
            <w:noProof/>
            <w:webHidden/>
          </w:rPr>
          <w:fldChar w:fldCharType="separate"/>
        </w:r>
        <w:r>
          <w:rPr>
            <w:noProof/>
            <w:webHidden/>
          </w:rPr>
          <w:t>1</w:t>
        </w:r>
        <w:r w:rsidR="00C331F6">
          <w:rPr>
            <w:noProof/>
            <w:webHidden/>
          </w:rPr>
          <w:fldChar w:fldCharType="end"/>
        </w:r>
      </w:hyperlink>
    </w:p>
    <w:p w14:paraId="403681B4" w14:textId="77777777" w:rsidR="00C331F6" w:rsidRDefault="00ED08CC">
      <w:pPr>
        <w:pStyle w:val="TOC2"/>
        <w:tabs>
          <w:tab w:val="right" w:leader="dot" w:pos="9016"/>
        </w:tabs>
        <w:rPr>
          <w:rFonts w:eastAsiaTheme="minorEastAsia"/>
          <w:noProof/>
          <w:lang w:eastAsia="en-AU"/>
        </w:rPr>
      </w:pPr>
      <w:hyperlink w:anchor="_Toc486319717" w:history="1">
        <w:r w:rsidR="00C331F6" w:rsidRPr="00B826AD">
          <w:rPr>
            <w:rStyle w:val="Hyperlink"/>
            <w:noProof/>
          </w:rPr>
          <w:t>Donations estimates</w:t>
        </w:r>
        <w:r w:rsidR="00C331F6">
          <w:rPr>
            <w:noProof/>
            <w:webHidden/>
          </w:rPr>
          <w:tab/>
        </w:r>
        <w:r w:rsidR="00C331F6">
          <w:rPr>
            <w:noProof/>
            <w:webHidden/>
          </w:rPr>
          <w:fldChar w:fldCharType="begin"/>
        </w:r>
        <w:r w:rsidR="00C331F6">
          <w:rPr>
            <w:noProof/>
            <w:webHidden/>
          </w:rPr>
          <w:instrText xml:space="preserve"> PAGEREF _Toc486319717 \h </w:instrText>
        </w:r>
        <w:r w:rsidR="00C331F6">
          <w:rPr>
            <w:noProof/>
            <w:webHidden/>
          </w:rPr>
        </w:r>
        <w:r w:rsidR="00C331F6">
          <w:rPr>
            <w:noProof/>
            <w:webHidden/>
          </w:rPr>
          <w:fldChar w:fldCharType="separate"/>
        </w:r>
        <w:r>
          <w:rPr>
            <w:noProof/>
            <w:webHidden/>
          </w:rPr>
          <w:t>2</w:t>
        </w:r>
        <w:r w:rsidR="00C331F6">
          <w:rPr>
            <w:noProof/>
            <w:webHidden/>
          </w:rPr>
          <w:fldChar w:fldCharType="end"/>
        </w:r>
      </w:hyperlink>
    </w:p>
    <w:p w14:paraId="061AB76D" w14:textId="77777777" w:rsidR="00C331F6" w:rsidRDefault="00ED08CC">
      <w:pPr>
        <w:pStyle w:val="TOC2"/>
        <w:tabs>
          <w:tab w:val="right" w:leader="dot" w:pos="9016"/>
        </w:tabs>
        <w:rPr>
          <w:rFonts w:eastAsiaTheme="minorEastAsia"/>
          <w:noProof/>
          <w:lang w:eastAsia="en-AU"/>
        </w:rPr>
      </w:pPr>
      <w:hyperlink w:anchor="_Toc486319718" w:history="1">
        <w:r w:rsidR="00C331F6" w:rsidRPr="00B826AD">
          <w:rPr>
            <w:rStyle w:val="Hyperlink"/>
            <w:noProof/>
          </w:rPr>
          <w:t>Sponsorship estimates</w:t>
        </w:r>
        <w:r w:rsidR="00C331F6">
          <w:rPr>
            <w:noProof/>
            <w:webHidden/>
          </w:rPr>
          <w:tab/>
        </w:r>
        <w:r w:rsidR="00C331F6">
          <w:rPr>
            <w:noProof/>
            <w:webHidden/>
          </w:rPr>
          <w:fldChar w:fldCharType="begin"/>
        </w:r>
        <w:r w:rsidR="00C331F6">
          <w:rPr>
            <w:noProof/>
            <w:webHidden/>
          </w:rPr>
          <w:instrText xml:space="preserve"> PAGEREF _Toc486319718 \h </w:instrText>
        </w:r>
        <w:r w:rsidR="00C331F6">
          <w:rPr>
            <w:noProof/>
            <w:webHidden/>
          </w:rPr>
        </w:r>
        <w:r w:rsidR="00C331F6">
          <w:rPr>
            <w:noProof/>
            <w:webHidden/>
          </w:rPr>
          <w:fldChar w:fldCharType="separate"/>
        </w:r>
        <w:r>
          <w:rPr>
            <w:noProof/>
            <w:webHidden/>
          </w:rPr>
          <w:t>2</w:t>
        </w:r>
        <w:r w:rsidR="00C331F6">
          <w:rPr>
            <w:noProof/>
            <w:webHidden/>
          </w:rPr>
          <w:fldChar w:fldCharType="end"/>
        </w:r>
      </w:hyperlink>
    </w:p>
    <w:p w14:paraId="49FB8CB1" w14:textId="77777777" w:rsidR="00C331F6" w:rsidRDefault="00ED08CC">
      <w:pPr>
        <w:pStyle w:val="TOC2"/>
        <w:tabs>
          <w:tab w:val="right" w:leader="dot" w:pos="9016"/>
        </w:tabs>
        <w:rPr>
          <w:rFonts w:eastAsiaTheme="minorEastAsia"/>
          <w:noProof/>
          <w:lang w:eastAsia="en-AU"/>
        </w:rPr>
      </w:pPr>
      <w:hyperlink w:anchor="_Toc486319719" w:history="1">
        <w:r w:rsidR="00C331F6" w:rsidRPr="00B826AD">
          <w:rPr>
            <w:rStyle w:val="Hyperlink"/>
            <w:noProof/>
          </w:rPr>
          <w:t>International comparisons</w:t>
        </w:r>
        <w:r w:rsidR="00C331F6">
          <w:rPr>
            <w:noProof/>
            <w:webHidden/>
          </w:rPr>
          <w:tab/>
        </w:r>
        <w:r w:rsidR="00C331F6">
          <w:rPr>
            <w:noProof/>
            <w:webHidden/>
          </w:rPr>
          <w:fldChar w:fldCharType="begin"/>
        </w:r>
        <w:r w:rsidR="00C331F6">
          <w:rPr>
            <w:noProof/>
            <w:webHidden/>
          </w:rPr>
          <w:instrText xml:space="preserve"> PAGEREF _Toc486319719 \h </w:instrText>
        </w:r>
        <w:r w:rsidR="00C331F6">
          <w:rPr>
            <w:noProof/>
            <w:webHidden/>
          </w:rPr>
        </w:r>
        <w:r w:rsidR="00C331F6">
          <w:rPr>
            <w:noProof/>
            <w:webHidden/>
          </w:rPr>
          <w:fldChar w:fldCharType="separate"/>
        </w:r>
        <w:r>
          <w:rPr>
            <w:noProof/>
            <w:webHidden/>
          </w:rPr>
          <w:t>2</w:t>
        </w:r>
        <w:r w:rsidR="00C331F6">
          <w:rPr>
            <w:noProof/>
            <w:webHidden/>
          </w:rPr>
          <w:fldChar w:fldCharType="end"/>
        </w:r>
      </w:hyperlink>
    </w:p>
    <w:p w14:paraId="52512FB3" w14:textId="77777777" w:rsidR="00C331F6" w:rsidRDefault="00ED08CC">
      <w:pPr>
        <w:pStyle w:val="TOC2"/>
        <w:tabs>
          <w:tab w:val="right" w:leader="dot" w:pos="9016"/>
        </w:tabs>
        <w:rPr>
          <w:rFonts w:eastAsiaTheme="minorEastAsia"/>
          <w:noProof/>
          <w:lang w:eastAsia="en-AU"/>
        </w:rPr>
      </w:pPr>
      <w:hyperlink w:anchor="_Toc486319720" w:history="1">
        <w:r w:rsidR="00C331F6" w:rsidRPr="00B826AD">
          <w:rPr>
            <w:rStyle w:val="Hyperlink"/>
            <w:noProof/>
          </w:rPr>
          <w:t>Notes on data and modelling</w:t>
        </w:r>
        <w:r w:rsidR="00C331F6">
          <w:rPr>
            <w:noProof/>
            <w:webHidden/>
          </w:rPr>
          <w:tab/>
        </w:r>
        <w:r w:rsidR="00C331F6">
          <w:rPr>
            <w:noProof/>
            <w:webHidden/>
          </w:rPr>
          <w:fldChar w:fldCharType="begin"/>
        </w:r>
        <w:r w:rsidR="00C331F6">
          <w:rPr>
            <w:noProof/>
            <w:webHidden/>
          </w:rPr>
          <w:instrText xml:space="preserve"> PAGEREF _Toc486319720 \h </w:instrText>
        </w:r>
        <w:r w:rsidR="00C331F6">
          <w:rPr>
            <w:noProof/>
            <w:webHidden/>
          </w:rPr>
        </w:r>
        <w:r w:rsidR="00C331F6">
          <w:rPr>
            <w:noProof/>
            <w:webHidden/>
          </w:rPr>
          <w:fldChar w:fldCharType="separate"/>
        </w:r>
        <w:r>
          <w:rPr>
            <w:noProof/>
            <w:webHidden/>
          </w:rPr>
          <w:t>3</w:t>
        </w:r>
        <w:r w:rsidR="00C331F6">
          <w:rPr>
            <w:noProof/>
            <w:webHidden/>
          </w:rPr>
          <w:fldChar w:fldCharType="end"/>
        </w:r>
      </w:hyperlink>
    </w:p>
    <w:p w14:paraId="0F9FD839" w14:textId="77777777" w:rsidR="00C331F6" w:rsidRDefault="00ED08CC">
      <w:pPr>
        <w:pStyle w:val="TOC1"/>
        <w:tabs>
          <w:tab w:val="left" w:pos="1320"/>
          <w:tab w:val="right" w:leader="dot" w:pos="9016"/>
        </w:tabs>
        <w:rPr>
          <w:rFonts w:eastAsiaTheme="minorEastAsia"/>
          <w:b w:val="0"/>
          <w:noProof/>
          <w:color w:val="auto"/>
          <w:sz w:val="22"/>
          <w:lang w:eastAsia="en-AU"/>
        </w:rPr>
      </w:pPr>
      <w:hyperlink w:anchor="_Toc486319721" w:history="1">
        <w:r w:rsidR="00C331F6" w:rsidRPr="00B826AD">
          <w:rPr>
            <w:rStyle w:val="Hyperlink"/>
            <w:noProof/>
          </w:rPr>
          <w:t>Chapter 1.</w:t>
        </w:r>
        <w:r w:rsidR="00C331F6">
          <w:rPr>
            <w:rFonts w:eastAsiaTheme="minorEastAsia"/>
            <w:b w:val="0"/>
            <w:noProof/>
            <w:color w:val="auto"/>
            <w:sz w:val="22"/>
            <w:lang w:eastAsia="en-AU"/>
          </w:rPr>
          <w:tab/>
        </w:r>
        <w:r w:rsidR="00C331F6" w:rsidRPr="00B826AD">
          <w:rPr>
            <w:rStyle w:val="Hyperlink"/>
            <w:noProof/>
          </w:rPr>
          <w:t>Total support estimates: results and findings</w:t>
        </w:r>
        <w:r w:rsidR="00C331F6">
          <w:rPr>
            <w:noProof/>
            <w:webHidden/>
          </w:rPr>
          <w:tab/>
        </w:r>
        <w:r w:rsidR="00C331F6">
          <w:rPr>
            <w:noProof/>
            <w:webHidden/>
          </w:rPr>
          <w:fldChar w:fldCharType="begin"/>
        </w:r>
        <w:r w:rsidR="00C331F6">
          <w:rPr>
            <w:noProof/>
            <w:webHidden/>
          </w:rPr>
          <w:instrText xml:space="preserve"> PAGEREF _Toc486319721 \h </w:instrText>
        </w:r>
        <w:r w:rsidR="00C331F6">
          <w:rPr>
            <w:noProof/>
            <w:webHidden/>
          </w:rPr>
        </w:r>
        <w:r w:rsidR="00C331F6">
          <w:rPr>
            <w:noProof/>
            <w:webHidden/>
          </w:rPr>
          <w:fldChar w:fldCharType="separate"/>
        </w:r>
        <w:r>
          <w:rPr>
            <w:noProof/>
            <w:webHidden/>
          </w:rPr>
          <w:t>4</w:t>
        </w:r>
        <w:r w:rsidR="00C331F6">
          <w:rPr>
            <w:noProof/>
            <w:webHidden/>
          </w:rPr>
          <w:fldChar w:fldCharType="end"/>
        </w:r>
      </w:hyperlink>
    </w:p>
    <w:p w14:paraId="0236AF4B" w14:textId="77777777" w:rsidR="00C331F6" w:rsidRDefault="00ED08CC">
      <w:pPr>
        <w:pStyle w:val="TOC2"/>
        <w:tabs>
          <w:tab w:val="right" w:leader="dot" w:pos="9016"/>
        </w:tabs>
        <w:rPr>
          <w:rFonts w:eastAsiaTheme="minorEastAsia"/>
          <w:noProof/>
          <w:lang w:eastAsia="en-AU"/>
        </w:rPr>
      </w:pPr>
      <w:hyperlink w:anchor="_Toc486319722" w:history="1">
        <w:r w:rsidR="00C331F6" w:rsidRPr="00B826AD">
          <w:rPr>
            <w:rStyle w:val="Hyperlink"/>
            <w:noProof/>
          </w:rPr>
          <w:t>Model 1. AbaF lowest historical growth of 4.0 per cent</w:t>
        </w:r>
        <w:r w:rsidR="00C331F6">
          <w:rPr>
            <w:noProof/>
            <w:webHidden/>
          </w:rPr>
          <w:tab/>
        </w:r>
        <w:r w:rsidR="00C331F6">
          <w:rPr>
            <w:noProof/>
            <w:webHidden/>
          </w:rPr>
          <w:fldChar w:fldCharType="begin"/>
        </w:r>
        <w:r w:rsidR="00C331F6">
          <w:rPr>
            <w:noProof/>
            <w:webHidden/>
          </w:rPr>
          <w:instrText xml:space="preserve"> PAGEREF _Toc486319722 \h </w:instrText>
        </w:r>
        <w:r w:rsidR="00C331F6">
          <w:rPr>
            <w:noProof/>
            <w:webHidden/>
          </w:rPr>
        </w:r>
        <w:r w:rsidR="00C331F6">
          <w:rPr>
            <w:noProof/>
            <w:webHidden/>
          </w:rPr>
          <w:fldChar w:fldCharType="separate"/>
        </w:r>
        <w:r>
          <w:rPr>
            <w:noProof/>
            <w:webHidden/>
          </w:rPr>
          <w:t>4</w:t>
        </w:r>
        <w:r w:rsidR="00C331F6">
          <w:rPr>
            <w:noProof/>
            <w:webHidden/>
          </w:rPr>
          <w:fldChar w:fldCharType="end"/>
        </w:r>
      </w:hyperlink>
    </w:p>
    <w:p w14:paraId="06EF86A6" w14:textId="77777777" w:rsidR="00C331F6" w:rsidRDefault="00ED08CC">
      <w:pPr>
        <w:pStyle w:val="TOC2"/>
        <w:tabs>
          <w:tab w:val="right" w:leader="dot" w:pos="9016"/>
        </w:tabs>
        <w:rPr>
          <w:rFonts w:eastAsiaTheme="minorEastAsia"/>
          <w:noProof/>
          <w:lang w:eastAsia="en-AU"/>
        </w:rPr>
      </w:pPr>
      <w:hyperlink w:anchor="_Toc486319723" w:history="1">
        <w:r w:rsidR="00C331F6" w:rsidRPr="00B826AD">
          <w:rPr>
            <w:rStyle w:val="Hyperlink"/>
            <w:noProof/>
          </w:rPr>
          <w:t>Model 2. AMPAG data projections of AbaF estimates</w:t>
        </w:r>
        <w:r w:rsidR="00C331F6">
          <w:rPr>
            <w:noProof/>
            <w:webHidden/>
          </w:rPr>
          <w:tab/>
        </w:r>
        <w:r w:rsidR="00C331F6">
          <w:rPr>
            <w:noProof/>
            <w:webHidden/>
          </w:rPr>
          <w:fldChar w:fldCharType="begin"/>
        </w:r>
        <w:r w:rsidR="00C331F6">
          <w:rPr>
            <w:noProof/>
            <w:webHidden/>
          </w:rPr>
          <w:instrText xml:space="preserve"> PAGEREF _Toc486319723 \h </w:instrText>
        </w:r>
        <w:r w:rsidR="00C331F6">
          <w:rPr>
            <w:noProof/>
            <w:webHidden/>
          </w:rPr>
        </w:r>
        <w:r w:rsidR="00C331F6">
          <w:rPr>
            <w:noProof/>
            <w:webHidden/>
          </w:rPr>
          <w:fldChar w:fldCharType="separate"/>
        </w:r>
        <w:r>
          <w:rPr>
            <w:noProof/>
            <w:webHidden/>
          </w:rPr>
          <w:t>5</w:t>
        </w:r>
        <w:r w:rsidR="00C331F6">
          <w:rPr>
            <w:noProof/>
            <w:webHidden/>
          </w:rPr>
          <w:fldChar w:fldCharType="end"/>
        </w:r>
      </w:hyperlink>
    </w:p>
    <w:p w14:paraId="2E0D3CD7" w14:textId="77777777" w:rsidR="00C331F6" w:rsidRDefault="00ED08CC">
      <w:pPr>
        <w:pStyle w:val="TOC2"/>
        <w:tabs>
          <w:tab w:val="right" w:leader="dot" w:pos="9016"/>
        </w:tabs>
        <w:rPr>
          <w:rFonts w:eastAsiaTheme="minorEastAsia"/>
          <w:noProof/>
          <w:lang w:eastAsia="en-AU"/>
        </w:rPr>
      </w:pPr>
      <w:hyperlink w:anchor="_Toc486319724" w:history="1">
        <w:r w:rsidR="00C331F6" w:rsidRPr="00B826AD">
          <w:rPr>
            <w:rStyle w:val="Hyperlink"/>
            <w:noProof/>
          </w:rPr>
          <w:t>Model 3. GOS data projections of AbaF estimates</w:t>
        </w:r>
        <w:r w:rsidR="00C331F6">
          <w:rPr>
            <w:noProof/>
            <w:webHidden/>
          </w:rPr>
          <w:tab/>
        </w:r>
        <w:r w:rsidR="00C331F6">
          <w:rPr>
            <w:noProof/>
            <w:webHidden/>
          </w:rPr>
          <w:fldChar w:fldCharType="begin"/>
        </w:r>
        <w:r w:rsidR="00C331F6">
          <w:rPr>
            <w:noProof/>
            <w:webHidden/>
          </w:rPr>
          <w:instrText xml:space="preserve"> PAGEREF _Toc486319724 \h </w:instrText>
        </w:r>
        <w:r w:rsidR="00C331F6">
          <w:rPr>
            <w:noProof/>
            <w:webHidden/>
          </w:rPr>
        </w:r>
        <w:r w:rsidR="00C331F6">
          <w:rPr>
            <w:noProof/>
            <w:webHidden/>
          </w:rPr>
          <w:fldChar w:fldCharType="separate"/>
        </w:r>
        <w:r>
          <w:rPr>
            <w:noProof/>
            <w:webHidden/>
          </w:rPr>
          <w:t>7</w:t>
        </w:r>
        <w:r w:rsidR="00C331F6">
          <w:rPr>
            <w:noProof/>
            <w:webHidden/>
          </w:rPr>
          <w:fldChar w:fldCharType="end"/>
        </w:r>
      </w:hyperlink>
    </w:p>
    <w:p w14:paraId="4CE3C6DB" w14:textId="77777777" w:rsidR="00C331F6" w:rsidRDefault="00ED08CC">
      <w:pPr>
        <w:pStyle w:val="TOC2"/>
        <w:tabs>
          <w:tab w:val="right" w:leader="dot" w:pos="9016"/>
        </w:tabs>
        <w:rPr>
          <w:rFonts w:eastAsiaTheme="minorEastAsia"/>
          <w:noProof/>
          <w:lang w:eastAsia="en-AU"/>
        </w:rPr>
      </w:pPr>
      <w:hyperlink w:anchor="_Toc486319725" w:history="1">
        <w:r w:rsidR="00C331F6" w:rsidRPr="00B826AD">
          <w:rPr>
            <w:rStyle w:val="Hyperlink"/>
            <w:noProof/>
          </w:rPr>
          <w:t>Models 1–3. Contrasting total support estimates</w:t>
        </w:r>
        <w:r w:rsidR="00C331F6">
          <w:rPr>
            <w:noProof/>
            <w:webHidden/>
          </w:rPr>
          <w:tab/>
        </w:r>
        <w:r w:rsidR="00C331F6">
          <w:rPr>
            <w:noProof/>
            <w:webHidden/>
          </w:rPr>
          <w:fldChar w:fldCharType="begin"/>
        </w:r>
        <w:r w:rsidR="00C331F6">
          <w:rPr>
            <w:noProof/>
            <w:webHidden/>
          </w:rPr>
          <w:instrText xml:space="preserve"> PAGEREF _Toc486319725 \h </w:instrText>
        </w:r>
        <w:r w:rsidR="00C331F6">
          <w:rPr>
            <w:noProof/>
            <w:webHidden/>
          </w:rPr>
        </w:r>
        <w:r w:rsidR="00C331F6">
          <w:rPr>
            <w:noProof/>
            <w:webHidden/>
          </w:rPr>
          <w:fldChar w:fldCharType="separate"/>
        </w:r>
        <w:r>
          <w:rPr>
            <w:noProof/>
            <w:webHidden/>
          </w:rPr>
          <w:t>9</w:t>
        </w:r>
        <w:r w:rsidR="00C331F6">
          <w:rPr>
            <w:noProof/>
            <w:webHidden/>
          </w:rPr>
          <w:fldChar w:fldCharType="end"/>
        </w:r>
      </w:hyperlink>
    </w:p>
    <w:p w14:paraId="5950AA71" w14:textId="77777777" w:rsidR="00C331F6" w:rsidRDefault="00ED08CC">
      <w:pPr>
        <w:pStyle w:val="TOC1"/>
        <w:tabs>
          <w:tab w:val="left" w:pos="1320"/>
          <w:tab w:val="right" w:leader="dot" w:pos="9016"/>
        </w:tabs>
        <w:rPr>
          <w:rFonts w:eastAsiaTheme="minorEastAsia"/>
          <w:b w:val="0"/>
          <w:noProof/>
          <w:color w:val="auto"/>
          <w:sz w:val="22"/>
          <w:lang w:eastAsia="en-AU"/>
        </w:rPr>
      </w:pPr>
      <w:hyperlink w:anchor="_Toc486319726" w:history="1">
        <w:r w:rsidR="00C331F6" w:rsidRPr="00B826AD">
          <w:rPr>
            <w:rStyle w:val="Hyperlink"/>
            <w:noProof/>
          </w:rPr>
          <w:t>Chapter 2.</w:t>
        </w:r>
        <w:r w:rsidR="00C331F6">
          <w:rPr>
            <w:rFonts w:eastAsiaTheme="minorEastAsia"/>
            <w:b w:val="0"/>
            <w:noProof/>
            <w:color w:val="auto"/>
            <w:sz w:val="22"/>
            <w:lang w:eastAsia="en-AU"/>
          </w:rPr>
          <w:tab/>
        </w:r>
        <w:r w:rsidR="00C331F6" w:rsidRPr="00B826AD">
          <w:rPr>
            <w:rStyle w:val="Hyperlink"/>
            <w:noProof/>
          </w:rPr>
          <w:t>Donations estimates: results and findings</w:t>
        </w:r>
        <w:r w:rsidR="00C331F6">
          <w:rPr>
            <w:noProof/>
            <w:webHidden/>
          </w:rPr>
          <w:tab/>
        </w:r>
        <w:r w:rsidR="00C331F6">
          <w:rPr>
            <w:noProof/>
            <w:webHidden/>
          </w:rPr>
          <w:fldChar w:fldCharType="begin"/>
        </w:r>
        <w:r w:rsidR="00C331F6">
          <w:rPr>
            <w:noProof/>
            <w:webHidden/>
          </w:rPr>
          <w:instrText xml:space="preserve"> PAGEREF _Toc486319726 \h </w:instrText>
        </w:r>
        <w:r w:rsidR="00C331F6">
          <w:rPr>
            <w:noProof/>
            <w:webHidden/>
          </w:rPr>
        </w:r>
        <w:r w:rsidR="00C331F6">
          <w:rPr>
            <w:noProof/>
            <w:webHidden/>
          </w:rPr>
          <w:fldChar w:fldCharType="separate"/>
        </w:r>
        <w:r>
          <w:rPr>
            <w:noProof/>
            <w:webHidden/>
          </w:rPr>
          <w:t>11</w:t>
        </w:r>
        <w:r w:rsidR="00C331F6">
          <w:rPr>
            <w:noProof/>
            <w:webHidden/>
          </w:rPr>
          <w:fldChar w:fldCharType="end"/>
        </w:r>
      </w:hyperlink>
    </w:p>
    <w:p w14:paraId="06A7A259" w14:textId="77777777" w:rsidR="00C331F6" w:rsidRDefault="00ED08CC">
      <w:pPr>
        <w:pStyle w:val="TOC2"/>
        <w:tabs>
          <w:tab w:val="right" w:leader="dot" w:pos="9016"/>
        </w:tabs>
        <w:rPr>
          <w:rFonts w:eastAsiaTheme="minorEastAsia"/>
          <w:noProof/>
          <w:lang w:eastAsia="en-AU"/>
        </w:rPr>
      </w:pPr>
      <w:hyperlink w:anchor="_Toc486319727" w:history="1">
        <w:r w:rsidR="00C331F6" w:rsidRPr="00B826AD">
          <w:rPr>
            <w:rStyle w:val="Hyperlink"/>
            <w:noProof/>
          </w:rPr>
          <w:t>Model 4. AbaF donations lowest positive historical growth of 6.2 per cent</w:t>
        </w:r>
        <w:r w:rsidR="00C331F6">
          <w:rPr>
            <w:noProof/>
            <w:webHidden/>
          </w:rPr>
          <w:tab/>
        </w:r>
        <w:r w:rsidR="00C331F6">
          <w:rPr>
            <w:noProof/>
            <w:webHidden/>
          </w:rPr>
          <w:fldChar w:fldCharType="begin"/>
        </w:r>
        <w:r w:rsidR="00C331F6">
          <w:rPr>
            <w:noProof/>
            <w:webHidden/>
          </w:rPr>
          <w:instrText xml:space="preserve"> PAGEREF _Toc486319727 \h </w:instrText>
        </w:r>
        <w:r w:rsidR="00C331F6">
          <w:rPr>
            <w:noProof/>
            <w:webHidden/>
          </w:rPr>
        </w:r>
        <w:r w:rsidR="00C331F6">
          <w:rPr>
            <w:noProof/>
            <w:webHidden/>
          </w:rPr>
          <w:fldChar w:fldCharType="separate"/>
        </w:r>
        <w:r>
          <w:rPr>
            <w:noProof/>
            <w:webHidden/>
          </w:rPr>
          <w:t>11</w:t>
        </w:r>
        <w:r w:rsidR="00C331F6">
          <w:rPr>
            <w:noProof/>
            <w:webHidden/>
          </w:rPr>
          <w:fldChar w:fldCharType="end"/>
        </w:r>
      </w:hyperlink>
    </w:p>
    <w:p w14:paraId="680BD605" w14:textId="77777777" w:rsidR="00C331F6" w:rsidRDefault="00ED08CC">
      <w:pPr>
        <w:pStyle w:val="TOC2"/>
        <w:tabs>
          <w:tab w:val="right" w:leader="dot" w:pos="9016"/>
        </w:tabs>
        <w:rPr>
          <w:rFonts w:eastAsiaTheme="minorEastAsia"/>
          <w:noProof/>
          <w:lang w:eastAsia="en-AU"/>
        </w:rPr>
      </w:pPr>
      <w:hyperlink w:anchor="_Toc486319728" w:history="1">
        <w:r w:rsidR="00C331F6" w:rsidRPr="00B826AD">
          <w:rPr>
            <w:rStyle w:val="Hyperlink"/>
            <w:noProof/>
          </w:rPr>
          <w:t>Model 5. AMPAG donations data projections of AbaF donations estimates</w:t>
        </w:r>
        <w:r w:rsidR="00C331F6">
          <w:rPr>
            <w:noProof/>
            <w:webHidden/>
          </w:rPr>
          <w:tab/>
        </w:r>
        <w:r w:rsidR="00C331F6">
          <w:rPr>
            <w:noProof/>
            <w:webHidden/>
          </w:rPr>
          <w:fldChar w:fldCharType="begin"/>
        </w:r>
        <w:r w:rsidR="00C331F6">
          <w:rPr>
            <w:noProof/>
            <w:webHidden/>
          </w:rPr>
          <w:instrText xml:space="preserve"> PAGEREF _Toc486319728 \h </w:instrText>
        </w:r>
        <w:r w:rsidR="00C331F6">
          <w:rPr>
            <w:noProof/>
            <w:webHidden/>
          </w:rPr>
        </w:r>
        <w:r w:rsidR="00C331F6">
          <w:rPr>
            <w:noProof/>
            <w:webHidden/>
          </w:rPr>
          <w:fldChar w:fldCharType="separate"/>
        </w:r>
        <w:r>
          <w:rPr>
            <w:noProof/>
            <w:webHidden/>
          </w:rPr>
          <w:t>12</w:t>
        </w:r>
        <w:r w:rsidR="00C331F6">
          <w:rPr>
            <w:noProof/>
            <w:webHidden/>
          </w:rPr>
          <w:fldChar w:fldCharType="end"/>
        </w:r>
      </w:hyperlink>
    </w:p>
    <w:p w14:paraId="291E65AB" w14:textId="77777777" w:rsidR="00C331F6" w:rsidRDefault="00ED08CC">
      <w:pPr>
        <w:pStyle w:val="TOC2"/>
        <w:tabs>
          <w:tab w:val="right" w:leader="dot" w:pos="9016"/>
        </w:tabs>
        <w:rPr>
          <w:rFonts w:eastAsiaTheme="minorEastAsia"/>
          <w:noProof/>
          <w:lang w:eastAsia="en-AU"/>
        </w:rPr>
      </w:pPr>
      <w:hyperlink w:anchor="_Toc486319729" w:history="1">
        <w:r w:rsidR="00C331F6" w:rsidRPr="00B826AD">
          <w:rPr>
            <w:rStyle w:val="Hyperlink"/>
            <w:noProof/>
          </w:rPr>
          <w:t>Model 6. GOS data projections of AbaF donations estimates</w:t>
        </w:r>
        <w:r w:rsidR="00C331F6">
          <w:rPr>
            <w:noProof/>
            <w:webHidden/>
          </w:rPr>
          <w:tab/>
        </w:r>
        <w:r w:rsidR="00C331F6">
          <w:rPr>
            <w:noProof/>
            <w:webHidden/>
          </w:rPr>
          <w:fldChar w:fldCharType="begin"/>
        </w:r>
        <w:r w:rsidR="00C331F6">
          <w:rPr>
            <w:noProof/>
            <w:webHidden/>
          </w:rPr>
          <w:instrText xml:space="preserve"> PAGEREF _Toc486319729 \h </w:instrText>
        </w:r>
        <w:r w:rsidR="00C331F6">
          <w:rPr>
            <w:noProof/>
            <w:webHidden/>
          </w:rPr>
        </w:r>
        <w:r w:rsidR="00C331F6">
          <w:rPr>
            <w:noProof/>
            <w:webHidden/>
          </w:rPr>
          <w:fldChar w:fldCharType="separate"/>
        </w:r>
        <w:r>
          <w:rPr>
            <w:noProof/>
            <w:webHidden/>
          </w:rPr>
          <w:t>14</w:t>
        </w:r>
        <w:r w:rsidR="00C331F6">
          <w:rPr>
            <w:noProof/>
            <w:webHidden/>
          </w:rPr>
          <w:fldChar w:fldCharType="end"/>
        </w:r>
      </w:hyperlink>
    </w:p>
    <w:p w14:paraId="0E2F2186" w14:textId="77777777" w:rsidR="00C331F6" w:rsidRDefault="00ED08CC">
      <w:pPr>
        <w:pStyle w:val="TOC2"/>
        <w:tabs>
          <w:tab w:val="right" w:leader="dot" w:pos="9016"/>
        </w:tabs>
        <w:rPr>
          <w:rFonts w:eastAsiaTheme="minorEastAsia"/>
          <w:noProof/>
          <w:lang w:eastAsia="en-AU"/>
        </w:rPr>
      </w:pPr>
      <w:hyperlink w:anchor="_Toc486319730" w:history="1">
        <w:r w:rsidR="00C331F6" w:rsidRPr="00B826AD">
          <w:rPr>
            <w:rStyle w:val="Hyperlink"/>
            <w:noProof/>
          </w:rPr>
          <w:t>Models 4–6. Contrasting donations estimates</w:t>
        </w:r>
        <w:r w:rsidR="00C331F6">
          <w:rPr>
            <w:noProof/>
            <w:webHidden/>
          </w:rPr>
          <w:tab/>
        </w:r>
        <w:r w:rsidR="00C331F6">
          <w:rPr>
            <w:noProof/>
            <w:webHidden/>
          </w:rPr>
          <w:fldChar w:fldCharType="begin"/>
        </w:r>
        <w:r w:rsidR="00C331F6">
          <w:rPr>
            <w:noProof/>
            <w:webHidden/>
          </w:rPr>
          <w:instrText xml:space="preserve"> PAGEREF _Toc486319730 \h </w:instrText>
        </w:r>
        <w:r w:rsidR="00C331F6">
          <w:rPr>
            <w:noProof/>
            <w:webHidden/>
          </w:rPr>
        </w:r>
        <w:r w:rsidR="00C331F6">
          <w:rPr>
            <w:noProof/>
            <w:webHidden/>
          </w:rPr>
          <w:fldChar w:fldCharType="separate"/>
        </w:r>
        <w:r>
          <w:rPr>
            <w:noProof/>
            <w:webHidden/>
          </w:rPr>
          <w:t>16</w:t>
        </w:r>
        <w:r w:rsidR="00C331F6">
          <w:rPr>
            <w:noProof/>
            <w:webHidden/>
          </w:rPr>
          <w:fldChar w:fldCharType="end"/>
        </w:r>
      </w:hyperlink>
    </w:p>
    <w:p w14:paraId="4125C156" w14:textId="77777777" w:rsidR="00C331F6" w:rsidRDefault="00ED08CC">
      <w:pPr>
        <w:pStyle w:val="TOC1"/>
        <w:tabs>
          <w:tab w:val="left" w:pos="1320"/>
          <w:tab w:val="right" w:leader="dot" w:pos="9016"/>
        </w:tabs>
        <w:rPr>
          <w:rFonts w:eastAsiaTheme="minorEastAsia"/>
          <w:b w:val="0"/>
          <w:noProof/>
          <w:color w:val="auto"/>
          <w:sz w:val="22"/>
          <w:lang w:eastAsia="en-AU"/>
        </w:rPr>
      </w:pPr>
      <w:hyperlink w:anchor="_Toc486319731" w:history="1">
        <w:r w:rsidR="00C331F6" w:rsidRPr="00B826AD">
          <w:rPr>
            <w:rStyle w:val="Hyperlink"/>
            <w:noProof/>
          </w:rPr>
          <w:t>Chapter 3.</w:t>
        </w:r>
        <w:r w:rsidR="00C331F6">
          <w:rPr>
            <w:rFonts w:eastAsiaTheme="minorEastAsia"/>
            <w:b w:val="0"/>
            <w:noProof/>
            <w:color w:val="auto"/>
            <w:sz w:val="22"/>
            <w:lang w:eastAsia="en-AU"/>
          </w:rPr>
          <w:tab/>
        </w:r>
        <w:r w:rsidR="00C331F6" w:rsidRPr="00B826AD">
          <w:rPr>
            <w:rStyle w:val="Hyperlink"/>
            <w:noProof/>
          </w:rPr>
          <w:t>Sponsorship estimates: results and findings</w:t>
        </w:r>
        <w:r w:rsidR="00C331F6">
          <w:rPr>
            <w:noProof/>
            <w:webHidden/>
          </w:rPr>
          <w:tab/>
        </w:r>
        <w:r w:rsidR="00C331F6">
          <w:rPr>
            <w:noProof/>
            <w:webHidden/>
          </w:rPr>
          <w:fldChar w:fldCharType="begin"/>
        </w:r>
        <w:r w:rsidR="00C331F6">
          <w:rPr>
            <w:noProof/>
            <w:webHidden/>
          </w:rPr>
          <w:instrText xml:space="preserve"> PAGEREF _Toc486319731 \h </w:instrText>
        </w:r>
        <w:r w:rsidR="00C331F6">
          <w:rPr>
            <w:noProof/>
            <w:webHidden/>
          </w:rPr>
        </w:r>
        <w:r w:rsidR="00C331F6">
          <w:rPr>
            <w:noProof/>
            <w:webHidden/>
          </w:rPr>
          <w:fldChar w:fldCharType="separate"/>
        </w:r>
        <w:r>
          <w:rPr>
            <w:noProof/>
            <w:webHidden/>
          </w:rPr>
          <w:t>17</w:t>
        </w:r>
        <w:r w:rsidR="00C331F6">
          <w:rPr>
            <w:noProof/>
            <w:webHidden/>
          </w:rPr>
          <w:fldChar w:fldCharType="end"/>
        </w:r>
      </w:hyperlink>
    </w:p>
    <w:p w14:paraId="6076C7CC" w14:textId="77777777" w:rsidR="00C331F6" w:rsidRDefault="00ED08CC">
      <w:pPr>
        <w:pStyle w:val="TOC2"/>
        <w:tabs>
          <w:tab w:val="right" w:leader="dot" w:pos="9016"/>
        </w:tabs>
        <w:rPr>
          <w:rFonts w:eastAsiaTheme="minorEastAsia"/>
          <w:noProof/>
          <w:lang w:eastAsia="en-AU"/>
        </w:rPr>
      </w:pPr>
      <w:hyperlink w:anchor="_Toc486319732" w:history="1">
        <w:r w:rsidR="00C331F6" w:rsidRPr="00B826AD">
          <w:rPr>
            <w:rStyle w:val="Hyperlink"/>
            <w:noProof/>
          </w:rPr>
          <w:t>Model 7. AbaF sponsorship lowest positive historical growth of 1.6 per cent</w:t>
        </w:r>
        <w:r w:rsidR="00C331F6">
          <w:rPr>
            <w:noProof/>
            <w:webHidden/>
          </w:rPr>
          <w:tab/>
        </w:r>
        <w:r w:rsidR="00C331F6">
          <w:rPr>
            <w:noProof/>
            <w:webHidden/>
          </w:rPr>
          <w:fldChar w:fldCharType="begin"/>
        </w:r>
        <w:r w:rsidR="00C331F6">
          <w:rPr>
            <w:noProof/>
            <w:webHidden/>
          </w:rPr>
          <w:instrText xml:space="preserve"> PAGEREF _Toc486319732 \h </w:instrText>
        </w:r>
        <w:r w:rsidR="00C331F6">
          <w:rPr>
            <w:noProof/>
            <w:webHidden/>
          </w:rPr>
        </w:r>
        <w:r w:rsidR="00C331F6">
          <w:rPr>
            <w:noProof/>
            <w:webHidden/>
          </w:rPr>
          <w:fldChar w:fldCharType="separate"/>
        </w:r>
        <w:r>
          <w:rPr>
            <w:noProof/>
            <w:webHidden/>
          </w:rPr>
          <w:t>17</w:t>
        </w:r>
        <w:r w:rsidR="00C331F6">
          <w:rPr>
            <w:noProof/>
            <w:webHidden/>
          </w:rPr>
          <w:fldChar w:fldCharType="end"/>
        </w:r>
      </w:hyperlink>
    </w:p>
    <w:p w14:paraId="47DBC8DB" w14:textId="77777777" w:rsidR="00C331F6" w:rsidRDefault="00ED08CC">
      <w:pPr>
        <w:pStyle w:val="TOC2"/>
        <w:tabs>
          <w:tab w:val="right" w:leader="dot" w:pos="9016"/>
        </w:tabs>
        <w:rPr>
          <w:rFonts w:eastAsiaTheme="minorEastAsia"/>
          <w:noProof/>
          <w:lang w:eastAsia="en-AU"/>
        </w:rPr>
      </w:pPr>
      <w:hyperlink w:anchor="_Toc486319733" w:history="1">
        <w:r w:rsidR="00C331F6" w:rsidRPr="00B826AD">
          <w:rPr>
            <w:rStyle w:val="Hyperlink"/>
            <w:noProof/>
          </w:rPr>
          <w:t>Model 8. AMPAG sponsorship data projections of AbaF sponsorship estimates</w:t>
        </w:r>
        <w:r w:rsidR="00C331F6">
          <w:rPr>
            <w:noProof/>
            <w:webHidden/>
          </w:rPr>
          <w:tab/>
        </w:r>
        <w:r w:rsidR="00C331F6">
          <w:rPr>
            <w:noProof/>
            <w:webHidden/>
          </w:rPr>
          <w:fldChar w:fldCharType="begin"/>
        </w:r>
        <w:r w:rsidR="00C331F6">
          <w:rPr>
            <w:noProof/>
            <w:webHidden/>
          </w:rPr>
          <w:instrText xml:space="preserve"> PAGEREF _Toc486319733 \h </w:instrText>
        </w:r>
        <w:r w:rsidR="00C331F6">
          <w:rPr>
            <w:noProof/>
            <w:webHidden/>
          </w:rPr>
        </w:r>
        <w:r w:rsidR="00C331F6">
          <w:rPr>
            <w:noProof/>
            <w:webHidden/>
          </w:rPr>
          <w:fldChar w:fldCharType="separate"/>
        </w:r>
        <w:r>
          <w:rPr>
            <w:noProof/>
            <w:webHidden/>
          </w:rPr>
          <w:t>19</w:t>
        </w:r>
        <w:r w:rsidR="00C331F6">
          <w:rPr>
            <w:noProof/>
            <w:webHidden/>
          </w:rPr>
          <w:fldChar w:fldCharType="end"/>
        </w:r>
      </w:hyperlink>
    </w:p>
    <w:p w14:paraId="55B55B0A" w14:textId="77777777" w:rsidR="00C331F6" w:rsidRDefault="00ED08CC">
      <w:pPr>
        <w:pStyle w:val="TOC2"/>
        <w:tabs>
          <w:tab w:val="right" w:leader="dot" w:pos="9016"/>
        </w:tabs>
        <w:rPr>
          <w:rFonts w:eastAsiaTheme="minorEastAsia"/>
          <w:noProof/>
          <w:lang w:eastAsia="en-AU"/>
        </w:rPr>
      </w:pPr>
      <w:hyperlink w:anchor="_Toc486319734" w:history="1">
        <w:r w:rsidR="00C331F6" w:rsidRPr="00B826AD">
          <w:rPr>
            <w:rStyle w:val="Hyperlink"/>
            <w:noProof/>
          </w:rPr>
          <w:t>Model 9. GOS sponsorship data projections of AbaF sponsorship estimates</w:t>
        </w:r>
        <w:r w:rsidR="00C331F6">
          <w:rPr>
            <w:noProof/>
            <w:webHidden/>
          </w:rPr>
          <w:tab/>
        </w:r>
        <w:r w:rsidR="00C331F6">
          <w:rPr>
            <w:noProof/>
            <w:webHidden/>
          </w:rPr>
          <w:fldChar w:fldCharType="begin"/>
        </w:r>
        <w:r w:rsidR="00C331F6">
          <w:rPr>
            <w:noProof/>
            <w:webHidden/>
          </w:rPr>
          <w:instrText xml:space="preserve"> PAGEREF _Toc486319734 \h </w:instrText>
        </w:r>
        <w:r w:rsidR="00C331F6">
          <w:rPr>
            <w:noProof/>
            <w:webHidden/>
          </w:rPr>
        </w:r>
        <w:r w:rsidR="00C331F6">
          <w:rPr>
            <w:noProof/>
            <w:webHidden/>
          </w:rPr>
          <w:fldChar w:fldCharType="separate"/>
        </w:r>
        <w:r>
          <w:rPr>
            <w:noProof/>
            <w:webHidden/>
          </w:rPr>
          <w:t>21</w:t>
        </w:r>
        <w:r w:rsidR="00C331F6">
          <w:rPr>
            <w:noProof/>
            <w:webHidden/>
          </w:rPr>
          <w:fldChar w:fldCharType="end"/>
        </w:r>
      </w:hyperlink>
    </w:p>
    <w:p w14:paraId="29727489" w14:textId="77777777" w:rsidR="00C331F6" w:rsidRDefault="00ED08CC">
      <w:pPr>
        <w:pStyle w:val="TOC2"/>
        <w:tabs>
          <w:tab w:val="right" w:leader="dot" w:pos="9016"/>
        </w:tabs>
        <w:rPr>
          <w:rFonts w:eastAsiaTheme="minorEastAsia"/>
          <w:noProof/>
          <w:lang w:eastAsia="en-AU"/>
        </w:rPr>
      </w:pPr>
      <w:hyperlink w:anchor="_Toc486319735" w:history="1">
        <w:r w:rsidR="00C331F6" w:rsidRPr="00B826AD">
          <w:rPr>
            <w:rStyle w:val="Hyperlink"/>
            <w:noProof/>
          </w:rPr>
          <w:t>Models 7–9. Contrasting sponsorships estimates</w:t>
        </w:r>
        <w:r w:rsidR="00C331F6">
          <w:rPr>
            <w:noProof/>
            <w:webHidden/>
          </w:rPr>
          <w:tab/>
        </w:r>
        <w:r w:rsidR="00C331F6">
          <w:rPr>
            <w:noProof/>
            <w:webHidden/>
          </w:rPr>
          <w:fldChar w:fldCharType="begin"/>
        </w:r>
        <w:r w:rsidR="00C331F6">
          <w:rPr>
            <w:noProof/>
            <w:webHidden/>
          </w:rPr>
          <w:instrText xml:space="preserve"> PAGEREF _Toc486319735 \h </w:instrText>
        </w:r>
        <w:r w:rsidR="00C331F6">
          <w:rPr>
            <w:noProof/>
            <w:webHidden/>
          </w:rPr>
        </w:r>
        <w:r w:rsidR="00C331F6">
          <w:rPr>
            <w:noProof/>
            <w:webHidden/>
          </w:rPr>
          <w:fldChar w:fldCharType="separate"/>
        </w:r>
        <w:r>
          <w:rPr>
            <w:noProof/>
            <w:webHidden/>
          </w:rPr>
          <w:t>23</w:t>
        </w:r>
        <w:r w:rsidR="00C331F6">
          <w:rPr>
            <w:noProof/>
            <w:webHidden/>
          </w:rPr>
          <w:fldChar w:fldCharType="end"/>
        </w:r>
      </w:hyperlink>
    </w:p>
    <w:p w14:paraId="26ED86CF" w14:textId="77777777" w:rsidR="00C331F6" w:rsidRDefault="00ED08CC">
      <w:pPr>
        <w:pStyle w:val="TOC1"/>
        <w:tabs>
          <w:tab w:val="right" w:leader="dot" w:pos="9016"/>
        </w:tabs>
        <w:rPr>
          <w:rFonts w:eastAsiaTheme="minorEastAsia"/>
          <w:b w:val="0"/>
          <w:noProof/>
          <w:color w:val="auto"/>
          <w:sz w:val="22"/>
          <w:lang w:eastAsia="en-AU"/>
        </w:rPr>
      </w:pPr>
      <w:hyperlink w:anchor="_Toc486319736" w:history="1">
        <w:r w:rsidR="00C331F6" w:rsidRPr="00B826AD">
          <w:rPr>
            <w:rStyle w:val="Hyperlink"/>
            <w:noProof/>
          </w:rPr>
          <w:t>Appendix 1. Research boundaries</w:t>
        </w:r>
        <w:r w:rsidR="00C331F6">
          <w:rPr>
            <w:noProof/>
            <w:webHidden/>
          </w:rPr>
          <w:tab/>
        </w:r>
        <w:r w:rsidR="00C331F6">
          <w:rPr>
            <w:noProof/>
            <w:webHidden/>
          </w:rPr>
          <w:fldChar w:fldCharType="begin"/>
        </w:r>
        <w:r w:rsidR="00C331F6">
          <w:rPr>
            <w:noProof/>
            <w:webHidden/>
          </w:rPr>
          <w:instrText xml:space="preserve"> PAGEREF _Toc486319736 \h </w:instrText>
        </w:r>
        <w:r w:rsidR="00C331F6">
          <w:rPr>
            <w:noProof/>
            <w:webHidden/>
          </w:rPr>
        </w:r>
        <w:r w:rsidR="00C331F6">
          <w:rPr>
            <w:noProof/>
            <w:webHidden/>
          </w:rPr>
          <w:fldChar w:fldCharType="separate"/>
        </w:r>
        <w:r>
          <w:rPr>
            <w:noProof/>
            <w:webHidden/>
          </w:rPr>
          <w:t>25</w:t>
        </w:r>
        <w:r w:rsidR="00C331F6">
          <w:rPr>
            <w:noProof/>
            <w:webHidden/>
          </w:rPr>
          <w:fldChar w:fldCharType="end"/>
        </w:r>
      </w:hyperlink>
    </w:p>
    <w:p w14:paraId="01598147" w14:textId="77777777" w:rsidR="00C331F6" w:rsidRDefault="00ED08CC">
      <w:pPr>
        <w:pStyle w:val="TOC1"/>
        <w:tabs>
          <w:tab w:val="right" w:leader="dot" w:pos="9016"/>
        </w:tabs>
        <w:rPr>
          <w:rFonts w:eastAsiaTheme="minorEastAsia"/>
          <w:b w:val="0"/>
          <w:noProof/>
          <w:color w:val="auto"/>
          <w:sz w:val="22"/>
          <w:lang w:eastAsia="en-AU"/>
        </w:rPr>
      </w:pPr>
      <w:hyperlink w:anchor="_Toc486319737" w:history="1">
        <w:r w:rsidR="00C331F6" w:rsidRPr="00B826AD">
          <w:rPr>
            <w:rStyle w:val="Hyperlink"/>
            <w:noProof/>
          </w:rPr>
          <w:t>Appendix 2. Methodology</w:t>
        </w:r>
        <w:r w:rsidR="00C331F6">
          <w:rPr>
            <w:noProof/>
            <w:webHidden/>
          </w:rPr>
          <w:tab/>
        </w:r>
        <w:r w:rsidR="00C331F6">
          <w:rPr>
            <w:noProof/>
            <w:webHidden/>
          </w:rPr>
          <w:fldChar w:fldCharType="begin"/>
        </w:r>
        <w:r w:rsidR="00C331F6">
          <w:rPr>
            <w:noProof/>
            <w:webHidden/>
          </w:rPr>
          <w:instrText xml:space="preserve"> PAGEREF _Toc486319737 \h </w:instrText>
        </w:r>
        <w:r w:rsidR="00C331F6">
          <w:rPr>
            <w:noProof/>
            <w:webHidden/>
          </w:rPr>
        </w:r>
        <w:r w:rsidR="00C331F6">
          <w:rPr>
            <w:noProof/>
            <w:webHidden/>
          </w:rPr>
          <w:fldChar w:fldCharType="separate"/>
        </w:r>
        <w:r>
          <w:rPr>
            <w:noProof/>
            <w:webHidden/>
          </w:rPr>
          <w:t>26</w:t>
        </w:r>
        <w:r w:rsidR="00C331F6">
          <w:rPr>
            <w:noProof/>
            <w:webHidden/>
          </w:rPr>
          <w:fldChar w:fldCharType="end"/>
        </w:r>
      </w:hyperlink>
    </w:p>
    <w:p w14:paraId="61C13E9B" w14:textId="77777777" w:rsidR="00C331F6" w:rsidRDefault="00ED08CC">
      <w:pPr>
        <w:pStyle w:val="TOC2"/>
        <w:tabs>
          <w:tab w:val="right" w:leader="dot" w:pos="9016"/>
        </w:tabs>
        <w:rPr>
          <w:rFonts w:eastAsiaTheme="minorEastAsia"/>
          <w:noProof/>
          <w:lang w:eastAsia="en-AU"/>
        </w:rPr>
      </w:pPr>
      <w:hyperlink w:anchor="_Toc486319738" w:history="1">
        <w:r w:rsidR="00C331F6" w:rsidRPr="00B826AD">
          <w:rPr>
            <w:rStyle w:val="Hyperlink"/>
            <w:noProof/>
          </w:rPr>
          <w:t>Defining private sector support for the arts</w:t>
        </w:r>
        <w:r w:rsidR="00C331F6">
          <w:rPr>
            <w:noProof/>
            <w:webHidden/>
          </w:rPr>
          <w:tab/>
        </w:r>
        <w:r w:rsidR="00C331F6">
          <w:rPr>
            <w:noProof/>
            <w:webHidden/>
          </w:rPr>
          <w:fldChar w:fldCharType="begin"/>
        </w:r>
        <w:r w:rsidR="00C331F6">
          <w:rPr>
            <w:noProof/>
            <w:webHidden/>
          </w:rPr>
          <w:instrText xml:space="preserve"> PAGEREF _Toc486319738 \h </w:instrText>
        </w:r>
        <w:r w:rsidR="00C331F6">
          <w:rPr>
            <w:noProof/>
            <w:webHidden/>
          </w:rPr>
        </w:r>
        <w:r w:rsidR="00C331F6">
          <w:rPr>
            <w:noProof/>
            <w:webHidden/>
          </w:rPr>
          <w:fldChar w:fldCharType="separate"/>
        </w:r>
        <w:r>
          <w:rPr>
            <w:noProof/>
            <w:webHidden/>
          </w:rPr>
          <w:t>26</w:t>
        </w:r>
        <w:r w:rsidR="00C331F6">
          <w:rPr>
            <w:noProof/>
            <w:webHidden/>
          </w:rPr>
          <w:fldChar w:fldCharType="end"/>
        </w:r>
      </w:hyperlink>
    </w:p>
    <w:p w14:paraId="4D8BBAE4" w14:textId="77777777" w:rsidR="00C331F6" w:rsidRDefault="00ED08CC">
      <w:pPr>
        <w:pStyle w:val="TOC2"/>
        <w:tabs>
          <w:tab w:val="right" w:leader="dot" w:pos="9016"/>
        </w:tabs>
        <w:rPr>
          <w:rFonts w:eastAsiaTheme="minorEastAsia"/>
          <w:noProof/>
          <w:lang w:eastAsia="en-AU"/>
        </w:rPr>
      </w:pPr>
      <w:hyperlink w:anchor="_Toc486319739" w:history="1">
        <w:r w:rsidR="00C331F6" w:rsidRPr="00B826AD">
          <w:rPr>
            <w:rStyle w:val="Hyperlink"/>
            <w:noProof/>
          </w:rPr>
          <w:t>Data collection</w:t>
        </w:r>
        <w:r w:rsidR="00C331F6">
          <w:rPr>
            <w:noProof/>
            <w:webHidden/>
          </w:rPr>
          <w:tab/>
        </w:r>
        <w:r w:rsidR="00C331F6">
          <w:rPr>
            <w:noProof/>
            <w:webHidden/>
          </w:rPr>
          <w:fldChar w:fldCharType="begin"/>
        </w:r>
        <w:r w:rsidR="00C331F6">
          <w:rPr>
            <w:noProof/>
            <w:webHidden/>
          </w:rPr>
          <w:instrText xml:space="preserve"> PAGEREF _Toc486319739 \h </w:instrText>
        </w:r>
        <w:r w:rsidR="00C331F6">
          <w:rPr>
            <w:noProof/>
            <w:webHidden/>
          </w:rPr>
        </w:r>
        <w:r w:rsidR="00C331F6">
          <w:rPr>
            <w:noProof/>
            <w:webHidden/>
          </w:rPr>
          <w:fldChar w:fldCharType="separate"/>
        </w:r>
        <w:r>
          <w:rPr>
            <w:noProof/>
            <w:webHidden/>
          </w:rPr>
          <w:t>26</w:t>
        </w:r>
        <w:r w:rsidR="00C331F6">
          <w:rPr>
            <w:noProof/>
            <w:webHidden/>
          </w:rPr>
          <w:fldChar w:fldCharType="end"/>
        </w:r>
      </w:hyperlink>
    </w:p>
    <w:p w14:paraId="048DA86E" w14:textId="77777777" w:rsidR="00C331F6" w:rsidRDefault="00ED08CC">
      <w:pPr>
        <w:pStyle w:val="TOC2"/>
        <w:tabs>
          <w:tab w:val="right" w:leader="dot" w:pos="9016"/>
        </w:tabs>
        <w:rPr>
          <w:rFonts w:eastAsiaTheme="minorEastAsia"/>
          <w:noProof/>
          <w:lang w:eastAsia="en-AU"/>
        </w:rPr>
      </w:pPr>
      <w:hyperlink w:anchor="_Toc486319740" w:history="1">
        <w:r w:rsidR="00C331F6" w:rsidRPr="00B826AD">
          <w:rPr>
            <w:rStyle w:val="Hyperlink"/>
            <w:noProof/>
          </w:rPr>
          <w:t>Data representativeness</w:t>
        </w:r>
        <w:r w:rsidR="00C331F6">
          <w:rPr>
            <w:noProof/>
            <w:webHidden/>
          </w:rPr>
          <w:tab/>
        </w:r>
        <w:r w:rsidR="00C331F6">
          <w:rPr>
            <w:noProof/>
            <w:webHidden/>
          </w:rPr>
          <w:fldChar w:fldCharType="begin"/>
        </w:r>
        <w:r w:rsidR="00C331F6">
          <w:rPr>
            <w:noProof/>
            <w:webHidden/>
          </w:rPr>
          <w:instrText xml:space="preserve"> PAGEREF _Toc486319740 \h </w:instrText>
        </w:r>
        <w:r w:rsidR="00C331F6">
          <w:rPr>
            <w:noProof/>
            <w:webHidden/>
          </w:rPr>
        </w:r>
        <w:r w:rsidR="00C331F6">
          <w:rPr>
            <w:noProof/>
            <w:webHidden/>
          </w:rPr>
          <w:fldChar w:fldCharType="separate"/>
        </w:r>
        <w:r>
          <w:rPr>
            <w:noProof/>
            <w:webHidden/>
          </w:rPr>
          <w:t>27</w:t>
        </w:r>
        <w:r w:rsidR="00C331F6">
          <w:rPr>
            <w:noProof/>
            <w:webHidden/>
          </w:rPr>
          <w:fldChar w:fldCharType="end"/>
        </w:r>
      </w:hyperlink>
    </w:p>
    <w:p w14:paraId="49833124" w14:textId="77777777" w:rsidR="00C331F6" w:rsidRDefault="00ED08CC">
      <w:pPr>
        <w:pStyle w:val="TOC2"/>
        <w:tabs>
          <w:tab w:val="right" w:leader="dot" w:pos="9016"/>
        </w:tabs>
        <w:rPr>
          <w:rFonts w:eastAsiaTheme="minorEastAsia"/>
          <w:noProof/>
          <w:lang w:eastAsia="en-AU"/>
        </w:rPr>
      </w:pPr>
      <w:hyperlink w:anchor="_Toc486319741" w:history="1">
        <w:r w:rsidR="00C331F6" w:rsidRPr="00B826AD">
          <w:rPr>
            <w:rStyle w:val="Hyperlink"/>
            <w:noProof/>
          </w:rPr>
          <w:t>Previous estimates of survey results</w:t>
        </w:r>
        <w:r w:rsidR="00C331F6">
          <w:rPr>
            <w:noProof/>
            <w:webHidden/>
          </w:rPr>
          <w:tab/>
        </w:r>
        <w:r w:rsidR="00C331F6">
          <w:rPr>
            <w:noProof/>
            <w:webHidden/>
          </w:rPr>
          <w:fldChar w:fldCharType="begin"/>
        </w:r>
        <w:r w:rsidR="00C331F6">
          <w:rPr>
            <w:noProof/>
            <w:webHidden/>
          </w:rPr>
          <w:instrText xml:space="preserve"> PAGEREF _Toc486319741 \h </w:instrText>
        </w:r>
        <w:r w:rsidR="00C331F6">
          <w:rPr>
            <w:noProof/>
            <w:webHidden/>
          </w:rPr>
        </w:r>
        <w:r w:rsidR="00C331F6">
          <w:rPr>
            <w:noProof/>
            <w:webHidden/>
          </w:rPr>
          <w:fldChar w:fldCharType="separate"/>
        </w:r>
        <w:r>
          <w:rPr>
            <w:noProof/>
            <w:webHidden/>
          </w:rPr>
          <w:t>27</w:t>
        </w:r>
        <w:r w:rsidR="00C331F6">
          <w:rPr>
            <w:noProof/>
            <w:webHidden/>
          </w:rPr>
          <w:fldChar w:fldCharType="end"/>
        </w:r>
      </w:hyperlink>
    </w:p>
    <w:p w14:paraId="49012039" w14:textId="77777777" w:rsidR="00C331F6" w:rsidRDefault="00ED08CC">
      <w:pPr>
        <w:pStyle w:val="TOC2"/>
        <w:tabs>
          <w:tab w:val="right" w:leader="dot" w:pos="9016"/>
        </w:tabs>
        <w:rPr>
          <w:rFonts w:eastAsiaTheme="minorEastAsia"/>
          <w:noProof/>
          <w:lang w:eastAsia="en-AU"/>
        </w:rPr>
      </w:pPr>
      <w:hyperlink w:anchor="_Toc486319742" w:history="1">
        <w:r w:rsidR="00C331F6" w:rsidRPr="00B826AD">
          <w:rPr>
            <w:rStyle w:val="Hyperlink"/>
            <w:noProof/>
          </w:rPr>
          <w:t>Modelling on AbaF figures</w:t>
        </w:r>
        <w:r w:rsidR="00C331F6">
          <w:rPr>
            <w:noProof/>
            <w:webHidden/>
          </w:rPr>
          <w:tab/>
        </w:r>
        <w:r w:rsidR="00C331F6">
          <w:rPr>
            <w:noProof/>
            <w:webHidden/>
          </w:rPr>
          <w:fldChar w:fldCharType="begin"/>
        </w:r>
        <w:r w:rsidR="00C331F6">
          <w:rPr>
            <w:noProof/>
            <w:webHidden/>
          </w:rPr>
          <w:instrText xml:space="preserve"> PAGEREF _Toc486319742 \h </w:instrText>
        </w:r>
        <w:r w:rsidR="00C331F6">
          <w:rPr>
            <w:noProof/>
            <w:webHidden/>
          </w:rPr>
        </w:r>
        <w:r w:rsidR="00C331F6">
          <w:rPr>
            <w:noProof/>
            <w:webHidden/>
          </w:rPr>
          <w:fldChar w:fldCharType="separate"/>
        </w:r>
        <w:r>
          <w:rPr>
            <w:noProof/>
            <w:webHidden/>
          </w:rPr>
          <w:t>28</w:t>
        </w:r>
        <w:r w:rsidR="00C331F6">
          <w:rPr>
            <w:noProof/>
            <w:webHidden/>
          </w:rPr>
          <w:fldChar w:fldCharType="end"/>
        </w:r>
      </w:hyperlink>
    </w:p>
    <w:p w14:paraId="4B3E04FF" w14:textId="77777777" w:rsidR="00C331F6" w:rsidRDefault="00ED08CC">
      <w:pPr>
        <w:pStyle w:val="TOC1"/>
        <w:tabs>
          <w:tab w:val="right" w:leader="dot" w:pos="9016"/>
        </w:tabs>
        <w:rPr>
          <w:rFonts w:eastAsiaTheme="minorEastAsia"/>
          <w:b w:val="0"/>
          <w:noProof/>
          <w:color w:val="auto"/>
          <w:sz w:val="22"/>
          <w:lang w:eastAsia="en-AU"/>
        </w:rPr>
      </w:pPr>
      <w:hyperlink w:anchor="_Toc486319743" w:history="1">
        <w:r w:rsidR="00C331F6" w:rsidRPr="00B826AD">
          <w:rPr>
            <w:rStyle w:val="Hyperlink"/>
            <w:noProof/>
          </w:rPr>
          <w:t>Appendix 3. Philanthropy and support expenditure</w:t>
        </w:r>
        <w:r w:rsidR="00C331F6">
          <w:rPr>
            <w:noProof/>
            <w:webHidden/>
          </w:rPr>
          <w:tab/>
        </w:r>
        <w:r w:rsidR="00C331F6">
          <w:rPr>
            <w:noProof/>
            <w:webHidden/>
          </w:rPr>
          <w:fldChar w:fldCharType="begin"/>
        </w:r>
        <w:r w:rsidR="00C331F6">
          <w:rPr>
            <w:noProof/>
            <w:webHidden/>
          </w:rPr>
          <w:instrText xml:space="preserve"> PAGEREF _Toc486319743 \h </w:instrText>
        </w:r>
        <w:r w:rsidR="00C331F6">
          <w:rPr>
            <w:noProof/>
            <w:webHidden/>
          </w:rPr>
        </w:r>
        <w:r w:rsidR="00C331F6">
          <w:rPr>
            <w:noProof/>
            <w:webHidden/>
          </w:rPr>
          <w:fldChar w:fldCharType="separate"/>
        </w:r>
        <w:r>
          <w:rPr>
            <w:noProof/>
            <w:webHidden/>
          </w:rPr>
          <w:t>30</w:t>
        </w:r>
        <w:r w:rsidR="00C331F6">
          <w:rPr>
            <w:noProof/>
            <w:webHidden/>
          </w:rPr>
          <w:fldChar w:fldCharType="end"/>
        </w:r>
      </w:hyperlink>
    </w:p>
    <w:p w14:paraId="25527FC2" w14:textId="77777777" w:rsidR="00C331F6" w:rsidRDefault="00ED08CC">
      <w:pPr>
        <w:pStyle w:val="TOC2"/>
        <w:tabs>
          <w:tab w:val="right" w:leader="dot" w:pos="9016"/>
        </w:tabs>
        <w:rPr>
          <w:rFonts w:eastAsiaTheme="minorEastAsia"/>
          <w:noProof/>
          <w:lang w:eastAsia="en-AU"/>
        </w:rPr>
      </w:pPr>
      <w:hyperlink w:anchor="_Toc486319744" w:history="1">
        <w:r w:rsidR="00C331F6" w:rsidRPr="00B826AD">
          <w:rPr>
            <w:rStyle w:val="Hyperlink"/>
            <w:noProof/>
          </w:rPr>
          <w:t>Australian arts and culture population diagram of potential data sources</w:t>
        </w:r>
        <w:r w:rsidR="00C331F6">
          <w:rPr>
            <w:noProof/>
            <w:webHidden/>
          </w:rPr>
          <w:tab/>
        </w:r>
        <w:r w:rsidR="00C331F6">
          <w:rPr>
            <w:noProof/>
            <w:webHidden/>
          </w:rPr>
          <w:fldChar w:fldCharType="begin"/>
        </w:r>
        <w:r w:rsidR="00C331F6">
          <w:rPr>
            <w:noProof/>
            <w:webHidden/>
          </w:rPr>
          <w:instrText xml:space="preserve"> PAGEREF _Toc486319744 \h </w:instrText>
        </w:r>
        <w:r w:rsidR="00C331F6">
          <w:rPr>
            <w:noProof/>
            <w:webHidden/>
          </w:rPr>
        </w:r>
        <w:r w:rsidR="00C331F6">
          <w:rPr>
            <w:noProof/>
            <w:webHidden/>
          </w:rPr>
          <w:fldChar w:fldCharType="separate"/>
        </w:r>
        <w:r>
          <w:rPr>
            <w:noProof/>
            <w:webHidden/>
          </w:rPr>
          <w:t>30</w:t>
        </w:r>
        <w:r w:rsidR="00C331F6">
          <w:rPr>
            <w:noProof/>
            <w:webHidden/>
          </w:rPr>
          <w:fldChar w:fldCharType="end"/>
        </w:r>
      </w:hyperlink>
    </w:p>
    <w:p w14:paraId="68FBF623" w14:textId="77777777" w:rsidR="00C331F6" w:rsidRDefault="00ED08CC">
      <w:pPr>
        <w:pStyle w:val="TOC1"/>
        <w:tabs>
          <w:tab w:val="right" w:leader="dot" w:pos="9016"/>
        </w:tabs>
        <w:rPr>
          <w:rFonts w:eastAsiaTheme="minorEastAsia"/>
          <w:b w:val="0"/>
          <w:noProof/>
          <w:color w:val="auto"/>
          <w:sz w:val="22"/>
          <w:lang w:eastAsia="en-AU"/>
        </w:rPr>
      </w:pPr>
      <w:hyperlink w:anchor="_Toc486319745" w:history="1">
        <w:r w:rsidR="00C331F6" w:rsidRPr="00B826AD">
          <w:rPr>
            <w:rStyle w:val="Hyperlink"/>
            <w:noProof/>
          </w:rPr>
          <w:t>Appendix 4. Philanthropy and support income</w:t>
        </w:r>
        <w:r w:rsidR="00C331F6">
          <w:rPr>
            <w:noProof/>
            <w:webHidden/>
          </w:rPr>
          <w:tab/>
        </w:r>
        <w:r w:rsidR="00C331F6">
          <w:rPr>
            <w:noProof/>
            <w:webHidden/>
          </w:rPr>
          <w:fldChar w:fldCharType="begin"/>
        </w:r>
        <w:r w:rsidR="00C331F6">
          <w:rPr>
            <w:noProof/>
            <w:webHidden/>
          </w:rPr>
          <w:instrText xml:space="preserve"> PAGEREF _Toc486319745 \h </w:instrText>
        </w:r>
        <w:r w:rsidR="00C331F6">
          <w:rPr>
            <w:noProof/>
            <w:webHidden/>
          </w:rPr>
        </w:r>
        <w:r w:rsidR="00C331F6">
          <w:rPr>
            <w:noProof/>
            <w:webHidden/>
          </w:rPr>
          <w:fldChar w:fldCharType="separate"/>
        </w:r>
        <w:r>
          <w:rPr>
            <w:noProof/>
            <w:webHidden/>
          </w:rPr>
          <w:t>31</w:t>
        </w:r>
        <w:r w:rsidR="00C331F6">
          <w:rPr>
            <w:noProof/>
            <w:webHidden/>
          </w:rPr>
          <w:fldChar w:fldCharType="end"/>
        </w:r>
      </w:hyperlink>
    </w:p>
    <w:p w14:paraId="251E938E" w14:textId="77777777" w:rsidR="00C331F6" w:rsidRDefault="00ED08CC">
      <w:pPr>
        <w:pStyle w:val="TOC2"/>
        <w:tabs>
          <w:tab w:val="right" w:leader="dot" w:pos="9016"/>
        </w:tabs>
        <w:rPr>
          <w:rFonts w:eastAsiaTheme="minorEastAsia"/>
          <w:noProof/>
          <w:lang w:eastAsia="en-AU"/>
        </w:rPr>
      </w:pPr>
      <w:hyperlink w:anchor="_Toc486319746" w:history="1">
        <w:r w:rsidR="00C331F6" w:rsidRPr="00B826AD">
          <w:rPr>
            <w:rStyle w:val="Hyperlink"/>
            <w:noProof/>
          </w:rPr>
          <w:t>Australian arts and culture population diagram of potential data sources</w:t>
        </w:r>
        <w:r w:rsidR="00C331F6">
          <w:rPr>
            <w:noProof/>
            <w:webHidden/>
          </w:rPr>
          <w:tab/>
        </w:r>
        <w:r w:rsidR="00C331F6">
          <w:rPr>
            <w:noProof/>
            <w:webHidden/>
          </w:rPr>
          <w:fldChar w:fldCharType="begin"/>
        </w:r>
        <w:r w:rsidR="00C331F6">
          <w:rPr>
            <w:noProof/>
            <w:webHidden/>
          </w:rPr>
          <w:instrText xml:space="preserve"> PAGEREF _Toc486319746 \h </w:instrText>
        </w:r>
        <w:r w:rsidR="00C331F6">
          <w:rPr>
            <w:noProof/>
            <w:webHidden/>
          </w:rPr>
        </w:r>
        <w:r w:rsidR="00C331F6">
          <w:rPr>
            <w:noProof/>
            <w:webHidden/>
          </w:rPr>
          <w:fldChar w:fldCharType="separate"/>
        </w:r>
        <w:r>
          <w:rPr>
            <w:noProof/>
            <w:webHidden/>
          </w:rPr>
          <w:t>31</w:t>
        </w:r>
        <w:r w:rsidR="00C331F6">
          <w:rPr>
            <w:noProof/>
            <w:webHidden/>
          </w:rPr>
          <w:fldChar w:fldCharType="end"/>
        </w:r>
      </w:hyperlink>
    </w:p>
    <w:p w14:paraId="210F6536" w14:textId="77777777" w:rsidR="00C331F6" w:rsidRDefault="00ED08CC">
      <w:pPr>
        <w:pStyle w:val="TOC1"/>
        <w:tabs>
          <w:tab w:val="right" w:leader="dot" w:pos="9016"/>
        </w:tabs>
        <w:rPr>
          <w:rFonts w:eastAsiaTheme="minorEastAsia"/>
          <w:b w:val="0"/>
          <w:noProof/>
          <w:color w:val="auto"/>
          <w:sz w:val="22"/>
          <w:lang w:eastAsia="en-AU"/>
        </w:rPr>
      </w:pPr>
      <w:hyperlink w:anchor="_Toc486319747" w:history="1">
        <w:r w:rsidR="00C331F6" w:rsidRPr="00B826AD">
          <w:rPr>
            <w:rStyle w:val="Hyperlink"/>
            <w:noProof/>
          </w:rPr>
          <w:t>Appendix 5. Model 2—AMPAG on AbaF regression</w:t>
        </w:r>
        <w:r w:rsidR="00C331F6">
          <w:rPr>
            <w:noProof/>
            <w:webHidden/>
          </w:rPr>
          <w:tab/>
        </w:r>
        <w:r w:rsidR="00C331F6">
          <w:rPr>
            <w:noProof/>
            <w:webHidden/>
          </w:rPr>
          <w:fldChar w:fldCharType="begin"/>
        </w:r>
        <w:r w:rsidR="00C331F6">
          <w:rPr>
            <w:noProof/>
            <w:webHidden/>
          </w:rPr>
          <w:instrText xml:space="preserve"> PAGEREF _Toc486319747 \h </w:instrText>
        </w:r>
        <w:r w:rsidR="00C331F6">
          <w:rPr>
            <w:noProof/>
            <w:webHidden/>
          </w:rPr>
        </w:r>
        <w:r w:rsidR="00C331F6">
          <w:rPr>
            <w:noProof/>
            <w:webHidden/>
          </w:rPr>
          <w:fldChar w:fldCharType="separate"/>
        </w:r>
        <w:r>
          <w:rPr>
            <w:noProof/>
            <w:webHidden/>
          </w:rPr>
          <w:t>32</w:t>
        </w:r>
        <w:r w:rsidR="00C331F6">
          <w:rPr>
            <w:noProof/>
            <w:webHidden/>
          </w:rPr>
          <w:fldChar w:fldCharType="end"/>
        </w:r>
      </w:hyperlink>
    </w:p>
    <w:p w14:paraId="66AA8C0D" w14:textId="77777777" w:rsidR="00C331F6" w:rsidRDefault="00ED08CC">
      <w:pPr>
        <w:pStyle w:val="TOC1"/>
        <w:tabs>
          <w:tab w:val="right" w:leader="dot" w:pos="9016"/>
        </w:tabs>
        <w:rPr>
          <w:rFonts w:eastAsiaTheme="minorEastAsia"/>
          <w:b w:val="0"/>
          <w:noProof/>
          <w:color w:val="auto"/>
          <w:sz w:val="22"/>
          <w:lang w:eastAsia="en-AU"/>
        </w:rPr>
      </w:pPr>
      <w:hyperlink w:anchor="_Toc486319748" w:history="1">
        <w:r w:rsidR="00C331F6" w:rsidRPr="00B826AD">
          <w:rPr>
            <w:rStyle w:val="Hyperlink"/>
            <w:noProof/>
          </w:rPr>
          <w:t>Appendix 6. Model 3—GOS on AbaF regression</w:t>
        </w:r>
        <w:r w:rsidR="00C331F6">
          <w:rPr>
            <w:noProof/>
            <w:webHidden/>
          </w:rPr>
          <w:tab/>
        </w:r>
        <w:r w:rsidR="00C331F6">
          <w:rPr>
            <w:noProof/>
            <w:webHidden/>
          </w:rPr>
          <w:fldChar w:fldCharType="begin"/>
        </w:r>
        <w:r w:rsidR="00C331F6">
          <w:rPr>
            <w:noProof/>
            <w:webHidden/>
          </w:rPr>
          <w:instrText xml:space="preserve"> PAGEREF _Toc486319748 \h </w:instrText>
        </w:r>
        <w:r w:rsidR="00C331F6">
          <w:rPr>
            <w:noProof/>
            <w:webHidden/>
          </w:rPr>
        </w:r>
        <w:r w:rsidR="00C331F6">
          <w:rPr>
            <w:noProof/>
            <w:webHidden/>
          </w:rPr>
          <w:fldChar w:fldCharType="separate"/>
        </w:r>
        <w:r>
          <w:rPr>
            <w:noProof/>
            <w:webHidden/>
          </w:rPr>
          <w:t>35</w:t>
        </w:r>
        <w:r w:rsidR="00C331F6">
          <w:rPr>
            <w:noProof/>
            <w:webHidden/>
          </w:rPr>
          <w:fldChar w:fldCharType="end"/>
        </w:r>
      </w:hyperlink>
    </w:p>
    <w:p w14:paraId="37CBBAD8" w14:textId="77777777" w:rsidR="00C331F6" w:rsidRDefault="00ED08CC">
      <w:pPr>
        <w:pStyle w:val="TOC1"/>
        <w:tabs>
          <w:tab w:val="right" w:leader="dot" w:pos="9016"/>
        </w:tabs>
        <w:rPr>
          <w:rFonts w:eastAsiaTheme="minorEastAsia"/>
          <w:b w:val="0"/>
          <w:noProof/>
          <w:color w:val="auto"/>
          <w:sz w:val="22"/>
          <w:lang w:eastAsia="en-AU"/>
        </w:rPr>
      </w:pPr>
      <w:hyperlink w:anchor="_Toc486319749" w:history="1">
        <w:r w:rsidR="00C331F6" w:rsidRPr="00B826AD">
          <w:rPr>
            <w:rStyle w:val="Hyperlink"/>
            <w:noProof/>
          </w:rPr>
          <w:t>Appendix 7. Model 5—AMPAG donations on AbaF giving regression</w:t>
        </w:r>
        <w:r w:rsidR="00C331F6">
          <w:rPr>
            <w:noProof/>
            <w:webHidden/>
          </w:rPr>
          <w:tab/>
        </w:r>
        <w:r w:rsidR="00C331F6">
          <w:rPr>
            <w:noProof/>
            <w:webHidden/>
          </w:rPr>
          <w:fldChar w:fldCharType="begin"/>
        </w:r>
        <w:r w:rsidR="00C331F6">
          <w:rPr>
            <w:noProof/>
            <w:webHidden/>
          </w:rPr>
          <w:instrText xml:space="preserve"> PAGEREF _Toc486319749 \h </w:instrText>
        </w:r>
        <w:r w:rsidR="00C331F6">
          <w:rPr>
            <w:noProof/>
            <w:webHidden/>
          </w:rPr>
        </w:r>
        <w:r w:rsidR="00C331F6">
          <w:rPr>
            <w:noProof/>
            <w:webHidden/>
          </w:rPr>
          <w:fldChar w:fldCharType="separate"/>
        </w:r>
        <w:r>
          <w:rPr>
            <w:noProof/>
            <w:webHidden/>
          </w:rPr>
          <w:t>37</w:t>
        </w:r>
        <w:r w:rsidR="00C331F6">
          <w:rPr>
            <w:noProof/>
            <w:webHidden/>
          </w:rPr>
          <w:fldChar w:fldCharType="end"/>
        </w:r>
      </w:hyperlink>
    </w:p>
    <w:p w14:paraId="1DCBCE6E" w14:textId="77777777" w:rsidR="00C331F6" w:rsidRDefault="00ED08CC">
      <w:pPr>
        <w:pStyle w:val="TOC1"/>
        <w:tabs>
          <w:tab w:val="right" w:leader="dot" w:pos="9016"/>
        </w:tabs>
        <w:rPr>
          <w:rFonts w:eastAsiaTheme="minorEastAsia"/>
          <w:b w:val="0"/>
          <w:noProof/>
          <w:color w:val="auto"/>
          <w:sz w:val="22"/>
          <w:lang w:eastAsia="en-AU"/>
        </w:rPr>
      </w:pPr>
      <w:hyperlink w:anchor="_Toc486319750" w:history="1">
        <w:r w:rsidR="00C331F6" w:rsidRPr="00B826AD">
          <w:rPr>
            <w:rStyle w:val="Hyperlink"/>
            <w:noProof/>
          </w:rPr>
          <w:t>Appendix 8. Model 6—GOS on AbaF giving regression</w:t>
        </w:r>
        <w:r w:rsidR="00C331F6">
          <w:rPr>
            <w:noProof/>
            <w:webHidden/>
          </w:rPr>
          <w:tab/>
        </w:r>
        <w:r w:rsidR="00C331F6">
          <w:rPr>
            <w:noProof/>
            <w:webHidden/>
          </w:rPr>
          <w:fldChar w:fldCharType="begin"/>
        </w:r>
        <w:r w:rsidR="00C331F6">
          <w:rPr>
            <w:noProof/>
            <w:webHidden/>
          </w:rPr>
          <w:instrText xml:space="preserve"> PAGEREF _Toc486319750 \h </w:instrText>
        </w:r>
        <w:r w:rsidR="00C331F6">
          <w:rPr>
            <w:noProof/>
            <w:webHidden/>
          </w:rPr>
        </w:r>
        <w:r w:rsidR="00C331F6">
          <w:rPr>
            <w:noProof/>
            <w:webHidden/>
          </w:rPr>
          <w:fldChar w:fldCharType="separate"/>
        </w:r>
        <w:r>
          <w:rPr>
            <w:noProof/>
            <w:webHidden/>
          </w:rPr>
          <w:t>39</w:t>
        </w:r>
        <w:r w:rsidR="00C331F6">
          <w:rPr>
            <w:noProof/>
            <w:webHidden/>
          </w:rPr>
          <w:fldChar w:fldCharType="end"/>
        </w:r>
      </w:hyperlink>
    </w:p>
    <w:p w14:paraId="2EBB2342" w14:textId="77777777" w:rsidR="00C331F6" w:rsidRDefault="00ED08CC">
      <w:pPr>
        <w:pStyle w:val="TOC1"/>
        <w:tabs>
          <w:tab w:val="right" w:leader="dot" w:pos="9016"/>
        </w:tabs>
        <w:rPr>
          <w:rFonts w:eastAsiaTheme="minorEastAsia"/>
          <w:b w:val="0"/>
          <w:noProof/>
          <w:color w:val="auto"/>
          <w:sz w:val="22"/>
          <w:lang w:eastAsia="en-AU"/>
        </w:rPr>
      </w:pPr>
      <w:hyperlink w:anchor="_Toc486319751" w:history="1">
        <w:r w:rsidR="00C331F6" w:rsidRPr="00B826AD">
          <w:rPr>
            <w:rStyle w:val="Hyperlink"/>
            <w:noProof/>
          </w:rPr>
          <w:t>Appendix 9. Model 8—AMPAG sponsorship on AbaF sponsorship regression</w:t>
        </w:r>
        <w:r w:rsidR="00C331F6">
          <w:rPr>
            <w:noProof/>
            <w:webHidden/>
          </w:rPr>
          <w:tab/>
        </w:r>
        <w:r w:rsidR="00C331F6">
          <w:rPr>
            <w:noProof/>
            <w:webHidden/>
          </w:rPr>
          <w:fldChar w:fldCharType="begin"/>
        </w:r>
        <w:r w:rsidR="00C331F6">
          <w:rPr>
            <w:noProof/>
            <w:webHidden/>
          </w:rPr>
          <w:instrText xml:space="preserve"> PAGEREF _Toc486319751 \h </w:instrText>
        </w:r>
        <w:r w:rsidR="00C331F6">
          <w:rPr>
            <w:noProof/>
            <w:webHidden/>
          </w:rPr>
        </w:r>
        <w:r w:rsidR="00C331F6">
          <w:rPr>
            <w:noProof/>
            <w:webHidden/>
          </w:rPr>
          <w:fldChar w:fldCharType="separate"/>
        </w:r>
        <w:r>
          <w:rPr>
            <w:noProof/>
            <w:webHidden/>
          </w:rPr>
          <w:t>41</w:t>
        </w:r>
        <w:r w:rsidR="00C331F6">
          <w:rPr>
            <w:noProof/>
            <w:webHidden/>
          </w:rPr>
          <w:fldChar w:fldCharType="end"/>
        </w:r>
      </w:hyperlink>
    </w:p>
    <w:p w14:paraId="5C4477E3" w14:textId="77777777" w:rsidR="00C331F6" w:rsidRDefault="00ED08CC">
      <w:pPr>
        <w:pStyle w:val="TOC1"/>
        <w:tabs>
          <w:tab w:val="right" w:leader="dot" w:pos="9016"/>
        </w:tabs>
        <w:rPr>
          <w:rFonts w:eastAsiaTheme="minorEastAsia"/>
          <w:b w:val="0"/>
          <w:noProof/>
          <w:color w:val="auto"/>
          <w:sz w:val="22"/>
          <w:lang w:eastAsia="en-AU"/>
        </w:rPr>
      </w:pPr>
      <w:hyperlink w:anchor="_Toc486319752" w:history="1">
        <w:r w:rsidR="00C331F6" w:rsidRPr="00B826AD">
          <w:rPr>
            <w:rStyle w:val="Hyperlink"/>
            <w:noProof/>
          </w:rPr>
          <w:t>Appendix 10. Model 9—GOS on AbaF sponsorship regression</w:t>
        </w:r>
        <w:r w:rsidR="00C331F6">
          <w:rPr>
            <w:noProof/>
            <w:webHidden/>
          </w:rPr>
          <w:tab/>
        </w:r>
        <w:r w:rsidR="00C331F6">
          <w:rPr>
            <w:noProof/>
            <w:webHidden/>
          </w:rPr>
          <w:fldChar w:fldCharType="begin"/>
        </w:r>
        <w:r w:rsidR="00C331F6">
          <w:rPr>
            <w:noProof/>
            <w:webHidden/>
          </w:rPr>
          <w:instrText xml:space="preserve"> PAGEREF _Toc486319752 \h </w:instrText>
        </w:r>
        <w:r w:rsidR="00C331F6">
          <w:rPr>
            <w:noProof/>
            <w:webHidden/>
          </w:rPr>
        </w:r>
        <w:r w:rsidR="00C331F6">
          <w:rPr>
            <w:noProof/>
            <w:webHidden/>
          </w:rPr>
          <w:fldChar w:fldCharType="separate"/>
        </w:r>
        <w:r>
          <w:rPr>
            <w:noProof/>
            <w:webHidden/>
          </w:rPr>
          <w:t>44</w:t>
        </w:r>
        <w:r w:rsidR="00C331F6">
          <w:rPr>
            <w:noProof/>
            <w:webHidden/>
          </w:rPr>
          <w:fldChar w:fldCharType="end"/>
        </w:r>
      </w:hyperlink>
    </w:p>
    <w:p w14:paraId="49B8224C" w14:textId="77777777" w:rsidR="00C331F6" w:rsidRDefault="00ED08CC">
      <w:pPr>
        <w:pStyle w:val="TOC1"/>
        <w:tabs>
          <w:tab w:val="right" w:leader="dot" w:pos="9016"/>
        </w:tabs>
        <w:rPr>
          <w:rFonts w:eastAsiaTheme="minorEastAsia"/>
          <w:b w:val="0"/>
          <w:noProof/>
          <w:color w:val="auto"/>
          <w:sz w:val="22"/>
          <w:lang w:eastAsia="en-AU"/>
        </w:rPr>
      </w:pPr>
      <w:hyperlink w:anchor="_Toc486319753" w:history="1">
        <w:r w:rsidR="00C331F6" w:rsidRPr="00B826AD">
          <w:rPr>
            <w:rStyle w:val="Hyperlink"/>
            <w:noProof/>
          </w:rPr>
          <w:t>Endnotes</w:t>
        </w:r>
        <w:r w:rsidR="00C331F6">
          <w:rPr>
            <w:noProof/>
            <w:webHidden/>
          </w:rPr>
          <w:tab/>
        </w:r>
        <w:r w:rsidR="00C331F6">
          <w:rPr>
            <w:noProof/>
            <w:webHidden/>
          </w:rPr>
          <w:fldChar w:fldCharType="begin"/>
        </w:r>
        <w:r w:rsidR="00C331F6">
          <w:rPr>
            <w:noProof/>
            <w:webHidden/>
          </w:rPr>
          <w:instrText xml:space="preserve"> PAGEREF _Toc486319753 \h </w:instrText>
        </w:r>
        <w:r w:rsidR="00C331F6">
          <w:rPr>
            <w:noProof/>
            <w:webHidden/>
          </w:rPr>
        </w:r>
        <w:r w:rsidR="00C331F6">
          <w:rPr>
            <w:noProof/>
            <w:webHidden/>
          </w:rPr>
          <w:fldChar w:fldCharType="separate"/>
        </w:r>
        <w:r>
          <w:rPr>
            <w:noProof/>
            <w:webHidden/>
          </w:rPr>
          <w:t>47</w:t>
        </w:r>
        <w:r w:rsidR="00C331F6">
          <w:rPr>
            <w:noProof/>
            <w:webHidden/>
          </w:rPr>
          <w:fldChar w:fldCharType="end"/>
        </w:r>
      </w:hyperlink>
    </w:p>
    <w:p w14:paraId="5843D9F0" w14:textId="77777777" w:rsidR="005700B7" w:rsidRPr="00AE73E3" w:rsidRDefault="00540B2F" w:rsidP="000248E0">
      <w:pPr>
        <w:pStyle w:val="Heading2"/>
      </w:pPr>
      <w:r>
        <w:rPr>
          <w:color w:val="07478C"/>
          <w:sz w:val="24"/>
        </w:rPr>
        <w:fldChar w:fldCharType="end"/>
      </w:r>
      <w:bookmarkStart w:id="5" w:name="_Toc486261290"/>
      <w:bookmarkStart w:id="6" w:name="_Toc486319713"/>
      <w:bookmarkStart w:id="7" w:name="_Toc471208850"/>
      <w:r w:rsidR="005700B7" w:rsidRPr="00AE73E3">
        <w:t>Glossary</w:t>
      </w:r>
      <w:bookmarkEnd w:id="5"/>
      <w:bookmarkEnd w:id="6"/>
    </w:p>
    <w:p w14:paraId="3E0CB623" w14:textId="77777777" w:rsidR="005700B7" w:rsidRPr="00AE73E3" w:rsidRDefault="005700B7" w:rsidP="005700B7">
      <w:r w:rsidRPr="00A30335">
        <w:rPr>
          <w:b/>
          <w:bCs/>
        </w:rPr>
        <w:t>Australia Business Arts Foundation (</w:t>
      </w:r>
      <w:proofErr w:type="spellStart"/>
      <w:r w:rsidRPr="00A30335">
        <w:rPr>
          <w:b/>
          <w:bCs/>
        </w:rPr>
        <w:t>AbaF</w:t>
      </w:r>
      <w:proofErr w:type="spellEnd"/>
      <w:r w:rsidRPr="00A30335">
        <w:rPr>
          <w:b/>
          <w:bCs/>
        </w:rPr>
        <w:t>):</w:t>
      </w:r>
      <w:r w:rsidRPr="00AE73E3">
        <w:t xml:space="preserve"> a wholly owned Commonwealth company with the objective of promoting private sector support for the arts, merged with the Australia Council’s </w:t>
      </w:r>
      <w:proofErr w:type="spellStart"/>
      <w:r w:rsidRPr="00AE73E3">
        <w:t>Artsupport</w:t>
      </w:r>
      <w:proofErr w:type="spellEnd"/>
      <w:r w:rsidRPr="00AE73E3">
        <w:t xml:space="preserve"> Australia program in 2013 to form Creative Partnerships Australia.</w:t>
      </w:r>
    </w:p>
    <w:p w14:paraId="08B4306A" w14:textId="77777777" w:rsidR="005700B7" w:rsidRPr="00AE73E3" w:rsidRDefault="005700B7" w:rsidP="005700B7">
      <w:r w:rsidRPr="00A30335">
        <w:rPr>
          <w:b/>
          <w:bCs/>
        </w:rPr>
        <w:t>Australian Bureau of Statistics (ABS)</w:t>
      </w:r>
      <w:r w:rsidRPr="00AE73E3">
        <w:t>: Australia’s national statistical agency, which provides official statistics on a wide range of economic, social, population and environmental matters of importance to Australia.</w:t>
      </w:r>
    </w:p>
    <w:p w14:paraId="03B201DE" w14:textId="77777777" w:rsidR="005700B7" w:rsidRPr="00AE73E3" w:rsidRDefault="005700B7" w:rsidP="005700B7">
      <w:r w:rsidRPr="00A30335">
        <w:rPr>
          <w:b/>
          <w:bCs/>
        </w:rPr>
        <w:t>Australian Cultural Fund (ACF)</w:t>
      </w:r>
      <w:r w:rsidRPr="00AE73E3">
        <w:t>: a fundraising platform for Australian artists that encourages donations to the arts. The ACF is managed by Creative Partnerships Australia.</w:t>
      </w:r>
    </w:p>
    <w:p w14:paraId="5EFE4D54" w14:textId="77777777" w:rsidR="005700B7" w:rsidRPr="00AE73E3" w:rsidRDefault="005700B7" w:rsidP="005700B7">
      <w:r w:rsidRPr="00A30335">
        <w:rPr>
          <w:b/>
          <w:bCs/>
        </w:rPr>
        <w:t>Australian Charities and Not-for-profits Commission (ACNC)</w:t>
      </w:r>
      <w:r w:rsidRPr="00AE73E3">
        <w:t>: the independent national regulator of charities.</w:t>
      </w:r>
    </w:p>
    <w:p w14:paraId="5CE98BBF" w14:textId="77777777" w:rsidR="005D1423" w:rsidRDefault="005700B7" w:rsidP="005700B7">
      <w:r w:rsidRPr="00A30335">
        <w:rPr>
          <w:b/>
          <w:bCs/>
        </w:rPr>
        <w:t>Australian Major Performing Arts Group (AMPAG)</w:t>
      </w:r>
      <w:r w:rsidRPr="00AE73E3">
        <w:t>: the representative body of Australia’s 28 major performing arts companies.</w:t>
      </w:r>
    </w:p>
    <w:p w14:paraId="06A2FE60" w14:textId="77777777" w:rsidR="005D1423" w:rsidRDefault="005700B7" w:rsidP="005700B7">
      <w:r w:rsidRPr="00A30335">
        <w:rPr>
          <w:b/>
          <w:bCs/>
        </w:rPr>
        <w:t>Bureau of Communications and Arts Research (BCAR)</w:t>
      </w:r>
      <w:r w:rsidRPr="00AE73E3">
        <w:t>: the Department of Communications and the Arts’ in-house economic and statistical research unit whose work supports fact-based policy development and advice.</w:t>
      </w:r>
    </w:p>
    <w:p w14:paraId="36055023" w14:textId="77777777" w:rsidR="005D1423" w:rsidRDefault="005700B7" w:rsidP="005700B7">
      <w:r w:rsidRPr="00A30335">
        <w:rPr>
          <w:b/>
          <w:bCs/>
        </w:rPr>
        <w:t>Confidence interval</w:t>
      </w:r>
      <w:r w:rsidRPr="00AE73E3">
        <w:t>: a range of values, surrounding a calculated estimate of the population, within which one can be reasonably certain that the unknown population estimate is located.</w:t>
      </w:r>
    </w:p>
    <w:p w14:paraId="04E02F74" w14:textId="77777777" w:rsidR="005700B7" w:rsidRPr="00AE73E3" w:rsidRDefault="005700B7" w:rsidP="005700B7">
      <w:r w:rsidRPr="00A30335">
        <w:rPr>
          <w:b/>
          <w:bCs/>
        </w:rPr>
        <w:t>Creative Partnerships Australia (Creative Partnerships)</w:t>
      </w:r>
      <w:r w:rsidRPr="00AE73E3">
        <w:t>: a Commonwealth company established following the merger of the Australia Business Arts Foundation (</w:t>
      </w:r>
      <w:proofErr w:type="spellStart"/>
      <w:r w:rsidRPr="00AE73E3">
        <w:t>AbaF</w:t>
      </w:r>
      <w:proofErr w:type="spellEnd"/>
      <w:r w:rsidRPr="00AE73E3">
        <w:t xml:space="preserve">) and the Australia Council’s </w:t>
      </w:r>
      <w:proofErr w:type="spellStart"/>
      <w:r w:rsidRPr="00AE73E3">
        <w:t>Artsupport</w:t>
      </w:r>
      <w:proofErr w:type="spellEnd"/>
      <w:r w:rsidRPr="00AE73E3">
        <w:t xml:space="preserve"> Australia program in 2013. Creative Partnerships aims to foster a culture of private sector support for the arts in Australia to grow a more sustainable, vibrant and ambitious cultural sector for the benefit of all Australians.</w:t>
      </w:r>
    </w:p>
    <w:p w14:paraId="2789155D" w14:textId="77777777" w:rsidR="005700B7" w:rsidRPr="00AE73E3" w:rsidRDefault="005700B7" w:rsidP="005700B7">
      <w:r w:rsidRPr="00A30335">
        <w:rPr>
          <w:b/>
          <w:bCs/>
        </w:rPr>
        <w:t>Data confrontation</w:t>
      </w:r>
      <w:r w:rsidRPr="00AE73E3">
        <w:t>: bringing together data for examination or comparison.</w:t>
      </w:r>
    </w:p>
    <w:p w14:paraId="5105484E" w14:textId="77777777" w:rsidR="005700B7" w:rsidRPr="00AE73E3" w:rsidRDefault="005700B7" w:rsidP="005700B7">
      <w:r w:rsidRPr="00A30335">
        <w:rPr>
          <w:b/>
          <w:bCs/>
        </w:rPr>
        <w:t>Extrapolation</w:t>
      </w:r>
      <w:r w:rsidRPr="00AE73E3">
        <w:t>: estimate of a statistical quantity, which depends on one or more variables, by extending the variables beyond their established ranges.</w:t>
      </w:r>
    </w:p>
    <w:p w14:paraId="52B3C907" w14:textId="77777777" w:rsidR="005700B7" w:rsidRPr="00AE73E3" w:rsidRDefault="005700B7" w:rsidP="005700B7">
      <w:r w:rsidRPr="00A30335">
        <w:rPr>
          <w:b/>
          <w:bCs/>
        </w:rPr>
        <w:t>Gross operating surplus (GOS)</w:t>
      </w:r>
      <w:r w:rsidRPr="00AE73E3">
        <w:t>: in general terms, the income of a business generated from its operating activities in Australia, net of its input costs. GOS is measured as the firm’s gross output less its intermediate consumption, wages and taxes and includes any production and import subsidies. It is measured before deducting depreciation, dividends, interest, royalties and land rent, and direct taxes payable, but after deducting any adjustment for the value of inventories (ABS definition).</w:t>
      </w:r>
    </w:p>
    <w:p w14:paraId="5633F293" w14:textId="77777777" w:rsidR="005D1423" w:rsidRDefault="005700B7" w:rsidP="005700B7">
      <w:r w:rsidRPr="00A30335">
        <w:rPr>
          <w:b/>
          <w:bCs/>
        </w:rPr>
        <w:t>Historical growth rate</w:t>
      </w:r>
      <w:r w:rsidRPr="00AE73E3">
        <w:t>: a growth rate selected across multiple year-on-year growth rates.</w:t>
      </w:r>
    </w:p>
    <w:p w14:paraId="21EDD3DC" w14:textId="77777777" w:rsidR="005D1423" w:rsidRDefault="005700B7" w:rsidP="005700B7">
      <w:r w:rsidRPr="00A30335">
        <w:rPr>
          <w:b/>
          <w:bCs/>
        </w:rPr>
        <w:t>Simple linear regression</w:t>
      </w:r>
      <w:r w:rsidRPr="00AE73E3">
        <w:t>: a straight line model containing one independent variable.</w:t>
      </w:r>
    </w:p>
    <w:p w14:paraId="3BE56C53" w14:textId="77777777" w:rsidR="005700B7" w:rsidRPr="00AE73E3" w:rsidRDefault="005700B7" w:rsidP="005700B7">
      <w:r w:rsidRPr="00A30335">
        <w:rPr>
          <w:b/>
          <w:bCs/>
        </w:rPr>
        <w:t>Mature data</w:t>
      </w:r>
      <w:r w:rsidRPr="00AE73E3">
        <w:t xml:space="preserve">: a data set absent of volatile fluctuations stemming from the </w:t>
      </w:r>
      <w:proofErr w:type="spellStart"/>
      <w:r w:rsidRPr="00AE73E3">
        <w:t>recency</w:t>
      </w:r>
      <w:proofErr w:type="spellEnd"/>
      <w:r w:rsidRPr="00AE73E3">
        <w:t xml:space="preserve"> of its establishment.</w:t>
      </w:r>
    </w:p>
    <w:p w14:paraId="6B7977FA" w14:textId="77777777" w:rsidR="005700B7" w:rsidRPr="00AE73E3" w:rsidRDefault="005700B7" w:rsidP="005700B7">
      <w:r w:rsidRPr="00A30335">
        <w:rPr>
          <w:b/>
          <w:bCs/>
        </w:rPr>
        <w:t>Non-earned income</w:t>
      </w:r>
      <w:r w:rsidRPr="00AE73E3">
        <w:t>: income that is not provided in exchange for goods or services, such as government grants or philanthropic donations.</w:t>
      </w:r>
    </w:p>
    <w:p w14:paraId="2DFCAB21" w14:textId="77777777" w:rsidR="005700B7" w:rsidRPr="00AE73E3" w:rsidRDefault="005700B7" w:rsidP="005700B7">
      <w:r w:rsidRPr="00A30335">
        <w:rPr>
          <w:b/>
          <w:bCs/>
        </w:rPr>
        <w:t>Philanthropy and support expenditure</w:t>
      </w:r>
      <w:r w:rsidRPr="00AE73E3">
        <w:t>: contributions to non-earned income from sources such as business entities, individuals and ancillary funds, trusts and foundations.</w:t>
      </w:r>
    </w:p>
    <w:p w14:paraId="513DEDD3" w14:textId="77777777" w:rsidR="005D1423" w:rsidRDefault="005700B7" w:rsidP="005700B7">
      <w:r w:rsidRPr="00A30335">
        <w:rPr>
          <w:b/>
          <w:bCs/>
        </w:rPr>
        <w:t>Philanthropy and support income</w:t>
      </w:r>
      <w:r w:rsidRPr="00AE73E3">
        <w:t>: non-earned income received from private sources.</w:t>
      </w:r>
    </w:p>
    <w:p w14:paraId="4FD99384" w14:textId="77777777" w:rsidR="001061E5" w:rsidRDefault="005700B7" w:rsidP="005700B7">
      <w:r w:rsidRPr="00A30335">
        <w:rPr>
          <w:b/>
          <w:bCs/>
        </w:rPr>
        <w:t>Population of interest</w:t>
      </w:r>
      <w:r w:rsidRPr="00AE73E3">
        <w:t>: the entire and complete group of all items that are of research interest for a particular question.</w:t>
      </w:r>
    </w:p>
    <w:p w14:paraId="68FCFCF4" w14:textId="77777777" w:rsidR="001061E5" w:rsidRDefault="005700B7" w:rsidP="005700B7">
      <w:r w:rsidRPr="00A30335">
        <w:rPr>
          <w:b/>
          <w:bCs/>
        </w:rPr>
        <w:t>Prediction divergence</w:t>
      </w:r>
      <w:r w:rsidRPr="00AE73E3">
        <w:t>: estimations not similar in value but undergoing a significant separation that may be increasing.</w:t>
      </w:r>
    </w:p>
    <w:p w14:paraId="4C80F9DA" w14:textId="77777777" w:rsidR="001061E5" w:rsidRDefault="005700B7" w:rsidP="005700B7">
      <w:r w:rsidRPr="00A30335">
        <w:rPr>
          <w:b/>
          <w:bCs/>
        </w:rPr>
        <w:t>Prediction levels</w:t>
      </w:r>
      <w:r w:rsidRPr="00AE73E3">
        <w:t>: a descriptive indication of prediction power.</w:t>
      </w:r>
    </w:p>
    <w:p w14:paraId="0AFDF88A" w14:textId="77777777" w:rsidR="001061E5" w:rsidRDefault="005700B7" w:rsidP="005700B7">
      <w:r w:rsidRPr="00A30335">
        <w:rPr>
          <w:b/>
          <w:bCs/>
        </w:rPr>
        <w:t>Prediction power for regression (r-squared)</w:t>
      </w:r>
      <w:r w:rsidRPr="00AE73E3">
        <w:t>: a measure indicating the proportion of variation that is explained by the regression model.</w:t>
      </w:r>
    </w:p>
    <w:p w14:paraId="4C347F87" w14:textId="77777777" w:rsidR="001061E5" w:rsidRDefault="005700B7" w:rsidP="005700B7">
      <w:r w:rsidRPr="00A30335">
        <w:rPr>
          <w:b/>
          <w:bCs/>
        </w:rPr>
        <w:t>Private sector support</w:t>
      </w:r>
      <w:r w:rsidRPr="00AE73E3">
        <w:t>: support provided by non-government sources.</w:t>
      </w:r>
    </w:p>
    <w:p w14:paraId="150D3D21" w14:textId="77777777" w:rsidR="005D1423" w:rsidRDefault="005700B7" w:rsidP="005700B7">
      <w:r w:rsidRPr="00A30335">
        <w:rPr>
          <w:b/>
          <w:bCs/>
        </w:rPr>
        <w:t>R2 adjusted</w:t>
      </w:r>
      <w:r w:rsidRPr="00AE73E3">
        <w:t>: see ‘prediction power’ above.</w:t>
      </w:r>
    </w:p>
    <w:p w14:paraId="37EEE1B9" w14:textId="77777777" w:rsidR="005D1423" w:rsidRDefault="005700B7" w:rsidP="005700B7">
      <w:r w:rsidRPr="00A30335">
        <w:rPr>
          <w:b/>
          <w:bCs/>
        </w:rPr>
        <w:t>Simpson’s paradox</w:t>
      </w:r>
      <w:r w:rsidRPr="00AE73E3">
        <w:t>: when two groups considered separately provide for the opposite conclusion compared to the joint result of the two groups combined.</w:t>
      </w:r>
    </w:p>
    <w:p w14:paraId="62563BAA" w14:textId="77777777" w:rsidR="005700B7" w:rsidRPr="00AE73E3" w:rsidRDefault="005700B7" w:rsidP="005700B7">
      <w:r w:rsidRPr="00A30335">
        <w:rPr>
          <w:b/>
          <w:bCs/>
        </w:rPr>
        <w:t>Year-on-year growth</w:t>
      </w:r>
      <w:r w:rsidRPr="00AE73E3">
        <w:t>: percentage change between successive years.</w:t>
      </w:r>
    </w:p>
    <w:p w14:paraId="213BD136" w14:textId="77777777" w:rsidR="005700B7" w:rsidRPr="00AE73E3" w:rsidRDefault="005700B7" w:rsidP="005700B7">
      <w:r w:rsidRPr="00AE73E3">
        <w:br w:type="page"/>
      </w:r>
    </w:p>
    <w:p w14:paraId="0ED5C00A" w14:textId="77777777" w:rsidR="005700B7" w:rsidRDefault="005700B7" w:rsidP="001061E5">
      <w:pPr>
        <w:pStyle w:val="Heading2-notshowingincontentsindocument"/>
      </w:pPr>
      <w:bookmarkStart w:id="8" w:name="_Toc486261291"/>
      <w:r w:rsidRPr="00AE73E3">
        <w:t>List of figures</w:t>
      </w:r>
      <w:bookmarkEnd w:id="8"/>
    </w:p>
    <w:p w14:paraId="51BF4000" w14:textId="77777777" w:rsidR="00BC0293" w:rsidRDefault="005700B7">
      <w:pPr>
        <w:pStyle w:val="TableofFigures"/>
        <w:tabs>
          <w:tab w:val="right" w:leader="dot" w:pos="9016"/>
        </w:tabs>
        <w:rPr>
          <w:rFonts w:asciiTheme="minorHAnsi" w:eastAsiaTheme="minorEastAsia" w:hAnsiTheme="minorHAnsi"/>
          <w:noProof/>
          <w:szCs w:val="20"/>
          <w:lang w:eastAsia="zh-TW" w:bidi="hi-IN"/>
        </w:rPr>
      </w:pPr>
      <w:r w:rsidRPr="00AE73E3">
        <w:fldChar w:fldCharType="begin"/>
      </w:r>
      <w:r w:rsidRPr="00AE73E3">
        <w:instrText xml:space="preserve"> TOC \h \z \c "Figure" </w:instrText>
      </w:r>
      <w:r w:rsidRPr="00AE73E3">
        <w:fldChar w:fldCharType="separate"/>
      </w:r>
      <w:hyperlink w:anchor="_Toc486587617" w:history="1">
        <w:r w:rsidR="00BC0293" w:rsidRPr="00823EF3">
          <w:rPr>
            <w:rStyle w:val="Hyperlink"/>
            <w:noProof/>
          </w:rPr>
          <w:t>Figure 1. AMPAG—AbaF linear model with confidence and prediction intervals</w:t>
        </w:r>
        <w:r w:rsidR="00BC0293">
          <w:rPr>
            <w:noProof/>
            <w:webHidden/>
          </w:rPr>
          <w:tab/>
        </w:r>
        <w:r w:rsidR="00BC0293">
          <w:rPr>
            <w:noProof/>
            <w:webHidden/>
          </w:rPr>
          <w:fldChar w:fldCharType="begin"/>
        </w:r>
        <w:r w:rsidR="00BC0293">
          <w:rPr>
            <w:noProof/>
            <w:webHidden/>
          </w:rPr>
          <w:instrText xml:space="preserve"> PAGEREF _Toc486587617 \h </w:instrText>
        </w:r>
        <w:r w:rsidR="00BC0293">
          <w:rPr>
            <w:noProof/>
            <w:webHidden/>
          </w:rPr>
        </w:r>
        <w:r w:rsidR="00BC0293">
          <w:rPr>
            <w:noProof/>
            <w:webHidden/>
          </w:rPr>
          <w:fldChar w:fldCharType="separate"/>
        </w:r>
        <w:r w:rsidR="00ED08CC">
          <w:rPr>
            <w:noProof/>
            <w:webHidden/>
          </w:rPr>
          <w:t>6</w:t>
        </w:r>
        <w:r w:rsidR="00BC0293">
          <w:rPr>
            <w:noProof/>
            <w:webHidden/>
          </w:rPr>
          <w:fldChar w:fldCharType="end"/>
        </w:r>
      </w:hyperlink>
    </w:p>
    <w:p w14:paraId="31072348" w14:textId="77777777" w:rsidR="00BC0293" w:rsidRDefault="00BC0293">
      <w:pPr>
        <w:pStyle w:val="TableofFigures"/>
        <w:tabs>
          <w:tab w:val="right" w:leader="dot" w:pos="9016"/>
        </w:tabs>
        <w:rPr>
          <w:rFonts w:asciiTheme="minorHAnsi" w:eastAsiaTheme="minorEastAsia" w:hAnsiTheme="minorHAnsi"/>
          <w:noProof/>
          <w:szCs w:val="20"/>
          <w:lang w:eastAsia="zh-TW" w:bidi="hi-IN"/>
        </w:rPr>
      </w:pPr>
      <w:hyperlink w:anchor="_Toc486587618" w:history="1">
        <w:r w:rsidRPr="00823EF3">
          <w:rPr>
            <w:rStyle w:val="Hyperlink"/>
            <w:noProof/>
          </w:rPr>
          <w:t>Figure 2. GOS—AbaF linear model with confidence and prediction intervals</w:t>
        </w:r>
        <w:r>
          <w:rPr>
            <w:noProof/>
            <w:webHidden/>
          </w:rPr>
          <w:tab/>
        </w:r>
        <w:r>
          <w:rPr>
            <w:noProof/>
            <w:webHidden/>
          </w:rPr>
          <w:fldChar w:fldCharType="begin"/>
        </w:r>
        <w:r>
          <w:rPr>
            <w:noProof/>
            <w:webHidden/>
          </w:rPr>
          <w:instrText xml:space="preserve"> PAGEREF _Toc486587618 \h </w:instrText>
        </w:r>
        <w:r>
          <w:rPr>
            <w:noProof/>
            <w:webHidden/>
          </w:rPr>
        </w:r>
        <w:r>
          <w:rPr>
            <w:noProof/>
            <w:webHidden/>
          </w:rPr>
          <w:fldChar w:fldCharType="separate"/>
        </w:r>
        <w:r w:rsidR="00ED08CC">
          <w:rPr>
            <w:noProof/>
            <w:webHidden/>
          </w:rPr>
          <w:t>8</w:t>
        </w:r>
        <w:r>
          <w:rPr>
            <w:noProof/>
            <w:webHidden/>
          </w:rPr>
          <w:fldChar w:fldCharType="end"/>
        </w:r>
      </w:hyperlink>
    </w:p>
    <w:p w14:paraId="79E14E7B" w14:textId="77777777" w:rsidR="00BC0293" w:rsidRDefault="00BC0293">
      <w:pPr>
        <w:pStyle w:val="TableofFigures"/>
        <w:tabs>
          <w:tab w:val="right" w:leader="dot" w:pos="9016"/>
        </w:tabs>
        <w:rPr>
          <w:rFonts w:asciiTheme="minorHAnsi" w:eastAsiaTheme="minorEastAsia" w:hAnsiTheme="minorHAnsi"/>
          <w:noProof/>
          <w:szCs w:val="20"/>
          <w:lang w:eastAsia="zh-TW" w:bidi="hi-IN"/>
        </w:rPr>
      </w:pPr>
      <w:hyperlink w:anchor="_Toc486587619" w:history="1">
        <w:r w:rsidRPr="00823EF3">
          <w:rPr>
            <w:rStyle w:val="Hyperlink"/>
            <w:noProof/>
          </w:rPr>
          <w:t>Figure 3. Private sector total support estimates for the arts in Australia</w:t>
        </w:r>
        <w:r>
          <w:rPr>
            <w:noProof/>
            <w:webHidden/>
          </w:rPr>
          <w:tab/>
        </w:r>
        <w:r>
          <w:rPr>
            <w:noProof/>
            <w:webHidden/>
          </w:rPr>
          <w:fldChar w:fldCharType="begin"/>
        </w:r>
        <w:r>
          <w:rPr>
            <w:noProof/>
            <w:webHidden/>
          </w:rPr>
          <w:instrText xml:space="preserve"> PAGEREF _Toc486587619 \h </w:instrText>
        </w:r>
        <w:r>
          <w:rPr>
            <w:noProof/>
            <w:webHidden/>
          </w:rPr>
        </w:r>
        <w:r>
          <w:rPr>
            <w:noProof/>
            <w:webHidden/>
          </w:rPr>
          <w:fldChar w:fldCharType="separate"/>
        </w:r>
        <w:r w:rsidR="00ED08CC">
          <w:rPr>
            <w:noProof/>
            <w:webHidden/>
          </w:rPr>
          <w:t>10</w:t>
        </w:r>
        <w:r>
          <w:rPr>
            <w:noProof/>
            <w:webHidden/>
          </w:rPr>
          <w:fldChar w:fldCharType="end"/>
        </w:r>
      </w:hyperlink>
    </w:p>
    <w:p w14:paraId="538CAFE8" w14:textId="77777777" w:rsidR="00BC0293" w:rsidRDefault="00BC0293">
      <w:pPr>
        <w:pStyle w:val="TableofFigures"/>
        <w:tabs>
          <w:tab w:val="right" w:leader="dot" w:pos="9016"/>
        </w:tabs>
        <w:rPr>
          <w:rFonts w:asciiTheme="minorHAnsi" w:eastAsiaTheme="minorEastAsia" w:hAnsiTheme="minorHAnsi"/>
          <w:noProof/>
          <w:szCs w:val="20"/>
          <w:lang w:eastAsia="zh-TW" w:bidi="hi-IN"/>
        </w:rPr>
      </w:pPr>
      <w:hyperlink w:anchor="_Toc486587620" w:history="1">
        <w:r w:rsidRPr="00823EF3">
          <w:rPr>
            <w:rStyle w:val="Hyperlink"/>
            <w:noProof/>
          </w:rPr>
          <w:t>Figure 4. AMPAG donations—AbaF donations linear model with confidence and prediction intervals</w:t>
        </w:r>
        <w:r>
          <w:rPr>
            <w:noProof/>
            <w:webHidden/>
          </w:rPr>
          <w:tab/>
        </w:r>
        <w:r>
          <w:rPr>
            <w:noProof/>
            <w:webHidden/>
          </w:rPr>
          <w:fldChar w:fldCharType="begin"/>
        </w:r>
        <w:r>
          <w:rPr>
            <w:noProof/>
            <w:webHidden/>
          </w:rPr>
          <w:instrText xml:space="preserve"> PAGEREF _Toc486587620 \h </w:instrText>
        </w:r>
        <w:r>
          <w:rPr>
            <w:noProof/>
            <w:webHidden/>
          </w:rPr>
        </w:r>
        <w:r>
          <w:rPr>
            <w:noProof/>
            <w:webHidden/>
          </w:rPr>
          <w:fldChar w:fldCharType="separate"/>
        </w:r>
        <w:r w:rsidR="00ED08CC">
          <w:rPr>
            <w:noProof/>
            <w:webHidden/>
          </w:rPr>
          <w:t>13</w:t>
        </w:r>
        <w:r>
          <w:rPr>
            <w:noProof/>
            <w:webHidden/>
          </w:rPr>
          <w:fldChar w:fldCharType="end"/>
        </w:r>
      </w:hyperlink>
    </w:p>
    <w:p w14:paraId="57452E6C" w14:textId="77777777" w:rsidR="00BC0293" w:rsidRDefault="00BC0293">
      <w:pPr>
        <w:pStyle w:val="TableofFigures"/>
        <w:tabs>
          <w:tab w:val="right" w:leader="dot" w:pos="9016"/>
        </w:tabs>
        <w:rPr>
          <w:rFonts w:asciiTheme="minorHAnsi" w:eastAsiaTheme="minorEastAsia" w:hAnsiTheme="minorHAnsi"/>
          <w:noProof/>
          <w:szCs w:val="20"/>
          <w:lang w:eastAsia="zh-TW" w:bidi="hi-IN"/>
        </w:rPr>
      </w:pPr>
      <w:hyperlink w:anchor="_Toc486587621" w:history="1">
        <w:r w:rsidRPr="00823EF3">
          <w:rPr>
            <w:rStyle w:val="Hyperlink"/>
            <w:noProof/>
          </w:rPr>
          <w:t>Figure 5. GOS—AbaF donations linear model with confidence and prediction interval</w:t>
        </w:r>
        <w:r>
          <w:rPr>
            <w:noProof/>
            <w:webHidden/>
          </w:rPr>
          <w:tab/>
        </w:r>
        <w:r>
          <w:rPr>
            <w:noProof/>
            <w:webHidden/>
          </w:rPr>
          <w:fldChar w:fldCharType="begin"/>
        </w:r>
        <w:r>
          <w:rPr>
            <w:noProof/>
            <w:webHidden/>
          </w:rPr>
          <w:instrText xml:space="preserve"> PAGEREF _Toc486587621 \h </w:instrText>
        </w:r>
        <w:r>
          <w:rPr>
            <w:noProof/>
            <w:webHidden/>
          </w:rPr>
        </w:r>
        <w:r>
          <w:rPr>
            <w:noProof/>
            <w:webHidden/>
          </w:rPr>
          <w:fldChar w:fldCharType="separate"/>
        </w:r>
        <w:r w:rsidR="00ED08CC">
          <w:rPr>
            <w:noProof/>
            <w:webHidden/>
          </w:rPr>
          <w:t>15</w:t>
        </w:r>
        <w:r>
          <w:rPr>
            <w:noProof/>
            <w:webHidden/>
          </w:rPr>
          <w:fldChar w:fldCharType="end"/>
        </w:r>
      </w:hyperlink>
    </w:p>
    <w:p w14:paraId="1412C898" w14:textId="77777777" w:rsidR="00BC0293" w:rsidRDefault="00BC0293">
      <w:pPr>
        <w:pStyle w:val="TableofFigures"/>
        <w:tabs>
          <w:tab w:val="right" w:leader="dot" w:pos="9016"/>
        </w:tabs>
        <w:rPr>
          <w:rFonts w:asciiTheme="minorHAnsi" w:eastAsiaTheme="minorEastAsia" w:hAnsiTheme="minorHAnsi"/>
          <w:noProof/>
          <w:szCs w:val="20"/>
          <w:lang w:eastAsia="zh-TW" w:bidi="hi-IN"/>
        </w:rPr>
      </w:pPr>
      <w:hyperlink w:anchor="_Toc486587622" w:history="1">
        <w:r w:rsidRPr="00823EF3">
          <w:rPr>
            <w:rStyle w:val="Hyperlink"/>
            <w:noProof/>
          </w:rPr>
          <w:t>Figure 6. Private sector estimated donations for arts in Australia</w:t>
        </w:r>
        <w:r>
          <w:rPr>
            <w:noProof/>
            <w:webHidden/>
          </w:rPr>
          <w:tab/>
        </w:r>
        <w:r>
          <w:rPr>
            <w:noProof/>
            <w:webHidden/>
          </w:rPr>
          <w:fldChar w:fldCharType="begin"/>
        </w:r>
        <w:r>
          <w:rPr>
            <w:noProof/>
            <w:webHidden/>
          </w:rPr>
          <w:instrText xml:space="preserve"> PAGEREF _Toc486587622 \h </w:instrText>
        </w:r>
        <w:r>
          <w:rPr>
            <w:noProof/>
            <w:webHidden/>
          </w:rPr>
        </w:r>
        <w:r>
          <w:rPr>
            <w:noProof/>
            <w:webHidden/>
          </w:rPr>
          <w:fldChar w:fldCharType="separate"/>
        </w:r>
        <w:r w:rsidR="00ED08CC">
          <w:rPr>
            <w:noProof/>
            <w:webHidden/>
          </w:rPr>
          <w:t>17</w:t>
        </w:r>
        <w:r>
          <w:rPr>
            <w:noProof/>
            <w:webHidden/>
          </w:rPr>
          <w:fldChar w:fldCharType="end"/>
        </w:r>
      </w:hyperlink>
    </w:p>
    <w:p w14:paraId="2FA61D27" w14:textId="77777777" w:rsidR="00BC0293" w:rsidRDefault="00BC0293">
      <w:pPr>
        <w:pStyle w:val="TableofFigures"/>
        <w:tabs>
          <w:tab w:val="right" w:leader="dot" w:pos="9016"/>
        </w:tabs>
        <w:rPr>
          <w:rFonts w:asciiTheme="minorHAnsi" w:eastAsiaTheme="minorEastAsia" w:hAnsiTheme="minorHAnsi"/>
          <w:noProof/>
          <w:szCs w:val="20"/>
          <w:lang w:eastAsia="zh-TW" w:bidi="hi-IN"/>
        </w:rPr>
      </w:pPr>
      <w:hyperlink w:anchor="_Toc486587623" w:history="1">
        <w:r w:rsidRPr="00823EF3">
          <w:rPr>
            <w:rStyle w:val="Hyperlink"/>
            <w:noProof/>
          </w:rPr>
          <w:t>Figure 7. AMPAG sponsorship—AbaF sponsorship linear model with confidence and prediction intervals</w:t>
        </w:r>
        <w:r>
          <w:rPr>
            <w:noProof/>
            <w:webHidden/>
          </w:rPr>
          <w:tab/>
        </w:r>
        <w:r>
          <w:rPr>
            <w:noProof/>
            <w:webHidden/>
          </w:rPr>
          <w:fldChar w:fldCharType="begin"/>
        </w:r>
        <w:r>
          <w:rPr>
            <w:noProof/>
            <w:webHidden/>
          </w:rPr>
          <w:instrText xml:space="preserve"> PAGEREF _Toc486587623 \h </w:instrText>
        </w:r>
        <w:r>
          <w:rPr>
            <w:noProof/>
            <w:webHidden/>
          </w:rPr>
        </w:r>
        <w:r>
          <w:rPr>
            <w:noProof/>
            <w:webHidden/>
          </w:rPr>
          <w:fldChar w:fldCharType="separate"/>
        </w:r>
        <w:r w:rsidR="00ED08CC">
          <w:rPr>
            <w:noProof/>
            <w:webHidden/>
          </w:rPr>
          <w:t>20</w:t>
        </w:r>
        <w:r>
          <w:rPr>
            <w:noProof/>
            <w:webHidden/>
          </w:rPr>
          <w:fldChar w:fldCharType="end"/>
        </w:r>
      </w:hyperlink>
    </w:p>
    <w:p w14:paraId="12B921E9" w14:textId="77777777" w:rsidR="00BC0293" w:rsidRDefault="00BC0293">
      <w:pPr>
        <w:pStyle w:val="TableofFigures"/>
        <w:tabs>
          <w:tab w:val="right" w:leader="dot" w:pos="9016"/>
        </w:tabs>
        <w:rPr>
          <w:rFonts w:asciiTheme="minorHAnsi" w:eastAsiaTheme="minorEastAsia" w:hAnsiTheme="minorHAnsi"/>
          <w:noProof/>
          <w:szCs w:val="20"/>
          <w:lang w:eastAsia="zh-TW" w:bidi="hi-IN"/>
        </w:rPr>
      </w:pPr>
      <w:hyperlink w:anchor="_Toc486587624" w:history="1">
        <w:r w:rsidRPr="00823EF3">
          <w:rPr>
            <w:rStyle w:val="Hyperlink"/>
            <w:noProof/>
          </w:rPr>
          <w:t>Figure 8. GOS—AbaF sponsorship linear model with confidence and prediction intervals</w:t>
        </w:r>
        <w:r>
          <w:rPr>
            <w:noProof/>
            <w:webHidden/>
          </w:rPr>
          <w:tab/>
        </w:r>
        <w:r>
          <w:rPr>
            <w:noProof/>
            <w:webHidden/>
          </w:rPr>
          <w:fldChar w:fldCharType="begin"/>
        </w:r>
        <w:r>
          <w:rPr>
            <w:noProof/>
            <w:webHidden/>
          </w:rPr>
          <w:instrText xml:space="preserve"> PAGEREF _Toc486587624 \h </w:instrText>
        </w:r>
        <w:r>
          <w:rPr>
            <w:noProof/>
            <w:webHidden/>
          </w:rPr>
        </w:r>
        <w:r>
          <w:rPr>
            <w:noProof/>
            <w:webHidden/>
          </w:rPr>
          <w:fldChar w:fldCharType="separate"/>
        </w:r>
        <w:r w:rsidR="00ED08CC">
          <w:rPr>
            <w:noProof/>
            <w:webHidden/>
          </w:rPr>
          <w:t>22</w:t>
        </w:r>
        <w:r>
          <w:rPr>
            <w:noProof/>
            <w:webHidden/>
          </w:rPr>
          <w:fldChar w:fldCharType="end"/>
        </w:r>
      </w:hyperlink>
    </w:p>
    <w:p w14:paraId="635698B9" w14:textId="77777777" w:rsidR="00BC0293" w:rsidRDefault="00BC0293">
      <w:pPr>
        <w:pStyle w:val="TableofFigures"/>
        <w:tabs>
          <w:tab w:val="right" w:leader="dot" w:pos="9016"/>
        </w:tabs>
        <w:rPr>
          <w:rFonts w:asciiTheme="minorHAnsi" w:eastAsiaTheme="minorEastAsia" w:hAnsiTheme="minorHAnsi"/>
          <w:noProof/>
          <w:szCs w:val="20"/>
          <w:lang w:eastAsia="zh-TW" w:bidi="hi-IN"/>
        </w:rPr>
      </w:pPr>
      <w:hyperlink w:anchor="_Toc486587625" w:history="1">
        <w:r w:rsidRPr="00823EF3">
          <w:rPr>
            <w:rStyle w:val="Hyperlink"/>
            <w:noProof/>
          </w:rPr>
          <w:t>Figure 9. Private sector estimated sponsorship for arts in Australia</w:t>
        </w:r>
        <w:r>
          <w:rPr>
            <w:noProof/>
            <w:webHidden/>
          </w:rPr>
          <w:tab/>
        </w:r>
        <w:r>
          <w:rPr>
            <w:noProof/>
            <w:webHidden/>
          </w:rPr>
          <w:fldChar w:fldCharType="begin"/>
        </w:r>
        <w:r>
          <w:rPr>
            <w:noProof/>
            <w:webHidden/>
          </w:rPr>
          <w:instrText xml:space="preserve"> PAGEREF _Toc486587625 \h </w:instrText>
        </w:r>
        <w:r>
          <w:rPr>
            <w:noProof/>
            <w:webHidden/>
          </w:rPr>
        </w:r>
        <w:r>
          <w:rPr>
            <w:noProof/>
            <w:webHidden/>
          </w:rPr>
          <w:fldChar w:fldCharType="separate"/>
        </w:r>
        <w:r w:rsidR="00ED08CC">
          <w:rPr>
            <w:noProof/>
            <w:webHidden/>
          </w:rPr>
          <w:t>24</w:t>
        </w:r>
        <w:r>
          <w:rPr>
            <w:noProof/>
            <w:webHidden/>
          </w:rPr>
          <w:fldChar w:fldCharType="end"/>
        </w:r>
      </w:hyperlink>
    </w:p>
    <w:p w14:paraId="0C2DCA13" w14:textId="77777777" w:rsidR="00BC0293" w:rsidRDefault="00BC0293">
      <w:pPr>
        <w:pStyle w:val="TableofFigures"/>
        <w:tabs>
          <w:tab w:val="right" w:leader="dot" w:pos="9016"/>
        </w:tabs>
        <w:rPr>
          <w:rFonts w:asciiTheme="minorHAnsi" w:eastAsiaTheme="minorEastAsia" w:hAnsiTheme="minorHAnsi"/>
          <w:noProof/>
          <w:szCs w:val="20"/>
          <w:lang w:eastAsia="zh-TW" w:bidi="hi-IN"/>
        </w:rPr>
      </w:pPr>
      <w:hyperlink w:anchor="_Toc486587626" w:history="1">
        <w:r w:rsidRPr="00823EF3">
          <w:rPr>
            <w:rStyle w:val="Hyperlink"/>
            <w:noProof/>
          </w:rPr>
          <w:t>Figure 10. Data set availability and relative time spans</w:t>
        </w:r>
        <w:r>
          <w:rPr>
            <w:noProof/>
            <w:webHidden/>
          </w:rPr>
          <w:tab/>
        </w:r>
        <w:r>
          <w:rPr>
            <w:noProof/>
            <w:webHidden/>
          </w:rPr>
          <w:fldChar w:fldCharType="begin"/>
        </w:r>
        <w:r>
          <w:rPr>
            <w:noProof/>
            <w:webHidden/>
          </w:rPr>
          <w:instrText xml:space="preserve"> PAGEREF _Toc486587626 \h </w:instrText>
        </w:r>
        <w:r>
          <w:rPr>
            <w:noProof/>
            <w:webHidden/>
          </w:rPr>
        </w:r>
        <w:r>
          <w:rPr>
            <w:noProof/>
            <w:webHidden/>
          </w:rPr>
          <w:fldChar w:fldCharType="separate"/>
        </w:r>
        <w:r w:rsidR="00ED08CC">
          <w:rPr>
            <w:noProof/>
            <w:webHidden/>
          </w:rPr>
          <w:t>27</w:t>
        </w:r>
        <w:r>
          <w:rPr>
            <w:noProof/>
            <w:webHidden/>
          </w:rPr>
          <w:fldChar w:fldCharType="end"/>
        </w:r>
      </w:hyperlink>
    </w:p>
    <w:p w14:paraId="1ED3ECE6" w14:textId="77777777" w:rsidR="005D1423" w:rsidRDefault="005700B7" w:rsidP="00E44746">
      <w:pPr>
        <w:pStyle w:val="Heading2-notshowingincontentsindocument"/>
        <w:spacing w:before="240" w:after="120"/>
      </w:pPr>
      <w:r w:rsidRPr="00AE73E3">
        <w:fldChar w:fldCharType="end"/>
      </w:r>
      <w:bookmarkStart w:id="9" w:name="_Toc486261292"/>
      <w:r w:rsidRPr="00AE73E3">
        <w:t>List of tables</w:t>
      </w:r>
      <w:bookmarkEnd w:id="9"/>
    </w:p>
    <w:p w14:paraId="154D941C" w14:textId="77777777" w:rsidR="00BC0293" w:rsidRDefault="005700B7">
      <w:pPr>
        <w:pStyle w:val="TableofFigures"/>
        <w:tabs>
          <w:tab w:val="right" w:leader="dot" w:pos="9016"/>
        </w:tabs>
        <w:rPr>
          <w:rFonts w:asciiTheme="minorHAnsi" w:eastAsiaTheme="minorEastAsia" w:hAnsiTheme="minorHAnsi"/>
          <w:noProof/>
          <w:szCs w:val="20"/>
          <w:lang w:eastAsia="zh-TW" w:bidi="hi-IN"/>
        </w:rPr>
      </w:pPr>
      <w:r w:rsidRPr="00AE73E3">
        <w:fldChar w:fldCharType="begin"/>
      </w:r>
      <w:r w:rsidRPr="00AE73E3">
        <w:instrText xml:space="preserve"> TOC \h \z \c "Table" </w:instrText>
      </w:r>
      <w:r w:rsidRPr="00AE73E3">
        <w:fldChar w:fldCharType="separate"/>
      </w:r>
      <w:hyperlink w:anchor="_Toc486587627" w:history="1">
        <w:r w:rsidR="00BC0293" w:rsidRPr="00B72FBD">
          <w:rPr>
            <w:rStyle w:val="Hyperlink"/>
            <w:noProof/>
          </w:rPr>
          <w:t>Table 1. AbaF total support estimate with 4.0 per cent growth projection</w:t>
        </w:r>
        <w:r w:rsidR="00BC0293">
          <w:rPr>
            <w:noProof/>
            <w:webHidden/>
          </w:rPr>
          <w:tab/>
        </w:r>
        <w:r w:rsidR="00BC0293">
          <w:rPr>
            <w:noProof/>
            <w:webHidden/>
          </w:rPr>
          <w:fldChar w:fldCharType="begin"/>
        </w:r>
        <w:r w:rsidR="00BC0293">
          <w:rPr>
            <w:noProof/>
            <w:webHidden/>
          </w:rPr>
          <w:instrText xml:space="preserve"> PAGEREF _Toc486587627 \h </w:instrText>
        </w:r>
        <w:r w:rsidR="00BC0293">
          <w:rPr>
            <w:noProof/>
            <w:webHidden/>
          </w:rPr>
        </w:r>
        <w:r w:rsidR="00BC0293">
          <w:rPr>
            <w:noProof/>
            <w:webHidden/>
          </w:rPr>
          <w:fldChar w:fldCharType="separate"/>
        </w:r>
        <w:r w:rsidR="00ED08CC">
          <w:rPr>
            <w:noProof/>
            <w:webHidden/>
          </w:rPr>
          <w:t>4</w:t>
        </w:r>
        <w:r w:rsidR="00BC0293">
          <w:rPr>
            <w:noProof/>
            <w:webHidden/>
          </w:rPr>
          <w:fldChar w:fldCharType="end"/>
        </w:r>
      </w:hyperlink>
    </w:p>
    <w:p w14:paraId="5C37C453" w14:textId="77777777" w:rsidR="00BC0293" w:rsidRDefault="00BC0293">
      <w:pPr>
        <w:pStyle w:val="TableofFigures"/>
        <w:tabs>
          <w:tab w:val="right" w:leader="dot" w:pos="9016"/>
        </w:tabs>
        <w:rPr>
          <w:rFonts w:asciiTheme="minorHAnsi" w:eastAsiaTheme="minorEastAsia" w:hAnsiTheme="minorHAnsi"/>
          <w:noProof/>
          <w:szCs w:val="20"/>
          <w:lang w:eastAsia="zh-TW" w:bidi="hi-IN"/>
        </w:rPr>
      </w:pPr>
      <w:hyperlink w:anchor="_Toc486587628" w:history="1">
        <w:r w:rsidRPr="00B72FBD">
          <w:rPr>
            <w:rStyle w:val="Hyperlink"/>
            <w:noProof/>
          </w:rPr>
          <w:t>Table 2. AMPAG data projections of AbaF estimates</w:t>
        </w:r>
        <w:r>
          <w:rPr>
            <w:noProof/>
            <w:webHidden/>
          </w:rPr>
          <w:tab/>
        </w:r>
        <w:r>
          <w:rPr>
            <w:noProof/>
            <w:webHidden/>
          </w:rPr>
          <w:fldChar w:fldCharType="begin"/>
        </w:r>
        <w:r>
          <w:rPr>
            <w:noProof/>
            <w:webHidden/>
          </w:rPr>
          <w:instrText xml:space="preserve"> PAGEREF _Toc486587628 \h </w:instrText>
        </w:r>
        <w:r>
          <w:rPr>
            <w:noProof/>
            <w:webHidden/>
          </w:rPr>
        </w:r>
        <w:r>
          <w:rPr>
            <w:noProof/>
            <w:webHidden/>
          </w:rPr>
          <w:fldChar w:fldCharType="separate"/>
        </w:r>
        <w:r w:rsidR="00ED08CC">
          <w:rPr>
            <w:noProof/>
            <w:webHidden/>
          </w:rPr>
          <w:t>5</w:t>
        </w:r>
        <w:r>
          <w:rPr>
            <w:noProof/>
            <w:webHidden/>
          </w:rPr>
          <w:fldChar w:fldCharType="end"/>
        </w:r>
      </w:hyperlink>
    </w:p>
    <w:p w14:paraId="62737FF0" w14:textId="77777777" w:rsidR="00BC0293" w:rsidRDefault="00BC0293">
      <w:pPr>
        <w:pStyle w:val="TableofFigures"/>
        <w:tabs>
          <w:tab w:val="right" w:leader="dot" w:pos="9016"/>
        </w:tabs>
        <w:rPr>
          <w:rFonts w:asciiTheme="minorHAnsi" w:eastAsiaTheme="minorEastAsia" w:hAnsiTheme="minorHAnsi"/>
          <w:noProof/>
          <w:szCs w:val="20"/>
          <w:lang w:eastAsia="zh-TW" w:bidi="hi-IN"/>
        </w:rPr>
      </w:pPr>
      <w:hyperlink w:anchor="_Toc486587629" w:history="1">
        <w:r w:rsidRPr="00B72FBD">
          <w:rPr>
            <w:rStyle w:val="Hyperlink"/>
            <w:noProof/>
          </w:rPr>
          <w:t>Table 3. GOS data projections of AbaF estimates</w:t>
        </w:r>
        <w:r>
          <w:rPr>
            <w:noProof/>
            <w:webHidden/>
          </w:rPr>
          <w:tab/>
        </w:r>
        <w:r>
          <w:rPr>
            <w:noProof/>
            <w:webHidden/>
          </w:rPr>
          <w:fldChar w:fldCharType="begin"/>
        </w:r>
        <w:r>
          <w:rPr>
            <w:noProof/>
            <w:webHidden/>
          </w:rPr>
          <w:instrText xml:space="preserve"> PAGEREF _Toc486587629 \h </w:instrText>
        </w:r>
        <w:r>
          <w:rPr>
            <w:noProof/>
            <w:webHidden/>
          </w:rPr>
        </w:r>
        <w:r>
          <w:rPr>
            <w:noProof/>
            <w:webHidden/>
          </w:rPr>
          <w:fldChar w:fldCharType="separate"/>
        </w:r>
        <w:r w:rsidR="00ED08CC">
          <w:rPr>
            <w:noProof/>
            <w:webHidden/>
          </w:rPr>
          <w:t>7</w:t>
        </w:r>
        <w:r>
          <w:rPr>
            <w:noProof/>
            <w:webHidden/>
          </w:rPr>
          <w:fldChar w:fldCharType="end"/>
        </w:r>
      </w:hyperlink>
    </w:p>
    <w:p w14:paraId="04000796" w14:textId="77777777" w:rsidR="00BC0293" w:rsidRDefault="00BC0293">
      <w:pPr>
        <w:pStyle w:val="TableofFigures"/>
        <w:tabs>
          <w:tab w:val="right" w:leader="dot" w:pos="9016"/>
        </w:tabs>
        <w:rPr>
          <w:rFonts w:asciiTheme="minorHAnsi" w:eastAsiaTheme="minorEastAsia" w:hAnsiTheme="minorHAnsi"/>
          <w:noProof/>
          <w:szCs w:val="20"/>
          <w:lang w:eastAsia="zh-TW" w:bidi="hi-IN"/>
        </w:rPr>
      </w:pPr>
      <w:hyperlink w:anchor="_Toc486587630" w:history="1">
        <w:r w:rsidRPr="00B72FBD">
          <w:rPr>
            <w:rStyle w:val="Hyperlink"/>
            <w:noProof/>
          </w:rPr>
          <w:t>Table 4. Summary of total estimated private sector support for the arts in Australia</w:t>
        </w:r>
        <w:r>
          <w:rPr>
            <w:noProof/>
            <w:webHidden/>
          </w:rPr>
          <w:tab/>
        </w:r>
        <w:r>
          <w:rPr>
            <w:noProof/>
            <w:webHidden/>
          </w:rPr>
          <w:fldChar w:fldCharType="begin"/>
        </w:r>
        <w:r>
          <w:rPr>
            <w:noProof/>
            <w:webHidden/>
          </w:rPr>
          <w:instrText xml:space="preserve"> PAGEREF _Toc486587630 \h </w:instrText>
        </w:r>
        <w:r>
          <w:rPr>
            <w:noProof/>
            <w:webHidden/>
          </w:rPr>
        </w:r>
        <w:r>
          <w:rPr>
            <w:noProof/>
            <w:webHidden/>
          </w:rPr>
          <w:fldChar w:fldCharType="separate"/>
        </w:r>
        <w:r w:rsidR="00ED08CC">
          <w:rPr>
            <w:noProof/>
            <w:webHidden/>
          </w:rPr>
          <w:t>9</w:t>
        </w:r>
        <w:r>
          <w:rPr>
            <w:noProof/>
            <w:webHidden/>
          </w:rPr>
          <w:fldChar w:fldCharType="end"/>
        </w:r>
      </w:hyperlink>
    </w:p>
    <w:p w14:paraId="102FC077" w14:textId="77777777" w:rsidR="00BC0293" w:rsidRDefault="00BC0293">
      <w:pPr>
        <w:pStyle w:val="TableofFigures"/>
        <w:tabs>
          <w:tab w:val="right" w:leader="dot" w:pos="9016"/>
        </w:tabs>
        <w:rPr>
          <w:rFonts w:asciiTheme="minorHAnsi" w:eastAsiaTheme="minorEastAsia" w:hAnsiTheme="minorHAnsi"/>
          <w:noProof/>
          <w:szCs w:val="20"/>
          <w:lang w:eastAsia="zh-TW" w:bidi="hi-IN"/>
        </w:rPr>
      </w:pPr>
      <w:hyperlink w:anchor="_Toc486587631" w:history="1">
        <w:r w:rsidRPr="00B72FBD">
          <w:rPr>
            <w:rStyle w:val="Hyperlink"/>
            <w:noProof/>
          </w:rPr>
          <w:t>Table 5. AbaF donations estimates with 6.2 per cent growth projection</w:t>
        </w:r>
        <w:r>
          <w:rPr>
            <w:noProof/>
            <w:webHidden/>
          </w:rPr>
          <w:tab/>
        </w:r>
        <w:r>
          <w:rPr>
            <w:noProof/>
            <w:webHidden/>
          </w:rPr>
          <w:fldChar w:fldCharType="begin"/>
        </w:r>
        <w:r>
          <w:rPr>
            <w:noProof/>
            <w:webHidden/>
          </w:rPr>
          <w:instrText xml:space="preserve"> PAGEREF _Toc486587631 \h </w:instrText>
        </w:r>
        <w:r>
          <w:rPr>
            <w:noProof/>
            <w:webHidden/>
          </w:rPr>
        </w:r>
        <w:r>
          <w:rPr>
            <w:noProof/>
            <w:webHidden/>
          </w:rPr>
          <w:fldChar w:fldCharType="separate"/>
        </w:r>
        <w:r w:rsidR="00ED08CC">
          <w:rPr>
            <w:noProof/>
            <w:webHidden/>
          </w:rPr>
          <w:t>11</w:t>
        </w:r>
        <w:r>
          <w:rPr>
            <w:noProof/>
            <w:webHidden/>
          </w:rPr>
          <w:fldChar w:fldCharType="end"/>
        </w:r>
      </w:hyperlink>
    </w:p>
    <w:p w14:paraId="12F746D6" w14:textId="77777777" w:rsidR="00BC0293" w:rsidRDefault="00BC0293">
      <w:pPr>
        <w:pStyle w:val="TableofFigures"/>
        <w:tabs>
          <w:tab w:val="right" w:leader="dot" w:pos="9016"/>
        </w:tabs>
        <w:rPr>
          <w:rFonts w:asciiTheme="minorHAnsi" w:eastAsiaTheme="minorEastAsia" w:hAnsiTheme="minorHAnsi"/>
          <w:noProof/>
          <w:szCs w:val="20"/>
          <w:lang w:eastAsia="zh-TW" w:bidi="hi-IN"/>
        </w:rPr>
      </w:pPr>
      <w:hyperlink w:anchor="_Toc486587632" w:history="1">
        <w:r w:rsidRPr="00B72FBD">
          <w:rPr>
            <w:rStyle w:val="Hyperlink"/>
            <w:noProof/>
          </w:rPr>
          <w:t>Table 6. AMPAG donations data projections of AbaF donations estimates</w:t>
        </w:r>
        <w:r>
          <w:rPr>
            <w:noProof/>
            <w:webHidden/>
          </w:rPr>
          <w:tab/>
        </w:r>
        <w:r>
          <w:rPr>
            <w:noProof/>
            <w:webHidden/>
          </w:rPr>
          <w:fldChar w:fldCharType="begin"/>
        </w:r>
        <w:r>
          <w:rPr>
            <w:noProof/>
            <w:webHidden/>
          </w:rPr>
          <w:instrText xml:space="preserve"> PAGEREF _Toc486587632 \h </w:instrText>
        </w:r>
        <w:r>
          <w:rPr>
            <w:noProof/>
            <w:webHidden/>
          </w:rPr>
        </w:r>
        <w:r>
          <w:rPr>
            <w:noProof/>
            <w:webHidden/>
          </w:rPr>
          <w:fldChar w:fldCharType="separate"/>
        </w:r>
        <w:r w:rsidR="00ED08CC">
          <w:rPr>
            <w:noProof/>
            <w:webHidden/>
          </w:rPr>
          <w:t>12</w:t>
        </w:r>
        <w:r>
          <w:rPr>
            <w:noProof/>
            <w:webHidden/>
          </w:rPr>
          <w:fldChar w:fldCharType="end"/>
        </w:r>
      </w:hyperlink>
    </w:p>
    <w:p w14:paraId="33653CA9" w14:textId="77777777" w:rsidR="00BC0293" w:rsidRDefault="00BC0293">
      <w:pPr>
        <w:pStyle w:val="TableofFigures"/>
        <w:tabs>
          <w:tab w:val="right" w:leader="dot" w:pos="9016"/>
        </w:tabs>
        <w:rPr>
          <w:rFonts w:asciiTheme="minorHAnsi" w:eastAsiaTheme="minorEastAsia" w:hAnsiTheme="minorHAnsi"/>
          <w:noProof/>
          <w:szCs w:val="20"/>
          <w:lang w:eastAsia="zh-TW" w:bidi="hi-IN"/>
        </w:rPr>
      </w:pPr>
      <w:hyperlink w:anchor="_Toc486587633" w:history="1">
        <w:r w:rsidRPr="00B72FBD">
          <w:rPr>
            <w:rStyle w:val="Hyperlink"/>
            <w:noProof/>
          </w:rPr>
          <w:t>Table 7. GOS data projections of AbaF donations estimates</w:t>
        </w:r>
        <w:r>
          <w:rPr>
            <w:noProof/>
            <w:webHidden/>
          </w:rPr>
          <w:tab/>
        </w:r>
        <w:r>
          <w:rPr>
            <w:noProof/>
            <w:webHidden/>
          </w:rPr>
          <w:fldChar w:fldCharType="begin"/>
        </w:r>
        <w:r>
          <w:rPr>
            <w:noProof/>
            <w:webHidden/>
          </w:rPr>
          <w:instrText xml:space="preserve"> PAGEREF _Toc486587633 \h </w:instrText>
        </w:r>
        <w:r>
          <w:rPr>
            <w:noProof/>
            <w:webHidden/>
          </w:rPr>
        </w:r>
        <w:r>
          <w:rPr>
            <w:noProof/>
            <w:webHidden/>
          </w:rPr>
          <w:fldChar w:fldCharType="separate"/>
        </w:r>
        <w:r w:rsidR="00ED08CC">
          <w:rPr>
            <w:noProof/>
            <w:webHidden/>
          </w:rPr>
          <w:t>14</w:t>
        </w:r>
        <w:r>
          <w:rPr>
            <w:noProof/>
            <w:webHidden/>
          </w:rPr>
          <w:fldChar w:fldCharType="end"/>
        </w:r>
      </w:hyperlink>
    </w:p>
    <w:p w14:paraId="4DD4ECB8" w14:textId="77777777" w:rsidR="00BC0293" w:rsidRDefault="00BC0293">
      <w:pPr>
        <w:pStyle w:val="TableofFigures"/>
        <w:tabs>
          <w:tab w:val="right" w:leader="dot" w:pos="9016"/>
        </w:tabs>
        <w:rPr>
          <w:rFonts w:asciiTheme="minorHAnsi" w:eastAsiaTheme="minorEastAsia" w:hAnsiTheme="minorHAnsi"/>
          <w:noProof/>
          <w:szCs w:val="20"/>
          <w:lang w:eastAsia="zh-TW" w:bidi="hi-IN"/>
        </w:rPr>
      </w:pPr>
      <w:hyperlink w:anchor="_Toc486587634" w:history="1">
        <w:r w:rsidRPr="00B72FBD">
          <w:rPr>
            <w:rStyle w:val="Hyperlink"/>
            <w:noProof/>
          </w:rPr>
          <w:t>Table 8. Summary of estimated private sector donations to the arts in Australia</w:t>
        </w:r>
        <w:r>
          <w:rPr>
            <w:noProof/>
            <w:webHidden/>
          </w:rPr>
          <w:tab/>
        </w:r>
        <w:r>
          <w:rPr>
            <w:noProof/>
            <w:webHidden/>
          </w:rPr>
          <w:fldChar w:fldCharType="begin"/>
        </w:r>
        <w:r>
          <w:rPr>
            <w:noProof/>
            <w:webHidden/>
          </w:rPr>
          <w:instrText xml:space="preserve"> PAGEREF _Toc486587634 \h </w:instrText>
        </w:r>
        <w:r>
          <w:rPr>
            <w:noProof/>
            <w:webHidden/>
          </w:rPr>
        </w:r>
        <w:r>
          <w:rPr>
            <w:noProof/>
            <w:webHidden/>
          </w:rPr>
          <w:fldChar w:fldCharType="separate"/>
        </w:r>
        <w:r w:rsidR="00ED08CC">
          <w:rPr>
            <w:noProof/>
            <w:webHidden/>
          </w:rPr>
          <w:t>16</w:t>
        </w:r>
        <w:r>
          <w:rPr>
            <w:noProof/>
            <w:webHidden/>
          </w:rPr>
          <w:fldChar w:fldCharType="end"/>
        </w:r>
      </w:hyperlink>
    </w:p>
    <w:p w14:paraId="7C8A3A10" w14:textId="77777777" w:rsidR="00BC0293" w:rsidRDefault="00BC0293">
      <w:pPr>
        <w:pStyle w:val="TableofFigures"/>
        <w:tabs>
          <w:tab w:val="right" w:leader="dot" w:pos="9016"/>
        </w:tabs>
        <w:rPr>
          <w:rFonts w:asciiTheme="minorHAnsi" w:eastAsiaTheme="minorEastAsia" w:hAnsiTheme="minorHAnsi"/>
          <w:noProof/>
          <w:szCs w:val="20"/>
          <w:lang w:eastAsia="zh-TW" w:bidi="hi-IN"/>
        </w:rPr>
      </w:pPr>
      <w:hyperlink w:anchor="_Toc486587635" w:history="1">
        <w:r w:rsidRPr="00B72FBD">
          <w:rPr>
            <w:rStyle w:val="Hyperlink"/>
            <w:noProof/>
          </w:rPr>
          <w:t>Table 9. AbaF sponsorship estimates with 1.6 per cent growth projection</w:t>
        </w:r>
        <w:r>
          <w:rPr>
            <w:noProof/>
            <w:webHidden/>
          </w:rPr>
          <w:tab/>
        </w:r>
        <w:r>
          <w:rPr>
            <w:noProof/>
            <w:webHidden/>
          </w:rPr>
          <w:fldChar w:fldCharType="begin"/>
        </w:r>
        <w:r>
          <w:rPr>
            <w:noProof/>
            <w:webHidden/>
          </w:rPr>
          <w:instrText xml:space="preserve"> PAGEREF _Toc486587635 \h </w:instrText>
        </w:r>
        <w:r>
          <w:rPr>
            <w:noProof/>
            <w:webHidden/>
          </w:rPr>
        </w:r>
        <w:r>
          <w:rPr>
            <w:noProof/>
            <w:webHidden/>
          </w:rPr>
          <w:fldChar w:fldCharType="separate"/>
        </w:r>
        <w:r w:rsidR="00ED08CC">
          <w:rPr>
            <w:noProof/>
            <w:webHidden/>
          </w:rPr>
          <w:t>17</w:t>
        </w:r>
        <w:r>
          <w:rPr>
            <w:noProof/>
            <w:webHidden/>
          </w:rPr>
          <w:fldChar w:fldCharType="end"/>
        </w:r>
      </w:hyperlink>
    </w:p>
    <w:p w14:paraId="5DE2753E" w14:textId="77777777" w:rsidR="00BC0293" w:rsidRDefault="00BC0293">
      <w:pPr>
        <w:pStyle w:val="TableofFigures"/>
        <w:tabs>
          <w:tab w:val="right" w:leader="dot" w:pos="9016"/>
        </w:tabs>
        <w:rPr>
          <w:rFonts w:asciiTheme="minorHAnsi" w:eastAsiaTheme="minorEastAsia" w:hAnsiTheme="minorHAnsi"/>
          <w:noProof/>
          <w:szCs w:val="20"/>
          <w:lang w:eastAsia="zh-TW" w:bidi="hi-IN"/>
        </w:rPr>
      </w:pPr>
      <w:hyperlink w:anchor="_Toc486587636" w:history="1">
        <w:r w:rsidRPr="00B72FBD">
          <w:rPr>
            <w:rStyle w:val="Hyperlink"/>
            <w:noProof/>
          </w:rPr>
          <w:t>Table 10. AMPAG sponsorship data projections of AbaF sponsorship estimates</w:t>
        </w:r>
        <w:r>
          <w:rPr>
            <w:noProof/>
            <w:webHidden/>
          </w:rPr>
          <w:tab/>
        </w:r>
        <w:r>
          <w:rPr>
            <w:noProof/>
            <w:webHidden/>
          </w:rPr>
          <w:fldChar w:fldCharType="begin"/>
        </w:r>
        <w:r>
          <w:rPr>
            <w:noProof/>
            <w:webHidden/>
          </w:rPr>
          <w:instrText xml:space="preserve"> PAGEREF _Toc486587636 \h </w:instrText>
        </w:r>
        <w:r>
          <w:rPr>
            <w:noProof/>
            <w:webHidden/>
          </w:rPr>
        </w:r>
        <w:r>
          <w:rPr>
            <w:noProof/>
            <w:webHidden/>
          </w:rPr>
          <w:fldChar w:fldCharType="separate"/>
        </w:r>
        <w:r w:rsidR="00ED08CC">
          <w:rPr>
            <w:noProof/>
            <w:webHidden/>
          </w:rPr>
          <w:t>19</w:t>
        </w:r>
        <w:r>
          <w:rPr>
            <w:noProof/>
            <w:webHidden/>
          </w:rPr>
          <w:fldChar w:fldCharType="end"/>
        </w:r>
      </w:hyperlink>
    </w:p>
    <w:p w14:paraId="53B8A80F" w14:textId="77777777" w:rsidR="00BC0293" w:rsidRDefault="00BC0293">
      <w:pPr>
        <w:pStyle w:val="TableofFigures"/>
        <w:tabs>
          <w:tab w:val="right" w:leader="dot" w:pos="9016"/>
        </w:tabs>
        <w:rPr>
          <w:rFonts w:asciiTheme="minorHAnsi" w:eastAsiaTheme="minorEastAsia" w:hAnsiTheme="minorHAnsi"/>
          <w:noProof/>
          <w:szCs w:val="20"/>
          <w:lang w:eastAsia="zh-TW" w:bidi="hi-IN"/>
        </w:rPr>
      </w:pPr>
      <w:hyperlink w:anchor="_Toc486587637" w:history="1">
        <w:r w:rsidRPr="00B72FBD">
          <w:rPr>
            <w:rStyle w:val="Hyperlink"/>
            <w:noProof/>
          </w:rPr>
          <w:t>Table 11. GOS data projections of AbaF sponsorship estimates</w:t>
        </w:r>
        <w:r>
          <w:rPr>
            <w:noProof/>
            <w:webHidden/>
          </w:rPr>
          <w:tab/>
        </w:r>
        <w:r>
          <w:rPr>
            <w:noProof/>
            <w:webHidden/>
          </w:rPr>
          <w:fldChar w:fldCharType="begin"/>
        </w:r>
        <w:r>
          <w:rPr>
            <w:noProof/>
            <w:webHidden/>
          </w:rPr>
          <w:instrText xml:space="preserve"> PAGEREF _Toc486587637 \h </w:instrText>
        </w:r>
        <w:r>
          <w:rPr>
            <w:noProof/>
            <w:webHidden/>
          </w:rPr>
        </w:r>
        <w:r>
          <w:rPr>
            <w:noProof/>
            <w:webHidden/>
          </w:rPr>
          <w:fldChar w:fldCharType="separate"/>
        </w:r>
        <w:r w:rsidR="00ED08CC">
          <w:rPr>
            <w:noProof/>
            <w:webHidden/>
          </w:rPr>
          <w:t>21</w:t>
        </w:r>
        <w:r>
          <w:rPr>
            <w:noProof/>
            <w:webHidden/>
          </w:rPr>
          <w:fldChar w:fldCharType="end"/>
        </w:r>
      </w:hyperlink>
    </w:p>
    <w:p w14:paraId="6E142DCC" w14:textId="77777777" w:rsidR="00BC0293" w:rsidRDefault="00BC0293">
      <w:pPr>
        <w:pStyle w:val="TableofFigures"/>
        <w:tabs>
          <w:tab w:val="right" w:leader="dot" w:pos="9016"/>
        </w:tabs>
        <w:rPr>
          <w:rFonts w:asciiTheme="minorHAnsi" w:eastAsiaTheme="minorEastAsia" w:hAnsiTheme="minorHAnsi"/>
          <w:noProof/>
          <w:szCs w:val="20"/>
          <w:lang w:eastAsia="zh-TW" w:bidi="hi-IN"/>
        </w:rPr>
      </w:pPr>
      <w:hyperlink w:anchor="_Toc486587638" w:history="1">
        <w:r w:rsidRPr="00B72FBD">
          <w:rPr>
            <w:rStyle w:val="Hyperlink"/>
            <w:noProof/>
          </w:rPr>
          <w:t>Table 12. Summary of estimated private sector sponsorship</w:t>
        </w:r>
        <w:r>
          <w:rPr>
            <w:noProof/>
            <w:webHidden/>
          </w:rPr>
          <w:tab/>
        </w:r>
        <w:r>
          <w:rPr>
            <w:noProof/>
            <w:webHidden/>
          </w:rPr>
          <w:fldChar w:fldCharType="begin"/>
        </w:r>
        <w:r>
          <w:rPr>
            <w:noProof/>
            <w:webHidden/>
          </w:rPr>
          <w:instrText xml:space="preserve"> PAGEREF _Toc486587638 \h </w:instrText>
        </w:r>
        <w:r>
          <w:rPr>
            <w:noProof/>
            <w:webHidden/>
          </w:rPr>
        </w:r>
        <w:r>
          <w:rPr>
            <w:noProof/>
            <w:webHidden/>
          </w:rPr>
          <w:fldChar w:fldCharType="separate"/>
        </w:r>
        <w:r w:rsidR="00ED08CC">
          <w:rPr>
            <w:noProof/>
            <w:webHidden/>
          </w:rPr>
          <w:t>23</w:t>
        </w:r>
        <w:r>
          <w:rPr>
            <w:noProof/>
            <w:webHidden/>
          </w:rPr>
          <w:fldChar w:fldCharType="end"/>
        </w:r>
      </w:hyperlink>
    </w:p>
    <w:p w14:paraId="172DEFF6" w14:textId="77777777" w:rsidR="00BC0293" w:rsidRDefault="00BC0293">
      <w:pPr>
        <w:pStyle w:val="TableofFigures"/>
        <w:tabs>
          <w:tab w:val="right" w:leader="dot" w:pos="9016"/>
        </w:tabs>
        <w:rPr>
          <w:rFonts w:asciiTheme="minorHAnsi" w:eastAsiaTheme="minorEastAsia" w:hAnsiTheme="minorHAnsi"/>
          <w:noProof/>
          <w:szCs w:val="20"/>
          <w:lang w:eastAsia="zh-TW" w:bidi="hi-IN"/>
        </w:rPr>
      </w:pPr>
      <w:hyperlink w:anchor="_Toc486587639" w:history="1">
        <w:r w:rsidRPr="00B72FBD">
          <w:rPr>
            <w:rStyle w:val="Hyperlink"/>
            <w:noProof/>
          </w:rPr>
          <w:t>Table 13. Survey-based estimates of total private sector support for arts: AbaF and ABS</w:t>
        </w:r>
        <w:r>
          <w:rPr>
            <w:noProof/>
            <w:webHidden/>
          </w:rPr>
          <w:tab/>
        </w:r>
        <w:r>
          <w:rPr>
            <w:noProof/>
            <w:webHidden/>
          </w:rPr>
          <w:fldChar w:fldCharType="begin"/>
        </w:r>
        <w:r>
          <w:rPr>
            <w:noProof/>
            <w:webHidden/>
          </w:rPr>
          <w:instrText xml:space="preserve"> PAGEREF _Toc486587639 \h </w:instrText>
        </w:r>
        <w:r>
          <w:rPr>
            <w:noProof/>
            <w:webHidden/>
          </w:rPr>
        </w:r>
        <w:r>
          <w:rPr>
            <w:noProof/>
            <w:webHidden/>
          </w:rPr>
          <w:fldChar w:fldCharType="separate"/>
        </w:r>
        <w:r w:rsidR="00ED08CC">
          <w:rPr>
            <w:noProof/>
            <w:webHidden/>
          </w:rPr>
          <w:t>28</w:t>
        </w:r>
        <w:r>
          <w:rPr>
            <w:noProof/>
            <w:webHidden/>
          </w:rPr>
          <w:fldChar w:fldCharType="end"/>
        </w:r>
      </w:hyperlink>
    </w:p>
    <w:p w14:paraId="24104936" w14:textId="77777777" w:rsidR="005700B7" w:rsidRPr="00AE73E3" w:rsidRDefault="005700B7" w:rsidP="005700B7">
      <w:pPr>
        <w:sectPr w:rsidR="005700B7" w:rsidRPr="00AE73E3" w:rsidSect="001061E5">
          <w:headerReference w:type="default" r:id="rId21"/>
          <w:footerReference w:type="default" r:id="rId22"/>
          <w:footnotePr>
            <w:numFmt w:val="chicago"/>
            <w:numRestart w:val="eachPage"/>
          </w:footnotePr>
          <w:endnotePr>
            <w:numFmt w:val="decimal"/>
          </w:endnotePr>
          <w:type w:val="continuous"/>
          <w:pgSz w:w="11906" w:h="16838"/>
          <w:pgMar w:top="1440" w:right="1440" w:bottom="1276" w:left="1440" w:header="708" w:footer="328" w:gutter="0"/>
          <w:pgNumType w:fmt="lowerRoman" w:start="1"/>
          <w:cols w:space="708"/>
          <w:docGrid w:linePitch="360"/>
        </w:sectPr>
      </w:pPr>
      <w:r w:rsidRPr="00AE73E3">
        <w:fldChar w:fldCharType="end"/>
      </w:r>
    </w:p>
    <w:p w14:paraId="1FD560CE" w14:textId="77777777" w:rsidR="005700B7" w:rsidRPr="00AE73E3" w:rsidRDefault="005700B7" w:rsidP="001061E5">
      <w:pPr>
        <w:pStyle w:val="Heading2"/>
      </w:pPr>
      <w:bookmarkStart w:id="10" w:name="_Toc486261293"/>
      <w:bookmarkStart w:id="11" w:name="_Toc486319714"/>
      <w:r w:rsidRPr="00AE73E3">
        <w:t>Introduction</w:t>
      </w:r>
      <w:bookmarkEnd w:id="10"/>
      <w:bookmarkEnd w:id="11"/>
    </w:p>
    <w:p w14:paraId="57EF7D8D" w14:textId="77777777" w:rsidR="005D1423" w:rsidRDefault="005700B7" w:rsidP="005700B7">
      <w:r w:rsidRPr="00AE73E3">
        <w:t>Australians engage with a variety of forms of arts and culture (the arts) through a range of mediums. The arts are integral to our individual and community wellbeing and a vital catalyst for positive change and innovation. Ongoing public and private sector support, each through their own means, cultivates a vibrant and a sustainable arts sector benefiting all Australians.</w:t>
      </w:r>
    </w:p>
    <w:p w14:paraId="19B06557" w14:textId="77777777" w:rsidR="005700B7" w:rsidRPr="00AE73E3" w:rsidRDefault="005700B7" w:rsidP="005700B7">
      <w:r w:rsidRPr="00AE73E3">
        <w:t>Private sector support for the arts</w:t>
      </w:r>
      <w:r w:rsidR="005D1423">
        <w:t>—</w:t>
      </w:r>
      <w:r w:rsidRPr="00AE73E3">
        <w:t>whether from individuals or business entities</w:t>
      </w:r>
      <w:r w:rsidR="005D1423">
        <w:t>—</w:t>
      </w:r>
      <w:r w:rsidRPr="00AE73E3">
        <w:t>plays an important role in providing a supportive environment in which the arts can thrive. Such support is achieved through giving, investing, partnerships and volunteering. In many areas of the arts, and for many arts organisations, private sector support is essential for providing funding stability</w:t>
      </w:r>
      <w:r w:rsidRPr="00991DF4">
        <w:rPr>
          <w:vertAlign w:val="superscript"/>
        </w:rPr>
        <w:endnoteReference w:id="1"/>
      </w:r>
      <w:r w:rsidRPr="00AE73E3">
        <w:t>.</w:t>
      </w:r>
    </w:p>
    <w:p w14:paraId="1F2C694A" w14:textId="77777777" w:rsidR="005D1423" w:rsidRDefault="005700B7" w:rsidP="005700B7">
      <w:r w:rsidRPr="00AE73E3">
        <w:t>Creating a culture of private sector support for the arts, which includes developing a culture of giving, investment, partnership and volunteering as well as bringing donors, businesses, artists and arts organisations together is essential. Creative Partnerships Australia</w:t>
      </w:r>
      <w:r w:rsidR="005D1423">
        <w:t>—</w:t>
      </w:r>
      <w:r w:rsidRPr="00AE73E3">
        <w:t>the Australian Government’s primary body for encouraging and facilitating greater private sector support for the arts</w:t>
      </w:r>
      <w:r w:rsidR="005D1423">
        <w:t>—</w:t>
      </w:r>
      <w:r w:rsidRPr="00AE73E3">
        <w:t>proposed and commissioned this paper, which is a product of collaboration between the Bureau of Communications and Arts Research and Creative Partnerships Australia.</w:t>
      </w:r>
    </w:p>
    <w:p w14:paraId="05CFF595" w14:textId="77777777" w:rsidR="005700B7" w:rsidRPr="00AE73E3" w:rsidRDefault="005700B7" w:rsidP="005700B7">
      <w:r w:rsidRPr="00AE73E3">
        <w:t>This paper is a first step in estimating the size of that support over time using currently available data sourced from the Australia Business Arts Foundation (</w:t>
      </w:r>
      <w:proofErr w:type="spellStart"/>
      <w:r w:rsidRPr="00AE73E3">
        <w:t>AbaF</w:t>
      </w:r>
      <w:proofErr w:type="spellEnd"/>
      <w:r w:rsidRPr="00AE73E3">
        <w:t xml:space="preserve">, merged with the Australia Council’s </w:t>
      </w:r>
      <w:proofErr w:type="spellStart"/>
      <w:r w:rsidRPr="00AE73E3">
        <w:t>Artsupport</w:t>
      </w:r>
      <w:proofErr w:type="spellEnd"/>
      <w:r w:rsidRPr="00AE73E3">
        <w:t xml:space="preserve"> Australia program in 2013 to form Creative Partnerships Australia), the Australian Bureau of Statistics (ABS) and the Australian Major Performing Arts Group (AMPAG). In doing so, this paper also seeks to identify the scope of private sector support and map this to available data.</w:t>
      </w:r>
    </w:p>
    <w:p w14:paraId="160D035D" w14:textId="77777777" w:rsidR="005D1423" w:rsidRDefault="005700B7" w:rsidP="005700B7">
      <w:r w:rsidRPr="00AE73E3">
        <w:t>The projections outlined in this paper suggest that private sector support for the arts in Australia continues to grow and flourish. However, it also highlights the need for more robust and comprehensive data in this area.</w:t>
      </w:r>
    </w:p>
    <w:p w14:paraId="10CEC93B" w14:textId="5E7ED375" w:rsidR="001061E5" w:rsidRDefault="005700B7" w:rsidP="005700B7">
      <w:r w:rsidRPr="00AE73E3">
        <w:t>Looking to the future, the collection of ongoing data in a consistent manner and the linking of existing data sets across jurisdictions would enable more reliable and sophisticated analysis and unlock the potential toward greater insights on arts support in Australia.</w:t>
      </w:r>
    </w:p>
    <w:p w14:paraId="680A906F" w14:textId="77777777" w:rsidR="001061E5" w:rsidRPr="00AE73E3" w:rsidRDefault="001061E5" w:rsidP="001061E5">
      <w:pPr>
        <w:pStyle w:val="Heading2"/>
      </w:pPr>
      <w:bookmarkStart w:id="12" w:name="_Toc486261294"/>
      <w:bookmarkStart w:id="13" w:name="_Toc486319715"/>
      <w:r w:rsidRPr="00AE73E3">
        <w:t>Key findings</w:t>
      </w:r>
      <w:bookmarkEnd w:id="12"/>
      <w:bookmarkEnd w:id="13"/>
    </w:p>
    <w:p w14:paraId="7853CE68" w14:textId="77777777" w:rsidR="001061E5" w:rsidRPr="00AE73E3" w:rsidRDefault="001061E5" w:rsidP="001061E5">
      <w:pPr>
        <w:pStyle w:val="Heading3"/>
      </w:pPr>
      <w:bookmarkStart w:id="14" w:name="_Toc486261295"/>
      <w:bookmarkStart w:id="15" w:name="_Toc486319716"/>
      <w:r w:rsidRPr="00AE73E3">
        <w:t>Estimates of total support</w:t>
      </w:r>
      <w:bookmarkEnd w:id="14"/>
      <w:bookmarkEnd w:id="15"/>
    </w:p>
    <w:p w14:paraId="4222750D" w14:textId="77777777" w:rsidR="005D1423" w:rsidRDefault="001061E5" w:rsidP="001061E5">
      <w:r w:rsidRPr="00AE73E3">
        <w:t>Overall private sector support for the arts in Australia is estimated to have grown over a period of six years, from $221.1 million in 2009–10 to between $268.5 million and $279.8 million in 2015–16. Three models were used to produce estimates for each given year (see Table 4).</w:t>
      </w:r>
    </w:p>
    <w:p w14:paraId="3EF14492" w14:textId="77777777" w:rsidR="001061E5" w:rsidRPr="00AE73E3" w:rsidRDefault="001061E5" w:rsidP="001061E5">
      <w:r w:rsidRPr="00AE73E3">
        <w:t xml:space="preserve">The models immediately start to diverge once they exit the range of the </w:t>
      </w:r>
      <w:proofErr w:type="spellStart"/>
      <w:r w:rsidRPr="00AE73E3">
        <w:t>AbaF</w:t>
      </w:r>
      <w:proofErr w:type="spellEnd"/>
      <w:r w:rsidRPr="00AE73E3">
        <w:t xml:space="preserve"> data. This is most notable for the AMPAG model which is based on Australia’s 28 major performing arts companies. As such, the AMPAG estimates are likely to overstate the overall trend for the sector due to the significant variation in the size, and the nature of activity, of arts organisations in Australia. These range from very small volunteer-run organisations, to considerably larger organisations with significant financial turnover and dedicated fundraising staff. All estimates are significantly higher than the ABS 2014–15 survey based estimate of $204 million.</w:t>
      </w:r>
    </w:p>
    <w:p w14:paraId="48E06E81" w14:textId="77777777" w:rsidR="005D1423" w:rsidRDefault="001061E5" w:rsidP="001061E5">
      <w:r w:rsidRPr="00AE73E3">
        <w:t>The Gross Operating Surplus (GOS) estimates would incorporate the structural impact on business income arising from the Global Financial Crisis (GFC) in 2007–08, and are more likely than the AMPAG estimates to represent the overall trend for the sector. Following the GFC, both business and household income growth slowed in Australia.</w:t>
      </w:r>
    </w:p>
    <w:p w14:paraId="64FC200E" w14:textId="77777777" w:rsidR="001061E5" w:rsidRPr="00AE73E3" w:rsidRDefault="001061E5" w:rsidP="001061E5">
      <w:r w:rsidRPr="00AE73E3">
        <w:t>While the two linear models (</w:t>
      </w:r>
      <w:proofErr w:type="spellStart"/>
      <w:r w:rsidRPr="00AE73E3">
        <w:t>AbaF</w:t>
      </w:r>
      <w:proofErr w:type="spellEnd"/>
      <w:r w:rsidRPr="00AE73E3">
        <w:t xml:space="preserve"> and AMPAG) had significant good fit and strong prediction levels, the GOS model is the best fit (R2 adjusted = 0.9704) and is therefore the most reliable estimate. However, this is likely an effect of a separate factor, such as the state of the economy, impacting on both business profitability and the level of private sector support for the arts.</w:t>
      </w:r>
    </w:p>
    <w:p w14:paraId="3766A715" w14:textId="77777777" w:rsidR="005D1423" w:rsidRDefault="001061E5" w:rsidP="001061E5">
      <w:r w:rsidRPr="00AE73E3">
        <w:t xml:space="preserve">The </w:t>
      </w:r>
      <w:proofErr w:type="spellStart"/>
      <w:r w:rsidRPr="00AE73E3">
        <w:t>AbaF</w:t>
      </w:r>
      <w:proofErr w:type="spellEnd"/>
      <w:r w:rsidRPr="00AE73E3">
        <w:t xml:space="preserve"> projections are based on its lowest historical growth rate of four per cent, which for a period of two years (2014–15 and 2015–16) aligns relatively closely with that modelled from the GOS data, and suggests that private sector support has continued to grow in real terms over the past six years.</w:t>
      </w:r>
    </w:p>
    <w:p w14:paraId="78249CFA" w14:textId="77777777" w:rsidR="005D1423" w:rsidRDefault="001061E5" w:rsidP="001061E5">
      <w:pPr>
        <w:pStyle w:val="Heading3"/>
      </w:pPr>
      <w:bookmarkStart w:id="16" w:name="_Toc486261296"/>
      <w:bookmarkStart w:id="17" w:name="_Toc486319717"/>
      <w:bookmarkStart w:id="18" w:name="_Toc468868224"/>
      <w:r w:rsidRPr="00AE73E3">
        <w:t>Donations estimates</w:t>
      </w:r>
      <w:bookmarkEnd w:id="16"/>
      <w:bookmarkEnd w:id="17"/>
    </w:p>
    <w:p w14:paraId="2FA7268C" w14:textId="77777777" w:rsidR="001061E5" w:rsidRPr="00AE73E3" w:rsidRDefault="001061E5" w:rsidP="001061E5">
      <w:r w:rsidRPr="00AE73E3">
        <w:t>Overall private sector donations to the arts in Australia are estimated to have grown over a period of six years, from $123.1 million in 2009–10 to between $149.9 million and $176.6 million in 2015–16.</w:t>
      </w:r>
    </w:p>
    <w:p w14:paraId="3A7E88EC" w14:textId="77777777" w:rsidR="001061E5" w:rsidRPr="00AE73E3" w:rsidRDefault="001061E5" w:rsidP="001061E5">
      <w:r w:rsidRPr="00AE73E3">
        <w:t>While the two linear models have significant good fit and strong prediction levels, the variation in the representativeness of the data means no single estimate is comprehensive.</w:t>
      </w:r>
    </w:p>
    <w:p w14:paraId="2357AB30" w14:textId="77777777" w:rsidR="001061E5" w:rsidRPr="00AE73E3" w:rsidRDefault="001061E5" w:rsidP="001061E5">
      <w:r w:rsidRPr="00AE73E3">
        <w:t>The AMPAG model, which is based on donations made to Australia’s 28 major performing arts companies had the greatest divergence.</w:t>
      </w:r>
    </w:p>
    <w:p w14:paraId="754F2807" w14:textId="77777777" w:rsidR="005D1423" w:rsidRDefault="001061E5" w:rsidP="001061E5">
      <w:pPr>
        <w:pStyle w:val="Heading3"/>
      </w:pPr>
      <w:bookmarkStart w:id="19" w:name="_Toc486261297"/>
      <w:bookmarkStart w:id="20" w:name="_Toc486319718"/>
      <w:r w:rsidRPr="00AE73E3">
        <w:t>Sponsorship estimates</w:t>
      </w:r>
      <w:bookmarkEnd w:id="18"/>
      <w:bookmarkEnd w:id="19"/>
      <w:bookmarkEnd w:id="20"/>
    </w:p>
    <w:p w14:paraId="78BF7B57" w14:textId="77777777" w:rsidR="001061E5" w:rsidRPr="00AE73E3" w:rsidRDefault="001061E5" w:rsidP="001061E5">
      <w:r w:rsidRPr="00AE73E3">
        <w:t>Overall private sector arts sponsorships in Australia are estimated to have grown over a period of six years, from $98.0 million in 2009-10 to between $107.8 million and $118.6 million in 2015–16.</w:t>
      </w:r>
    </w:p>
    <w:p w14:paraId="64EBC0E6" w14:textId="77777777" w:rsidR="005D1423" w:rsidRDefault="001061E5" w:rsidP="001061E5">
      <w:r w:rsidRPr="00AE73E3">
        <w:t>The models used to produce the sponsorship component of the total support also provided a broad range of estimates for each given year. The two linear models are significant and had medium to strong prediction levels, with GOS having significantly stronger prediction power. Given the divergence between the model outcomes, these estimates should be treated with caution.</w:t>
      </w:r>
    </w:p>
    <w:p w14:paraId="435420FB" w14:textId="77777777" w:rsidR="001061E5" w:rsidRPr="00AE73E3" w:rsidRDefault="001061E5" w:rsidP="001061E5">
      <w:pPr>
        <w:pStyle w:val="Heading3"/>
      </w:pPr>
      <w:bookmarkStart w:id="21" w:name="_Toc486261298"/>
      <w:bookmarkStart w:id="22" w:name="_Toc486319719"/>
      <w:r w:rsidRPr="00AE73E3">
        <w:t>International comparisons</w:t>
      </w:r>
      <w:bookmarkEnd w:id="21"/>
      <w:bookmarkEnd w:id="22"/>
    </w:p>
    <w:p w14:paraId="0D820678" w14:textId="77777777" w:rsidR="001061E5" w:rsidRPr="00AE73E3" w:rsidRDefault="001061E5" w:rsidP="001061E5">
      <w:r w:rsidRPr="00AE73E3">
        <w:t>To gauge where Australia’s private sector support for the arts sits relative to other comparable economies, the BCAR has used the estimates in this paper to determine Australia’s per-capita priva</w:t>
      </w:r>
      <w:r>
        <w:t>te sector support for the arts.</w:t>
      </w:r>
    </w:p>
    <w:p w14:paraId="503ECF6F" w14:textId="77777777" w:rsidR="001061E5" w:rsidRPr="00AE73E3" w:rsidRDefault="001061E5" w:rsidP="001061E5">
      <w:r w:rsidRPr="00AE73E3">
        <w:t>Australia is a unique environment with distinct cultural characteristics underpinning our approach to philanthropy</w:t>
      </w:r>
      <w:r w:rsidRPr="00666FC7">
        <w:rPr>
          <w:vertAlign w:val="superscript"/>
        </w:rPr>
        <w:endnoteReference w:id="2"/>
      </w:r>
      <w:r w:rsidR="00666FC7">
        <w:t xml:space="preserve">. </w:t>
      </w:r>
      <w:r w:rsidRPr="00AE73E3">
        <w:t>This makes cross-country comparison challenging as other countries, in particular the United States, have differing cultures around philanthropy and giving. There are also differences in the frameworks each country has in place to encourage and facilitate private sector support, as well as variations in the definitions and methodologies used to compile data.</w:t>
      </w:r>
    </w:p>
    <w:p w14:paraId="14A8A4C0" w14:textId="77777777" w:rsidR="001061E5" w:rsidRPr="00AE73E3" w:rsidRDefault="001061E5" w:rsidP="001061E5">
      <w:r w:rsidRPr="00AE73E3">
        <w:t>With this in mind, the BCAR estimates broadly indicate that Australian per-capita</w:t>
      </w:r>
      <w:r w:rsidRPr="00AE73E3">
        <w:footnoteReference w:id="1"/>
      </w:r>
      <w:r w:rsidRPr="00AE73E3">
        <w:t xml:space="preserve"> private sector support for the arts is above that for Canada, similar to England, but below that for the United States, noting that comparable estimates are not available for Canada and England in the same year.</w:t>
      </w:r>
    </w:p>
    <w:p w14:paraId="24C521E8" w14:textId="77777777" w:rsidR="001061E5" w:rsidRPr="00AE73E3" w:rsidRDefault="001061E5" w:rsidP="001061E5">
      <w:r w:rsidRPr="00AE73E3">
        <w:t>The BCAR estimates that in 2013 per capita private sector support for the arts was:</w:t>
      </w:r>
    </w:p>
    <w:p w14:paraId="39B2980D" w14:textId="77777777" w:rsidR="001061E5" w:rsidRPr="00AE73E3" w:rsidRDefault="001061E5" w:rsidP="00E926EA">
      <w:pPr>
        <w:pStyle w:val="Bulletlevel1"/>
      </w:pPr>
      <w:r w:rsidRPr="00AE73E3">
        <w:t>between AUD$11 and AUD$14 in Australia (based on the total estimates in this paper)</w:t>
      </w:r>
    </w:p>
    <w:p w14:paraId="137FEB3D" w14:textId="77777777" w:rsidR="001061E5" w:rsidRPr="00AE73E3" w:rsidRDefault="001061E5" w:rsidP="00E926EA">
      <w:pPr>
        <w:pStyle w:val="Bulletlevel1"/>
      </w:pPr>
      <w:r w:rsidRPr="00AE73E3">
        <w:t>AUD$5 in Canada</w:t>
      </w:r>
      <w:r w:rsidRPr="00666FC7">
        <w:rPr>
          <w:vertAlign w:val="superscript"/>
        </w:rPr>
        <w:endnoteReference w:id="3"/>
      </w:r>
      <w:r w:rsidRPr="00AE73E3">
        <w:t xml:space="preserve"> (based on individual contributions)</w:t>
      </w:r>
    </w:p>
    <w:p w14:paraId="2D7045B3" w14:textId="77777777" w:rsidR="001061E5" w:rsidRPr="00AE73E3" w:rsidRDefault="001061E5" w:rsidP="00E926EA">
      <w:pPr>
        <w:pStyle w:val="Bulletlevel1"/>
      </w:pPr>
      <w:r w:rsidRPr="00AE73E3">
        <w:t>AUD$46 in the United States</w:t>
      </w:r>
      <w:r w:rsidRPr="00666FC7">
        <w:rPr>
          <w:vertAlign w:val="superscript"/>
        </w:rPr>
        <w:endnoteReference w:id="4"/>
      </w:r>
      <w:r w:rsidRPr="00AE73E3">
        <w:t xml:space="preserve"> (noting that this figure relates to contributions to the humanities as well as arts and culture</w:t>
      </w:r>
      <w:r w:rsidRPr="00666FC7">
        <w:rPr>
          <w:vertAlign w:val="superscript"/>
        </w:rPr>
        <w:endnoteReference w:id="5"/>
      </w:r>
      <w:r w:rsidRPr="00AE73E3">
        <w:t>).</w:t>
      </w:r>
    </w:p>
    <w:p w14:paraId="472EA2E4" w14:textId="77777777" w:rsidR="005D1423" w:rsidRDefault="001061E5" w:rsidP="001061E5">
      <w:r w:rsidRPr="00AE73E3">
        <w:t>Based on 2014–15 figures, per capita private sector support for arts estimates in England</w:t>
      </w:r>
      <w:r w:rsidRPr="00666FC7">
        <w:rPr>
          <w:vertAlign w:val="superscript"/>
        </w:rPr>
        <w:endnoteReference w:id="6"/>
      </w:r>
      <w:r w:rsidRPr="00666FC7">
        <w:rPr>
          <w:vertAlign w:val="superscript"/>
        </w:rPr>
        <w:t xml:space="preserve"> </w:t>
      </w:r>
      <w:r w:rsidRPr="00AE73E3">
        <w:t>and Australia are broadly similar, with AUD$16 in England and between AUD$11 and AUD$16 in Australia.</w:t>
      </w:r>
    </w:p>
    <w:p w14:paraId="632BEDE0" w14:textId="77777777" w:rsidR="001061E5" w:rsidRPr="00AE73E3" w:rsidRDefault="001061E5" w:rsidP="001061E5">
      <w:pPr>
        <w:pStyle w:val="Heading3"/>
      </w:pPr>
      <w:bookmarkStart w:id="23" w:name="_Toc486261299"/>
      <w:bookmarkStart w:id="24" w:name="_Toc486319720"/>
      <w:r w:rsidRPr="00AE73E3">
        <w:t>Notes on data and modelling</w:t>
      </w:r>
      <w:bookmarkEnd w:id="23"/>
      <w:bookmarkEnd w:id="24"/>
    </w:p>
    <w:p w14:paraId="27519D8B" w14:textId="77777777" w:rsidR="001061E5" w:rsidRPr="00AE73E3" w:rsidRDefault="001061E5" w:rsidP="001061E5">
      <w:r w:rsidRPr="00AE73E3">
        <w:t>There are a range of estimates for each year (see Tables 4, 8, and 12). While the models used to produce the estimates have a good fit and strong prediction levels, the variation in the representativeness of the data means no single estimate is comprehensive. The divergence in estimates is most notable for the AMPAG model (see Figures 3, 6, and 9).</w:t>
      </w:r>
    </w:p>
    <w:p w14:paraId="011597F2" w14:textId="77777777" w:rsidR="001061E5" w:rsidRPr="00AE73E3" w:rsidRDefault="001061E5" w:rsidP="001061E5">
      <w:r w:rsidRPr="00AE73E3">
        <w:t>The linking of existing data sets across jurisdictions (where there are no legal restrictions) as well as taking steps toward consistent data structure, would unlock the potential toward greater insights on arts support in Aus</w:t>
      </w:r>
      <w:r>
        <w:t>tralia.</w:t>
      </w:r>
    </w:p>
    <w:p w14:paraId="3472C61A" w14:textId="77777777" w:rsidR="001061E5" w:rsidRPr="00AE73E3" w:rsidRDefault="001061E5" w:rsidP="001061E5">
      <w:r w:rsidRPr="00AE73E3">
        <w:t>Future estimates of private sector support for the arts could take the following into account:</w:t>
      </w:r>
    </w:p>
    <w:p w14:paraId="3226AD36" w14:textId="77777777" w:rsidR="001061E5" w:rsidRPr="00AE73E3" w:rsidRDefault="001061E5" w:rsidP="00E926EA">
      <w:pPr>
        <w:pStyle w:val="Bulletlevel1"/>
      </w:pPr>
      <w:r w:rsidRPr="00AE73E3">
        <w:t xml:space="preserve">The </w:t>
      </w:r>
      <w:proofErr w:type="spellStart"/>
      <w:r w:rsidRPr="00AE73E3">
        <w:t>AbaF</w:t>
      </w:r>
      <w:proofErr w:type="spellEnd"/>
      <w:r w:rsidRPr="00AE73E3">
        <w:t xml:space="preserve"> survey historically provides the most complete data given the population of interest.</w:t>
      </w:r>
    </w:p>
    <w:p w14:paraId="10CFC6D3" w14:textId="77777777" w:rsidR="005D1423" w:rsidRDefault="001061E5" w:rsidP="00E926EA">
      <w:pPr>
        <w:pStyle w:val="Bulletlevel1"/>
      </w:pPr>
      <w:r w:rsidRPr="00AE73E3">
        <w:t>Existing data sets could be better linked to provide a more comprehensive coverage of the entities and organisations that would represent the arts population. This would include linking and combining Commonwealth, state and territory government data sets, along with coordinating the type, quality, granularity and reporting periods of the data collected.</w:t>
      </w:r>
    </w:p>
    <w:p w14:paraId="0E0B5274" w14:textId="77777777" w:rsidR="001061E5" w:rsidRPr="00AE73E3" w:rsidRDefault="001061E5" w:rsidP="00E926EA">
      <w:pPr>
        <w:pStyle w:val="Bulletlevel1"/>
      </w:pPr>
      <w:r w:rsidRPr="00AE73E3">
        <w:t>Such data aggregation would require a responsible entity, such as Creative Partnerships Australia, to coordinate the data collection, storage, care and maintenance.</w:t>
      </w:r>
    </w:p>
    <w:p w14:paraId="6366D40A" w14:textId="77777777" w:rsidR="001061E5" w:rsidRPr="00AE73E3" w:rsidRDefault="001061E5" w:rsidP="00E926EA">
      <w:pPr>
        <w:pStyle w:val="Bulletlevel1"/>
      </w:pPr>
      <w:r w:rsidRPr="00AE73E3">
        <w:t>The value of data sets could be further strengthened through harmonised reporting methods to create better sources of quality and consistent data.</w:t>
      </w:r>
    </w:p>
    <w:p w14:paraId="7AE1660C" w14:textId="77777777" w:rsidR="00666FC7" w:rsidRDefault="00666FC7">
      <w:pPr>
        <w:spacing w:after="160" w:line="259" w:lineRule="auto"/>
      </w:pPr>
      <w:r>
        <w:br w:type="page"/>
      </w:r>
    </w:p>
    <w:p w14:paraId="3414DDC9" w14:textId="77777777" w:rsidR="00666FC7" w:rsidRPr="00C25B91" w:rsidRDefault="00666FC7" w:rsidP="005B4B7C">
      <w:pPr>
        <w:pStyle w:val="Heading2"/>
        <w:tabs>
          <w:tab w:val="clear" w:pos="2268"/>
          <w:tab w:val="left" w:pos="1701"/>
        </w:tabs>
      </w:pPr>
      <w:bookmarkStart w:id="25" w:name="_Toc486261300"/>
      <w:bookmarkStart w:id="26" w:name="_Toc486319721"/>
      <w:r w:rsidRPr="00666FC7">
        <w:rPr>
          <w:color w:val="auto"/>
        </w:rPr>
        <w:t>Chapter 1.</w:t>
      </w:r>
      <w:r>
        <w:tab/>
      </w:r>
      <w:r w:rsidRPr="00C25B91">
        <w:t>Total support estimates: results and findings</w:t>
      </w:r>
      <w:bookmarkEnd w:id="25"/>
      <w:bookmarkEnd w:id="26"/>
    </w:p>
    <w:p w14:paraId="1F8D3293" w14:textId="7171FCBE" w:rsidR="005D1423" w:rsidRDefault="00666FC7" w:rsidP="00666FC7">
      <w:pPr>
        <w:pStyle w:val="Heading3"/>
      </w:pPr>
      <w:bookmarkStart w:id="27" w:name="_Toc468868232"/>
      <w:bookmarkStart w:id="28" w:name="_Toc486261301"/>
      <w:bookmarkStart w:id="29" w:name="_Toc486319722"/>
      <w:r w:rsidRPr="00C25B91">
        <w:t xml:space="preserve">Model 1. </w:t>
      </w:r>
      <w:proofErr w:type="spellStart"/>
      <w:r w:rsidRPr="00C25B91">
        <w:t>AbaF</w:t>
      </w:r>
      <w:proofErr w:type="spellEnd"/>
      <w:r w:rsidRPr="00C25B91">
        <w:t xml:space="preserve"> lowest historical growth of 4.0 per cent</w:t>
      </w:r>
      <w:bookmarkEnd w:id="27"/>
      <w:bookmarkEnd w:id="28"/>
      <w:bookmarkEnd w:id="29"/>
    </w:p>
    <w:p w14:paraId="06DA00FB" w14:textId="77777777" w:rsidR="005D1423" w:rsidRDefault="00666FC7" w:rsidP="00666FC7">
      <w:r w:rsidRPr="00C25B91">
        <w:t xml:space="preserve">Private sector support for the arts in Australia was estimated by </w:t>
      </w:r>
      <w:proofErr w:type="spellStart"/>
      <w:r w:rsidRPr="00C25B91">
        <w:t>AbaF</w:t>
      </w:r>
      <w:proofErr w:type="spellEnd"/>
      <w:r w:rsidRPr="00C25B91">
        <w:t>, based on surveys starting in 2001–02 and ending in 2009–10. In that time, year to year estimates were volatile, registering growth rates ranging between 4.0 per cent (2007–08 to 2008–09) and 22.2 per cent (2004–05 to 2005–06). For the final two surveys estimated annual growth was 4.0 and 4.2 per cent, respectively.</w:t>
      </w:r>
    </w:p>
    <w:p w14:paraId="74644CE9" w14:textId="77777777" w:rsidR="00666FC7" w:rsidRDefault="00666FC7" w:rsidP="00666FC7">
      <w:r w:rsidRPr="00C25B91">
        <w:t xml:space="preserve">For the purpose of obtaining an arbitrary conservative projection rate of private contributions this model is based on its lowest historical growth rate of 4.0 per cent, which provided figures as outlined in </w:t>
      </w:r>
      <w:r w:rsidRPr="00C25B91">
        <w:fldChar w:fldCharType="begin"/>
      </w:r>
      <w:r w:rsidRPr="00C25B91">
        <w:instrText xml:space="preserve"> REF _Ref468881911 \h  \* MERGEFORMAT </w:instrText>
      </w:r>
      <w:r w:rsidRPr="00C25B91">
        <w:fldChar w:fldCharType="separate"/>
      </w:r>
      <w:r w:rsidR="00ED08CC" w:rsidRPr="00666FC7">
        <w:t xml:space="preserve">Table </w:t>
      </w:r>
      <w:r w:rsidR="00ED08CC">
        <w:t>1</w:t>
      </w:r>
      <w:r w:rsidRPr="00C25B91">
        <w:fldChar w:fldCharType="end"/>
      </w:r>
      <w:r>
        <w:t>.</w:t>
      </w:r>
    </w:p>
    <w:p w14:paraId="46E77B88" w14:textId="77777777" w:rsidR="00666FC7" w:rsidRPr="00666FC7" w:rsidRDefault="00666FC7" w:rsidP="00666FC7">
      <w:pPr>
        <w:pStyle w:val="Tablefigureheading"/>
      </w:pPr>
      <w:bookmarkStart w:id="30" w:name="_Ref468881911"/>
      <w:bookmarkStart w:id="31" w:name="_Toc486587627"/>
      <w:r w:rsidRPr="00666FC7">
        <w:t xml:space="preserve">Table </w:t>
      </w:r>
      <w:fldSimple w:instr=" SEQ Table \* ARABIC ">
        <w:r w:rsidR="00ED08CC">
          <w:rPr>
            <w:noProof/>
          </w:rPr>
          <w:t>1</w:t>
        </w:r>
      </w:fldSimple>
      <w:bookmarkEnd w:id="30"/>
      <w:r w:rsidRPr="00666FC7">
        <w:t xml:space="preserve">. </w:t>
      </w:r>
      <w:proofErr w:type="spellStart"/>
      <w:r w:rsidRPr="00666FC7">
        <w:t>AbaF</w:t>
      </w:r>
      <w:proofErr w:type="spellEnd"/>
      <w:r w:rsidRPr="00666FC7">
        <w:t xml:space="preserve"> total support estimate with 4.0 per cent growth projection</w:t>
      </w:r>
      <w:bookmarkEnd w:id="31"/>
    </w:p>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CellMar>
          <w:top w:w="57" w:type="dxa"/>
          <w:bottom w:w="57" w:type="dxa"/>
        </w:tblCellMar>
        <w:tblLook w:val="04A0" w:firstRow="1" w:lastRow="0" w:firstColumn="1" w:lastColumn="0" w:noHBand="0" w:noVBand="1"/>
        <w:tblDescription w:val="Table 1. AbaF total support estimate with 4.0 per cent growth projection"/>
      </w:tblPr>
      <w:tblGrid>
        <w:gridCol w:w="1701"/>
        <w:gridCol w:w="3615"/>
        <w:gridCol w:w="3615"/>
      </w:tblGrid>
      <w:tr w:rsidR="00666FC7" w14:paraId="615BAC23" w14:textId="77777777" w:rsidTr="00BC0293">
        <w:trPr>
          <w:cantSplit/>
          <w:tblHeader/>
        </w:trPr>
        <w:tc>
          <w:tcPr>
            <w:tcW w:w="1701" w:type="dxa"/>
            <w:tcBorders>
              <w:top w:val="nil"/>
              <w:left w:val="nil"/>
              <w:bottom w:val="thickThinLargeGap" w:sz="24" w:space="0" w:color="auto"/>
              <w:right w:val="nil"/>
            </w:tcBorders>
            <w:shd w:val="clear" w:color="auto" w:fill="113652"/>
          </w:tcPr>
          <w:p w14:paraId="397AF808" w14:textId="77777777" w:rsidR="00666FC7" w:rsidRDefault="00666FC7" w:rsidP="00666FC7">
            <w:pPr>
              <w:pStyle w:val="Tableheading"/>
            </w:pPr>
            <w:r>
              <w:t>Financial year</w:t>
            </w:r>
          </w:p>
        </w:tc>
        <w:tc>
          <w:tcPr>
            <w:tcW w:w="3615" w:type="dxa"/>
            <w:tcBorders>
              <w:top w:val="nil"/>
              <w:left w:val="nil"/>
              <w:bottom w:val="thickThinLargeGap" w:sz="24" w:space="0" w:color="auto"/>
              <w:right w:val="nil"/>
            </w:tcBorders>
            <w:shd w:val="clear" w:color="auto" w:fill="113652"/>
          </w:tcPr>
          <w:p w14:paraId="3D8A2CC3" w14:textId="77777777" w:rsidR="00666FC7" w:rsidRDefault="00666FC7" w:rsidP="004046C2">
            <w:pPr>
              <w:pStyle w:val="Tableheading"/>
              <w:jc w:val="center"/>
            </w:pPr>
            <w:proofErr w:type="spellStart"/>
            <w:r>
              <w:t>AbaF</w:t>
            </w:r>
            <w:proofErr w:type="spellEnd"/>
            <w:r>
              <w:t xml:space="preserve"> ($ million)</w:t>
            </w:r>
          </w:p>
        </w:tc>
        <w:tc>
          <w:tcPr>
            <w:tcW w:w="3615" w:type="dxa"/>
            <w:tcBorders>
              <w:top w:val="nil"/>
              <w:left w:val="nil"/>
              <w:bottom w:val="thickThinLargeGap" w:sz="24" w:space="0" w:color="auto"/>
              <w:right w:val="nil"/>
            </w:tcBorders>
            <w:shd w:val="clear" w:color="auto" w:fill="113652"/>
          </w:tcPr>
          <w:p w14:paraId="0A326195" w14:textId="77777777" w:rsidR="00991DF4" w:rsidRDefault="00666FC7" w:rsidP="004046C2">
            <w:pPr>
              <w:pStyle w:val="Tableheadingcentred"/>
            </w:pPr>
            <w:r>
              <w:t xml:space="preserve">Aba F 4.0% growth projection </w:t>
            </w:r>
          </w:p>
          <w:p w14:paraId="78E41738" w14:textId="49D63638" w:rsidR="00666FC7" w:rsidRDefault="00666FC7" w:rsidP="004046C2">
            <w:pPr>
              <w:pStyle w:val="Tableheadingcentred"/>
            </w:pPr>
            <w:r>
              <w:t>($ million)</w:t>
            </w:r>
          </w:p>
        </w:tc>
      </w:tr>
      <w:tr w:rsidR="00666FC7" w14:paraId="29131F6D" w14:textId="77777777" w:rsidTr="005B4B7C">
        <w:trPr>
          <w:cantSplit/>
        </w:trPr>
        <w:tc>
          <w:tcPr>
            <w:tcW w:w="1701" w:type="dxa"/>
            <w:tcBorders>
              <w:top w:val="thickThinLargeGap" w:sz="24" w:space="0" w:color="auto"/>
              <w:left w:val="nil"/>
              <w:bottom w:val="single" w:sz="4" w:space="0" w:color="auto"/>
              <w:right w:val="nil"/>
            </w:tcBorders>
          </w:tcPr>
          <w:p w14:paraId="14E7B108" w14:textId="77777777" w:rsidR="00666FC7" w:rsidRPr="00C25B91" w:rsidRDefault="00666FC7" w:rsidP="004046C2">
            <w:pPr>
              <w:pStyle w:val="Tabletext"/>
            </w:pPr>
            <w:r w:rsidRPr="00C25B91">
              <w:t>2001–02</w:t>
            </w:r>
          </w:p>
        </w:tc>
        <w:tc>
          <w:tcPr>
            <w:tcW w:w="3615" w:type="dxa"/>
            <w:tcBorders>
              <w:top w:val="thickThinLargeGap" w:sz="24" w:space="0" w:color="auto"/>
              <w:left w:val="nil"/>
              <w:bottom w:val="single" w:sz="4" w:space="0" w:color="auto"/>
              <w:right w:val="nil"/>
            </w:tcBorders>
          </w:tcPr>
          <w:p w14:paraId="177F2C1E" w14:textId="77777777" w:rsidR="00666FC7" w:rsidRPr="00C25B91" w:rsidRDefault="00666FC7" w:rsidP="00BC0293">
            <w:pPr>
              <w:pStyle w:val="Tabletext"/>
              <w:jc w:val="center"/>
            </w:pPr>
            <w:r w:rsidRPr="00C25B91">
              <w:t>111.6</w:t>
            </w:r>
          </w:p>
        </w:tc>
        <w:tc>
          <w:tcPr>
            <w:tcW w:w="3615" w:type="dxa"/>
            <w:tcBorders>
              <w:top w:val="thickThinLargeGap" w:sz="24" w:space="0" w:color="auto"/>
              <w:left w:val="nil"/>
              <w:bottom w:val="single" w:sz="4" w:space="0" w:color="auto"/>
              <w:right w:val="nil"/>
            </w:tcBorders>
          </w:tcPr>
          <w:p w14:paraId="04CC34D2" w14:textId="77777777" w:rsidR="00666FC7" w:rsidRPr="00C25B91" w:rsidRDefault="00666FC7" w:rsidP="00BC0293">
            <w:pPr>
              <w:pStyle w:val="Tabletext"/>
              <w:jc w:val="center"/>
            </w:pPr>
            <w:r w:rsidRPr="00C25B91">
              <w:t>-</w:t>
            </w:r>
          </w:p>
        </w:tc>
      </w:tr>
      <w:tr w:rsidR="00666FC7" w14:paraId="780BDDD5" w14:textId="77777777" w:rsidTr="00BC0293">
        <w:trPr>
          <w:cantSplit/>
        </w:trPr>
        <w:tc>
          <w:tcPr>
            <w:tcW w:w="1701" w:type="dxa"/>
            <w:tcBorders>
              <w:top w:val="single" w:sz="4" w:space="0" w:color="auto"/>
              <w:left w:val="nil"/>
              <w:bottom w:val="single" w:sz="4" w:space="0" w:color="auto"/>
              <w:right w:val="nil"/>
            </w:tcBorders>
          </w:tcPr>
          <w:p w14:paraId="5DA968D8" w14:textId="77777777" w:rsidR="00666FC7" w:rsidRPr="00C25B91" w:rsidRDefault="00666FC7" w:rsidP="004046C2">
            <w:pPr>
              <w:pStyle w:val="Tabletext"/>
            </w:pPr>
            <w:r w:rsidRPr="00C25B91">
              <w:t>2002–03</w:t>
            </w:r>
          </w:p>
        </w:tc>
        <w:tc>
          <w:tcPr>
            <w:tcW w:w="3615" w:type="dxa"/>
            <w:tcBorders>
              <w:top w:val="single" w:sz="4" w:space="0" w:color="auto"/>
              <w:left w:val="nil"/>
              <w:bottom w:val="single" w:sz="4" w:space="0" w:color="auto"/>
              <w:right w:val="nil"/>
            </w:tcBorders>
          </w:tcPr>
          <w:p w14:paraId="472814EA" w14:textId="77777777" w:rsidR="00666FC7" w:rsidRPr="00C25B91" w:rsidRDefault="00666FC7" w:rsidP="00BC0293">
            <w:pPr>
              <w:pStyle w:val="Tabletext"/>
              <w:jc w:val="center"/>
            </w:pPr>
            <w:r w:rsidRPr="00C25B91">
              <w:t>120.7</w:t>
            </w:r>
          </w:p>
        </w:tc>
        <w:tc>
          <w:tcPr>
            <w:tcW w:w="3615" w:type="dxa"/>
            <w:tcBorders>
              <w:top w:val="single" w:sz="4" w:space="0" w:color="auto"/>
              <w:left w:val="nil"/>
              <w:bottom w:val="single" w:sz="4" w:space="0" w:color="auto"/>
              <w:right w:val="nil"/>
            </w:tcBorders>
          </w:tcPr>
          <w:p w14:paraId="67B724CE" w14:textId="77777777" w:rsidR="00666FC7" w:rsidRPr="00C25B91" w:rsidRDefault="00666FC7" w:rsidP="00BC0293">
            <w:pPr>
              <w:pStyle w:val="Tabletext"/>
              <w:jc w:val="center"/>
            </w:pPr>
            <w:r w:rsidRPr="00C25B91">
              <w:t>-</w:t>
            </w:r>
          </w:p>
        </w:tc>
      </w:tr>
      <w:tr w:rsidR="00666FC7" w14:paraId="6199F432" w14:textId="77777777" w:rsidTr="00BC0293">
        <w:trPr>
          <w:cantSplit/>
        </w:trPr>
        <w:tc>
          <w:tcPr>
            <w:tcW w:w="1701" w:type="dxa"/>
            <w:tcBorders>
              <w:top w:val="single" w:sz="4" w:space="0" w:color="auto"/>
              <w:left w:val="nil"/>
              <w:bottom w:val="single" w:sz="4" w:space="0" w:color="auto"/>
              <w:right w:val="nil"/>
            </w:tcBorders>
          </w:tcPr>
          <w:p w14:paraId="7A4A1CE7" w14:textId="77777777" w:rsidR="00666FC7" w:rsidRPr="00C25B91" w:rsidRDefault="00666FC7" w:rsidP="004046C2">
            <w:pPr>
              <w:pStyle w:val="Tabletext"/>
            </w:pPr>
            <w:r w:rsidRPr="00C25B91">
              <w:t>2003–04</w:t>
            </w:r>
          </w:p>
        </w:tc>
        <w:tc>
          <w:tcPr>
            <w:tcW w:w="3615" w:type="dxa"/>
            <w:tcBorders>
              <w:top w:val="single" w:sz="4" w:space="0" w:color="auto"/>
              <w:left w:val="nil"/>
              <w:bottom w:val="single" w:sz="4" w:space="0" w:color="auto"/>
              <w:right w:val="nil"/>
            </w:tcBorders>
          </w:tcPr>
          <w:p w14:paraId="0843B2BF" w14:textId="77777777" w:rsidR="00666FC7" w:rsidRPr="00C25B91" w:rsidRDefault="00666FC7" w:rsidP="00BC0293">
            <w:pPr>
              <w:pStyle w:val="Tabletext"/>
              <w:jc w:val="center"/>
            </w:pPr>
            <w:r w:rsidRPr="00C25B91">
              <w:t>127.0</w:t>
            </w:r>
          </w:p>
        </w:tc>
        <w:tc>
          <w:tcPr>
            <w:tcW w:w="3615" w:type="dxa"/>
            <w:tcBorders>
              <w:top w:val="single" w:sz="4" w:space="0" w:color="auto"/>
              <w:left w:val="nil"/>
              <w:bottom w:val="single" w:sz="4" w:space="0" w:color="auto"/>
              <w:right w:val="nil"/>
            </w:tcBorders>
          </w:tcPr>
          <w:p w14:paraId="282D015C" w14:textId="77777777" w:rsidR="00666FC7" w:rsidRPr="00C25B91" w:rsidRDefault="00666FC7" w:rsidP="00BC0293">
            <w:pPr>
              <w:pStyle w:val="Tabletext"/>
              <w:jc w:val="center"/>
            </w:pPr>
            <w:r w:rsidRPr="00C25B91">
              <w:t>-</w:t>
            </w:r>
          </w:p>
        </w:tc>
      </w:tr>
      <w:tr w:rsidR="00666FC7" w14:paraId="0BE207FE" w14:textId="77777777" w:rsidTr="00BC0293">
        <w:trPr>
          <w:cantSplit/>
        </w:trPr>
        <w:tc>
          <w:tcPr>
            <w:tcW w:w="1701" w:type="dxa"/>
            <w:tcBorders>
              <w:top w:val="single" w:sz="4" w:space="0" w:color="auto"/>
              <w:left w:val="nil"/>
              <w:bottom w:val="single" w:sz="4" w:space="0" w:color="auto"/>
              <w:right w:val="nil"/>
            </w:tcBorders>
          </w:tcPr>
          <w:p w14:paraId="6A3A10D5" w14:textId="77777777" w:rsidR="00666FC7" w:rsidRPr="00C25B91" w:rsidRDefault="00666FC7" w:rsidP="004046C2">
            <w:pPr>
              <w:pStyle w:val="Tabletext"/>
            </w:pPr>
            <w:r w:rsidRPr="00C25B91">
              <w:t>2004–05</w:t>
            </w:r>
          </w:p>
        </w:tc>
        <w:tc>
          <w:tcPr>
            <w:tcW w:w="3615" w:type="dxa"/>
            <w:tcBorders>
              <w:top w:val="single" w:sz="4" w:space="0" w:color="auto"/>
              <w:left w:val="nil"/>
              <w:bottom w:val="single" w:sz="4" w:space="0" w:color="auto"/>
              <w:right w:val="nil"/>
            </w:tcBorders>
          </w:tcPr>
          <w:p w14:paraId="50A4A015" w14:textId="77777777" w:rsidR="00666FC7" w:rsidRPr="00C25B91" w:rsidRDefault="00666FC7" w:rsidP="00BC0293">
            <w:pPr>
              <w:pStyle w:val="Tabletext"/>
              <w:jc w:val="center"/>
            </w:pPr>
            <w:r w:rsidRPr="00C25B91">
              <w:t>138.2</w:t>
            </w:r>
          </w:p>
        </w:tc>
        <w:tc>
          <w:tcPr>
            <w:tcW w:w="3615" w:type="dxa"/>
            <w:tcBorders>
              <w:top w:val="single" w:sz="4" w:space="0" w:color="auto"/>
              <w:left w:val="nil"/>
              <w:bottom w:val="single" w:sz="4" w:space="0" w:color="auto"/>
              <w:right w:val="nil"/>
            </w:tcBorders>
          </w:tcPr>
          <w:p w14:paraId="569E2443" w14:textId="77777777" w:rsidR="00666FC7" w:rsidRPr="00C25B91" w:rsidRDefault="00666FC7" w:rsidP="00BC0293">
            <w:pPr>
              <w:pStyle w:val="Tabletext"/>
              <w:jc w:val="center"/>
            </w:pPr>
            <w:r w:rsidRPr="00C25B91">
              <w:t>-</w:t>
            </w:r>
          </w:p>
        </w:tc>
      </w:tr>
      <w:tr w:rsidR="00666FC7" w14:paraId="21FBF130" w14:textId="77777777" w:rsidTr="00BC0293">
        <w:trPr>
          <w:cantSplit/>
        </w:trPr>
        <w:tc>
          <w:tcPr>
            <w:tcW w:w="1701" w:type="dxa"/>
            <w:tcBorders>
              <w:top w:val="single" w:sz="4" w:space="0" w:color="auto"/>
              <w:left w:val="nil"/>
              <w:bottom w:val="single" w:sz="4" w:space="0" w:color="auto"/>
              <w:right w:val="nil"/>
            </w:tcBorders>
          </w:tcPr>
          <w:p w14:paraId="79595318" w14:textId="77777777" w:rsidR="00666FC7" w:rsidRPr="00C25B91" w:rsidRDefault="00666FC7" w:rsidP="004046C2">
            <w:pPr>
              <w:pStyle w:val="Tabletext"/>
            </w:pPr>
            <w:r w:rsidRPr="00C25B91">
              <w:t>2005–06</w:t>
            </w:r>
          </w:p>
        </w:tc>
        <w:tc>
          <w:tcPr>
            <w:tcW w:w="3615" w:type="dxa"/>
            <w:tcBorders>
              <w:top w:val="single" w:sz="4" w:space="0" w:color="auto"/>
              <w:left w:val="nil"/>
              <w:bottom w:val="single" w:sz="4" w:space="0" w:color="auto"/>
              <w:right w:val="nil"/>
            </w:tcBorders>
          </w:tcPr>
          <w:p w14:paraId="72D5A5EB" w14:textId="77777777" w:rsidR="00666FC7" w:rsidRPr="00C25B91" w:rsidRDefault="00666FC7" w:rsidP="00BC0293">
            <w:pPr>
              <w:pStyle w:val="Tabletext"/>
              <w:jc w:val="center"/>
            </w:pPr>
            <w:r w:rsidRPr="00C25B91">
              <w:t>168.8</w:t>
            </w:r>
          </w:p>
        </w:tc>
        <w:tc>
          <w:tcPr>
            <w:tcW w:w="3615" w:type="dxa"/>
            <w:tcBorders>
              <w:top w:val="single" w:sz="4" w:space="0" w:color="auto"/>
              <w:left w:val="nil"/>
              <w:bottom w:val="single" w:sz="4" w:space="0" w:color="auto"/>
              <w:right w:val="nil"/>
            </w:tcBorders>
          </w:tcPr>
          <w:p w14:paraId="094B1F49" w14:textId="77777777" w:rsidR="00666FC7" w:rsidRPr="00C25B91" w:rsidRDefault="00666FC7" w:rsidP="00BC0293">
            <w:pPr>
              <w:pStyle w:val="Tabletext"/>
              <w:jc w:val="center"/>
            </w:pPr>
            <w:r w:rsidRPr="00C25B91">
              <w:t>-</w:t>
            </w:r>
          </w:p>
        </w:tc>
      </w:tr>
      <w:tr w:rsidR="00666FC7" w14:paraId="05BEE812" w14:textId="77777777" w:rsidTr="00BC0293">
        <w:trPr>
          <w:cantSplit/>
        </w:trPr>
        <w:tc>
          <w:tcPr>
            <w:tcW w:w="1701" w:type="dxa"/>
            <w:tcBorders>
              <w:top w:val="single" w:sz="4" w:space="0" w:color="auto"/>
              <w:left w:val="nil"/>
              <w:bottom w:val="single" w:sz="4" w:space="0" w:color="auto"/>
              <w:right w:val="nil"/>
            </w:tcBorders>
          </w:tcPr>
          <w:p w14:paraId="596084B8" w14:textId="77777777" w:rsidR="00666FC7" w:rsidRPr="00C25B91" w:rsidRDefault="00666FC7" w:rsidP="004046C2">
            <w:pPr>
              <w:pStyle w:val="Tabletext"/>
            </w:pPr>
            <w:r w:rsidRPr="00C25B91">
              <w:t>2006–07</w:t>
            </w:r>
          </w:p>
        </w:tc>
        <w:tc>
          <w:tcPr>
            <w:tcW w:w="3615" w:type="dxa"/>
            <w:tcBorders>
              <w:top w:val="single" w:sz="4" w:space="0" w:color="auto"/>
              <w:left w:val="nil"/>
              <w:bottom w:val="single" w:sz="4" w:space="0" w:color="auto"/>
              <w:right w:val="nil"/>
            </w:tcBorders>
          </w:tcPr>
          <w:p w14:paraId="66D06F38" w14:textId="77777777" w:rsidR="00666FC7" w:rsidRPr="00C25B91" w:rsidRDefault="00666FC7" w:rsidP="00BC0293">
            <w:pPr>
              <w:pStyle w:val="Tabletext"/>
              <w:jc w:val="center"/>
            </w:pPr>
            <w:r w:rsidRPr="00C25B91">
              <w:t>178.7</w:t>
            </w:r>
          </w:p>
        </w:tc>
        <w:tc>
          <w:tcPr>
            <w:tcW w:w="3615" w:type="dxa"/>
            <w:tcBorders>
              <w:top w:val="single" w:sz="4" w:space="0" w:color="auto"/>
              <w:left w:val="nil"/>
              <w:bottom w:val="single" w:sz="4" w:space="0" w:color="auto"/>
              <w:right w:val="nil"/>
            </w:tcBorders>
          </w:tcPr>
          <w:p w14:paraId="65479228" w14:textId="77777777" w:rsidR="00666FC7" w:rsidRPr="00C25B91" w:rsidRDefault="00666FC7" w:rsidP="00BC0293">
            <w:pPr>
              <w:pStyle w:val="Tabletext"/>
              <w:jc w:val="center"/>
            </w:pPr>
            <w:r w:rsidRPr="00C25B91">
              <w:t>-</w:t>
            </w:r>
          </w:p>
        </w:tc>
      </w:tr>
      <w:tr w:rsidR="00666FC7" w14:paraId="795F474C" w14:textId="77777777" w:rsidTr="00BC0293">
        <w:trPr>
          <w:cantSplit/>
        </w:trPr>
        <w:tc>
          <w:tcPr>
            <w:tcW w:w="1701" w:type="dxa"/>
            <w:tcBorders>
              <w:top w:val="single" w:sz="4" w:space="0" w:color="auto"/>
              <w:left w:val="nil"/>
              <w:bottom w:val="single" w:sz="4" w:space="0" w:color="auto"/>
              <w:right w:val="nil"/>
            </w:tcBorders>
          </w:tcPr>
          <w:p w14:paraId="07D99E5C" w14:textId="77777777" w:rsidR="00666FC7" w:rsidRPr="00C25B91" w:rsidRDefault="00666FC7" w:rsidP="004046C2">
            <w:pPr>
              <w:pStyle w:val="Tabletext"/>
            </w:pPr>
            <w:r w:rsidRPr="00C25B91">
              <w:t>2007–08</w:t>
            </w:r>
          </w:p>
        </w:tc>
        <w:tc>
          <w:tcPr>
            <w:tcW w:w="3615" w:type="dxa"/>
            <w:tcBorders>
              <w:top w:val="single" w:sz="4" w:space="0" w:color="auto"/>
              <w:left w:val="nil"/>
              <w:bottom w:val="single" w:sz="4" w:space="0" w:color="auto"/>
              <w:right w:val="nil"/>
            </w:tcBorders>
          </w:tcPr>
          <w:p w14:paraId="429CDC27" w14:textId="77777777" w:rsidR="00666FC7" w:rsidRPr="00C25B91" w:rsidRDefault="00666FC7" w:rsidP="00BC0293">
            <w:pPr>
              <w:pStyle w:val="Tabletext"/>
              <w:jc w:val="center"/>
            </w:pPr>
            <w:r w:rsidRPr="00C25B91">
              <w:t>204.0</w:t>
            </w:r>
          </w:p>
        </w:tc>
        <w:tc>
          <w:tcPr>
            <w:tcW w:w="3615" w:type="dxa"/>
            <w:tcBorders>
              <w:top w:val="single" w:sz="4" w:space="0" w:color="auto"/>
              <w:left w:val="nil"/>
              <w:bottom w:val="single" w:sz="4" w:space="0" w:color="auto"/>
              <w:right w:val="nil"/>
            </w:tcBorders>
          </w:tcPr>
          <w:p w14:paraId="16B6AEDE" w14:textId="77777777" w:rsidR="00666FC7" w:rsidRPr="00C25B91" w:rsidRDefault="00666FC7" w:rsidP="00BC0293">
            <w:pPr>
              <w:pStyle w:val="Tabletext"/>
              <w:jc w:val="center"/>
            </w:pPr>
            <w:r w:rsidRPr="00C25B91">
              <w:t>-</w:t>
            </w:r>
          </w:p>
        </w:tc>
      </w:tr>
      <w:tr w:rsidR="00666FC7" w14:paraId="663F5696" w14:textId="77777777" w:rsidTr="00BC0293">
        <w:trPr>
          <w:cantSplit/>
        </w:trPr>
        <w:tc>
          <w:tcPr>
            <w:tcW w:w="1701" w:type="dxa"/>
            <w:tcBorders>
              <w:top w:val="single" w:sz="4" w:space="0" w:color="auto"/>
              <w:left w:val="nil"/>
              <w:bottom w:val="single" w:sz="4" w:space="0" w:color="auto"/>
              <w:right w:val="nil"/>
            </w:tcBorders>
          </w:tcPr>
          <w:p w14:paraId="573F27D8" w14:textId="77777777" w:rsidR="00666FC7" w:rsidRPr="00C25B91" w:rsidRDefault="00666FC7" w:rsidP="004046C2">
            <w:pPr>
              <w:pStyle w:val="Tabletext"/>
            </w:pPr>
            <w:r w:rsidRPr="00C25B91">
              <w:t>2008–09</w:t>
            </w:r>
          </w:p>
        </w:tc>
        <w:tc>
          <w:tcPr>
            <w:tcW w:w="3615" w:type="dxa"/>
            <w:tcBorders>
              <w:top w:val="single" w:sz="4" w:space="0" w:color="auto"/>
              <w:left w:val="nil"/>
              <w:bottom w:val="single" w:sz="4" w:space="0" w:color="auto"/>
              <w:right w:val="nil"/>
            </w:tcBorders>
          </w:tcPr>
          <w:p w14:paraId="2CE85F6A" w14:textId="77777777" w:rsidR="00666FC7" w:rsidRPr="00C25B91" w:rsidRDefault="00666FC7" w:rsidP="00BC0293">
            <w:pPr>
              <w:pStyle w:val="Tabletext"/>
              <w:jc w:val="center"/>
            </w:pPr>
            <w:r w:rsidRPr="00C25B91">
              <w:t>212.1</w:t>
            </w:r>
          </w:p>
        </w:tc>
        <w:tc>
          <w:tcPr>
            <w:tcW w:w="3615" w:type="dxa"/>
            <w:tcBorders>
              <w:top w:val="single" w:sz="4" w:space="0" w:color="auto"/>
              <w:left w:val="nil"/>
              <w:bottom w:val="single" w:sz="4" w:space="0" w:color="auto"/>
              <w:right w:val="nil"/>
            </w:tcBorders>
          </w:tcPr>
          <w:p w14:paraId="69A12618" w14:textId="77777777" w:rsidR="00666FC7" w:rsidRPr="00C25B91" w:rsidRDefault="00666FC7" w:rsidP="00BC0293">
            <w:pPr>
              <w:pStyle w:val="Tabletext"/>
              <w:jc w:val="center"/>
            </w:pPr>
            <w:r w:rsidRPr="00C25B91">
              <w:t>-</w:t>
            </w:r>
          </w:p>
        </w:tc>
      </w:tr>
      <w:tr w:rsidR="00666FC7" w14:paraId="6B08E2ED" w14:textId="77777777" w:rsidTr="00BC0293">
        <w:trPr>
          <w:cantSplit/>
        </w:trPr>
        <w:tc>
          <w:tcPr>
            <w:tcW w:w="1701" w:type="dxa"/>
            <w:tcBorders>
              <w:top w:val="single" w:sz="4" w:space="0" w:color="auto"/>
              <w:left w:val="nil"/>
              <w:bottom w:val="single" w:sz="4" w:space="0" w:color="auto"/>
              <w:right w:val="nil"/>
            </w:tcBorders>
          </w:tcPr>
          <w:p w14:paraId="26E9999A" w14:textId="77777777" w:rsidR="00666FC7" w:rsidRPr="00C25B91" w:rsidRDefault="00666FC7" w:rsidP="004046C2">
            <w:pPr>
              <w:pStyle w:val="Tabletext"/>
            </w:pPr>
            <w:r w:rsidRPr="00C25B91">
              <w:t>2009–10</w:t>
            </w:r>
          </w:p>
        </w:tc>
        <w:tc>
          <w:tcPr>
            <w:tcW w:w="3615" w:type="dxa"/>
            <w:tcBorders>
              <w:top w:val="single" w:sz="4" w:space="0" w:color="auto"/>
              <w:left w:val="nil"/>
              <w:bottom w:val="single" w:sz="4" w:space="0" w:color="auto"/>
              <w:right w:val="nil"/>
            </w:tcBorders>
          </w:tcPr>
          <w:p w14:paraId="6AB66C01" w14:textId="77777777" w:rsidR="00666FC7" w:rsidRPr="00C25B91" w:rsidRDefault="00666FC7" w:rsidP="00BC0293">
            <w:pPr>
              <w:pStyle w:val="Tabletext"/>
              <w:jc w:val="center"/>
            </w:pPr>
            <w:r w:rsidRPr="00C25B91">
              <w:t>221.1</w:t>
            </w:r>
          </w:p>
        </w:tc>
        <w:tc>
          <w:tcPr>
            <w:tcW w:w="3615" w:type="dxa"/>
            <w:tcBorders>
              <w:top w:val="single" w:sz="4" w:space="0" w:color="auto"/>
              <w:left w:val="nil"/>
              <w:bottom w:val="single" w:sz="4" w:space="0" w:color="auto"/>
              <w:right w:val="nil"/>
            </w:tcBorders>
          </w:tcPr>
          <w:p w14:paraId="735A5201" w14:textId="77777777" w:rsidR="00666FC7" w:rsidRPr="00C25B91" w:rsidRDefault="00666FC7" w:rsidP="00BC0293">
            <w:pPr>
              <w:pStyle w:val="Tabletext"/>
              <w:jc w:val="center"/>
            </w:pPr>
            <w:r w:rsidRPr="00C25B91">
              <w:t>-</w:t>
            </w:r>
          </w:p>
        </w:tc>
      </w:tr>
      <w:tr w:rsidR="00666FC7" w14:paraId="4944A903" w14:textId="77777777" w:rsidTr="00BC0293">
        <w:trPr>
          <w:cantSplit/>
        </w:trPr>
        <w:tc>
          <w:tcPr>
            <w:tcW w:w="1701" w:type="dxa"/>
            <w:tcBorders>
              <w:top w:val="single" w:sz="4" w:space="0" w:color="auto"/>
              <w:left w:val="nil"/>
              <w:bottom w:val="single" w:sz="4" w:space="0" w:color="auto"/>
              <w:right w:val="nil"/>
            </w:tcBorders>
          </w:tcPr>
          <w:p w14:paraId="4EF693F6" w14:textId="77777777" w:rsidR="00666FC7" w:rsidRPr="00C25B91" w:rsidRDefault="00666FC7" w:rsidP="004046C2">
            <w:pPr>
              <w:pStyle w:val="Tabletext"/>
            </w:pPr>
            <w:r w:rsidRPr="00C25B91">
              <w:t>2010–11</w:t>
            </w:r>
          </w:p>
        </w:tc>
        <w:tc>
          <w:tcPr>
            <w:tcW w:w="3615" w:type="dxa"/>
            <w:tcBorders>
              <w:top w:val="single" w:sz="4" w:space="0" w:color="auto"/>
              <w:left w:val="nil"/>
              <w:bottom w:val="single" w:sz="4" w:space="0" w:color="auto"/>
              <w:right w:val="nil"/>
            </w:tcBorders>
          </w:tcPr>
          <w:p w14:paraId="64971391" w14:textId="77777777" w:rsidR="00666FC7" w:rsidRPr="00C25B91" w:rsidRDefault="00666FC7" w:rsidP="00BC0293">
            <w:pPr>
              <w:pStyle w:val="Tabletext"/>
              <w:jc w:val="center"/>
            </w:pPr>
            <w:r w:rsidRPr="00C25B91">
              <w:t>-</w:t>
            </w:r>
          </w:p>
        </w:tc>
        <w:tc>
          <w:tcPr>
            <w:tcW w:w="3615" w:type="dxa"/>
            <w:tcBorders>
              <w:top w:val="single" w:sz="4" w:space="0" w:color="auto"/>
              <w:left w:val="nil"/>
              <w:bottom w:val="single" w:sz="4" w:space="0" w:color="auto"/>
              <w:right w:val="nil"/>
            </w:tcBorders>
          </w:tcPr>
          <w:p w14:paraId="12D67B4B" w14:textId="77777777" w:rsidR="00666FC7" w:rsidRPr="00C25B91" w:rsidRDefault="00666FC7" w:rsidP="00BC0293">
            <w:pPr>
              <w:pStyle w:val="Tabletext"/>
              <w:jc w:val="center"/>
            </w:pPr>
            <w:r w:rsidRPr="00C25B91">
              <w:t>229.9</w:t>
            </w:r>
          </w:p>
        </w:tc>
      </w:tr>
      <w:tr w:rsidR="00666FC7" w14:paraId="6F26757C" w14:textId="77777777" w:rsidTr="00BC0293">
        <w:trPr>
          <w:cantSplit/>
        </w:trPr>
        <w:tc>
          <w:tcPr>
            <w:tcW w:w="1701" w:type="dxa"/>
            <w:tcBorders>
              <w:top w:val="single" w:sz="4" w:space="0" w:color="auto"/>
              <w:left w:val="nil"/>
              <w:bottom w:val="single" w:sz="4" w:space="0" w:color="auto"/>
              <w:right w:val="nil"/>
            </w:tcBorders>
          </w:tcPr>
          <w:p w14:paraId="6A14BDD7" w14:textId="77777777" w:rsidR="00666FC7" w:rsidRPr="00C25B91" w:rsidRDefault="00666FC7" w:rsidP="004046C2">
            <w:pPr>
              <w:pStyle w:val="Tabletext"/>
            </w:pPr>
            <w:r w:rsidRPr="00C25B91">
              <w:t>2011–12</w:t>
            </w:r>
          </w:p>
        </w:tc>
        <w:tc>
          <w:tcPr>
            <w:tcW w:w="3615" w:type="dxa"/>
            <w:tcBorders>
              <w:top w:val="single" w:sz="4" w:space="0" w:color="auto"/>
              <w:left w:val="nil"/>
              <w:bottom w:val="single" w:sz="4" w:space="0" w:color="auto"/>
              <w:right w:val="nil"/>
            </w:tcBorders>
          </w:tcPr>
          <w:p w14:paraId="38C3D492" w14:textId="77777777" w:rsidR="00666FC7" w:rsidRPr="00C25B91" w:rsidRDefault="00666FC7" w:rsidP="00BC0293">
            <w:pPr>
              <w:pStyle w:val="Tabletext"/>
              <w:jc w:val="center"/>
            </w:pPr>
            <w:r w:rsidRPr="00C25B91">
              <w:t>-</w:t>
            </w:r>
          </w:p>
        </w:tc>
        <w:tc>
          <w:tcPr>
            <w:tcW w:w="3615" w:type="dxa"/>
            <w:tcBorders>
              <w:top w:val="single" w:sz="4" w:space="0" w:color="auto"/>
              <w:left w:val="nil"/>
              <w:bottom w:val="single" w:sz="4" w:space="0" w:color="auto"/>
              <w:right w:val="nil"/>
            </w:tcBorders>
          </w:tcPr>
          <w:p w14:paraId="4BBEBB5B" w14:textId="77777777" w:rsidR="00666FC7" w:rsidRPr="00C25B91" w:rsidRDefault="00666FC7" w:rsidP="00BC0293">
            <w:pPr>
              <w:pStyle w:val="Tabletext"/>
              <w:jc w:val="center"/>
            </w:pPr>
            <w:r w:rsidRPr="00C25B91">
              <w:t>239.1</w:t>
            </w:r>
          </w:p>
        </w:tc>
      </w:tr>
      <w:tr w:rsidR="00666FC7" w14:paraId="00D4727D" w14:textId="77777777" w:rsidTr="00BC0293">
        <w:trPr>
          <w:cantSplit/>
        </w:trPr>
        <w:tc>
          <w:tcPr>
            <w:tcW w:w="1701" w:type="dxa"/>
            <w:tcBorders>
              <w:top w:val="single" w:sz="4" w:space="0" w:color="auto"/>
              <w:left w:val="nil"/>
              <w:bottom w:val="single" w:sz="4" w:space="0" w:color="auto"/>
              <w:right w:val="nil"/>
            </w:tcBorders>
          </w:tcPr>
          <w:p w14:paraId="317617AD" w14:textId="77777777" w:rsidR="00666FC7" w:rsidRPr="00C25B91" w:rsidRDefault="00666FC7" w:rsidP="004046C2">
            <w:pPr>
              <w:pStyle w:val="Tabletext"/>
            </w:pPr>
            <w:r w:rsidRPr="00C25B91">
              <w:t>2012–13</w:t>
            </w:r>
          </w:p>
        </w:tc>
        <w:tc>
          <w:tcPr>
            <w:tcW w:w="3615" w:type="dxa"/>
            <w:tcBorders>
              <w:top w:val="single" w:sz="4" w:space="0" w:color="auto"/>
              <w:left w:val="nil"/>
              <w:bottom w:val="single" w:sz="4" w:space="0" w:color="auto"/>
              <w:right w:val="nil"/>
            </w:tcBorders>
          </w:tcPr>
          <w:p w14:paraId="1A77049E" w14:textId="77777777" w:rsidR="00666FC7" w:rsidRPr="00C25B91" w:rsidRDefault="00666FC7" w:rsidP="00BC0293">
            <w:pPr>
              <w:pStyle w:val="Tabletext"/>
              <w:jc w:val="center"/>
            </w:pPr>
            <w:r w:rsidRPr="00C25B91">
              <w:t>-</w:t>
            </w:r>
          </w:p>
        </w:tc>
        <w:tc>
          <w:tcPr>
            <w:tcW w:w="3615" w:type="dxa"/>
            <w:tcBorders>
              <w:top w:val="single" w:sz="4" w:space="0" w:color="auto"/>
              <w:left w:val="nil"/>
              <w:bottom w:val="single" w:sz="4" w:space="0" w:color="auto"/>
              <w:right w:val="nil"/>
            </w:tcBorders>
          </w:tcPr>
          <w:p w14:paraId="62F8E0C9" w14:textId="77777777" w:rsidR="00666FC7" w:rsidRPr="00C25B91" w:rsidRDefault="00666FC7" w:rsidP="00BC0293">
            <w:pPr>
              <w:pStyle w:val="Tabletext"/>
              <w:jc w:val="center"/>
            </w:pPr>
            <w:r w:rsidRPr="00C25B91">
              <w:t>248.7</w:t>
            </w:r>
          </w:p>
        </w:tc>
      </w:tr>
      <w:tr w:rsidR="00666FC7" w14:paraId="438EA275" w14:textId="77777777" w:rsidTr="00BC0293">
        <w:trPr>
          <w:cantSplit/>
        </w:trPr>
        <w:tc>
          <w:tcPr>
            <w:tcW w:w="1701" w:type="dxa"/>
            <w:tcBorders>
              <w:top w:val="single" w:sz="4" w:space="0" w:color="auto"/>
              <w:left w:val="nil"/>
              <w:bottom w:val="single" w:sz="4" w:space="0" w:color="auto"/>
              <w:right w:val="nil"/>
            </w:tcBorders>
          </w:tcPr>
          <w:p w14:paraId="7138D55D" w14:textId="77777777" w:rsidR="00666FC7" w:rsidRPr="00C25B91" w:rsidRDefault="00666FC7" w:rsidP="004046C2">
            <w:pPr>
              <w:pStyle w:val="Tabletext"/>
            </w:pPr>
            <w:r w:rsidRPr="00C25B91">
              <w:t>2013–14</w:t>
            </w:r>
          </w:p>
        </w:tc>
        <w:tc>
          <w:tcPr>
            <w:tcW w:w="3615" w:type="dxa"/>
            <w:tcBorders>
              <w:top w:val="single" w:sz="4" w:space="0" w:color="auto"/>
              <w:left w:val="nil"/>
              <w:bottom w:val="single" w:sz="4" w:space="0" w:color="auto"/>
              <w:right w:val="nil"/>
            </w:tcBorders>
          </w:tcPr>
          <w:p w14:paraId="2C5E3438" w14:textId="77777777" w:rsidR="00666FC7" w:rsidRPr="00C25B91" w:rsidRDefault="00666FC7" w:rsidP="00BC0293">
            <w:pPr>
              <w:pStyle w:val="Tabletext"/>
              <w:jc w:val="center"/>
            </w:pPr>
            <w:r w:rsidRPr="00C25B91">
              <w:t>-</w:t>
            </w:r>
          </w:p>
        </w:tc>
        <w:tc>
          <w:tcPr>
            <w:tcW w:w="3615" w:type="dxa"/>
            <w:tcBorders>
              <w:top w:val="single" w:sz="4" w:space="0" w:color="auto"/>
              <w:left w:val="nil"/>
              <w:bottom w:val="single" w:sz="4" w:space="0" w:color="auto"/>
              <w:right w:val="nil"/>
            </w:tcBorders>
          </w:tcPr>
          <w:p w14:paraId="350608DC" w14:textId="77777777" w:rsidR="00666FC7" w:rsidRPr="00C25B91" w:rsidRDefault="00666FC7" w:rsidP="00BC0293">
            <w:pPr>
              <w:pStyle w:val="Tabletext"/>
              <w:jc w:val="center"/>
            </w:pPr>
            <w:r w:rsidRPr="00C25B91">
              <w:t>258.7</w:t>
            </w:r>
          </w:p>
        </w:tc>
      </w:tr>
      <w:tr w:rsidR="00666FC7" w14:paraId="0911C825" w14:textId="77777777" w:rsidTr="00BC0293">
        <w:trPr>
          <w:cantSplit/>
        </w:trPr>
        <w:tc>
          <w:tcPr>
            <w:tcW w:w="1701" w:type="dxa"/>
            <w:tcBorders>
              <w:top w:val="single" w:sz="4" w:space="0" w:color="auto"/>
              <w:left w:val="nil"/>
              <w:bottom w:val="single" w:sz="4" w:space="0" w:color="auto"/>
              <w:right w:val="nil"/>
            </w:tcBorders>
          </w:tcPr>
          <w:p w14:paraId="51FB47BB" w14:textId="77777777" w:rsidR="00666FC7" w:rsidRPr="00C25B91" w:rsidRDefault="00666FC7" w:rsidP="004046C2">
            <w:pPr>
              <w:pStyle w:val="Tabletext"/>
            </w:pPr>
            <w:r w:rsidRPr="00C25B91">
              <w:t>2014–15</w:t>
            </w:r>
          </w:p>
        </w:tc>
        <w:tc>
          <w:tcPr>
            <w:tcW w:w="3615" w:type="dxa"/>
            <w:tcBorders>
              <w:top w:val="single" w:sz="4" w:space="0" w:color="auto"/>
              <w:left w:val="nil"/>
              <w:bottom w:val="single" w:sz="4" w:space="0" w:color="auto"/>
              <w:right w:val="nil"/>
            </w:tcBorders>
          </w:tcPr>
          <w:p w14:paraId="2FFBB9FC" w14:textId="77777777" w:rsidR="00666FC7" w:rsidRPr="00C25B91" w:rsidRDefault="00666FC7" w:rsidP="00BC0293">
            <w:pPr>
              <w:pStyle w:val="Tabletext"/>
              <w:jc w:val="center"/>
            </w:pPr>
            <w:r w:rsidRPr="00C25B91">
              <w:t>-</w:t>
            </w:r>
          </w:p>
        </w:tc>
        <w:tc>
          <w:tcPr>
            <w:tcW w:w="3615" w:type="dxa"/>
            <w:tcBorders>
              <w:top w:val="single" w:sz="4" w:space="0" w:color="auto"/>
              <w:left w:val="nil"/>
              <w:bottom w:val="single" w:sz="4" w:space="0" w:color="auto"/>
              <w:right w:val="nil"/>
            </w:tcBorders>
          </w:tcPr>
          <w:p w14:paraId="671AC559" w14:textId="77777777" w:rsidR="00666FC7" w:rsidRPr="00C25B91" w:rsidRDefault="00666FC7" w:rsidP="00BC0293">
            <w:pPr>
              <w:pStyle w:val="Tabletext"/>
              <w:jc w:val="center"/>
            </w:pPr>
            <w:r w:rsidRPr="00C25B91">
              <w:t>269.0</w:t>
            </w:r>
          </w:p>
        </w:tc>
      </w:tr>
      <w:tr w:rsidR="00666FC7" w14:paraId="7079F4EF" w14:textId="77777777" w:rsidTr="005B4B7C">
        <w:trPr>
          <w:cantSplit/>
        </w:trPr>
        <w:tc>
          <w:tcPr>
            <w:tcW w:w="1701" w:type="dxa"/>
            <w:tcBorders>
              <w:top w:val="single" w:sz="4" w:space="0" w:color="auto"/>
              <w:left w:val="nil"/>
              <w:bottom w:val="single" w:sz="12" w:space="0" w:color="auto"/>
              <w:right w:val="nil"/>
            </w:tcBorders>
          </w:tcPr>
          <w:p w14:paraId="0A37DAA2" w14:textId="77777777" w:rsidR="00666FC7" w:rsidRPr="00C25B91" w:rsidRDefault="00666FC7" w:rsidP="004046C2">
            <w:pPr>
              <w:pStyle w:val="Tabletext"/>
            </w:pPr>
            <w:r w:rsidRPr="00C25B91">
              <w:t>2015–16</w:t>
            </w:r>
          </w:p>
        </w:tc>
        <w:tc>
          <w:tcPr>
            <w:tcW w:w="3615" w:type="dxa"/>
            <w:tcBorders>
              <w:top w:val="single" w:sz="4" w:space="0" w:color="auto"/>
              <w:left w:val="nil"/>
              <w:bottom w:val="single" w:sz="12" w:space="0" w:color="auto"/>
              <w:right w:val="nil"/>
            </w:tcBorders>
          </w:tcPr>
          <w:p w14:paraId="1BCB2C41" w14:textId="77777777" w:rsidR="00666FC7" w:rsidRPr="00C25B91" w:rsidRDefault="00666FC7" w:rsidP="00BC0293">
            <w:pPr>
              <w:pStyle w:val="Tabletext"/>
              <w:jc w:val="center"/>
            </w:pPr>
            <w:r w:rsidRPr="00C25B91">
              <w:t>-</w:t>
            </w:r>
          </w:p>
        </w:tc>
        <w:tc>
          <w:tcPr>
            <w:tcW w:w="3615" w:type="dxa"/>
            <w:tcBorders>
              <w:top w:val="single" w:sz="4" w:space="0" w:color="auto"/>
              <w:left w:val="nil"/>
              <w:bottom w:val="single" w:sz="12" w:space="0" w:color="auto"/>
              <w:right w:val="nil"/>
            </w:tcBorders>
          </w:tcPr>
          <w:p w14:paraId="5C6D8451" w14:textId="77777777" w:rsidR="00666FC7" w:rsidRPr="00C25B91" w:rsidRDefault="00666FC7" w:rsidP="00BC0293">
            <w:pPr>
              <w:pStyle w:val="Tabletext"/>
              <w:jc w:val="center"/>
            </w:pPr>
            <w:r w:rsidRPr="00C25B91">
              <w:t>279.8</w:t>
            </w:r>
          </w:p>
        </w:tc>
      </w:tr>
    </w:tbl>
    <w:p w14:paraId="11B6690B" w14:textId="77777777" w:rsidR="00666FC7" w:rsidRDefault="00666FC7" w:rsidP="00666FC7">
      <w:pPr>
        <w:spacing w:after="160" w:line="256" w:lineRule="auto"/>
      </w:pPr>
    </w:p>
    <w:p w14:paraId="1DE873FC" w14:textId="77777777" w:rsidR="004F024A" w:rsidRDefault="004F024A">
      <w:pPr>
        <w:spacing w:after="160" w:line="259" w:lineRule="auto"/>
      </w:pPr>
      <w:r>
        <w:br w:type="page"/>
      </w:r>
    </w:p>
    <w:p w14:paraId="79B64BBB" w14:textId="77777777" w:rsidR="005D1423" w:rsidRDefault="004F024A" w:rsidP="004F024A">
      <w:pPr>
        <w:pStyle w:val="Heading3"/>
      </w:pPr>
      <w:bookmarkStart w:id="32" w:name="_Toc468868233"/>
      <w:bookmarkStart w:id="33" w:name="_Toc486261302"/>
      <w:bookmarkStart w:id="34" w:name="_Toc486319723"/>
      <w:r w:rsidRPr="00523164">
        <w:t xml:space="preserve">Model 2. AMPAG data projections of </w:t>
      </w:r>
      <w:proofErr w:type="spellStart"/>
      <w:r w:rsidRPr="00523164">
        <w:t>AbaF</w:t>
      </w:r>
      <w:proofErr w:type="spellEnd"/>
      <w:r w:rsidRPr="00523164">
        <w:t xml:space="preserve"> estimates</w:t>
      </w:r>
      <w:bookmarkEnd w:id="32"/>
      <w:bookmarkEnd w:id="33"/>
      <w:bookmarkEnd w:id="34"/>
    </w:p>
    <w:p w14:paraId="6184462F" w14:textId="77777777" w:rsidR="005D1423" w:rsidRDefault="004F024A" w:rsidP="004F024A">
      <w:r w:rsidRPr="00523164">
        <w:t>The AMPAG data set is mature (see the ‘data collection’ section in Appendix 2) and extends from 2001 to 2015. However, the reporting period used in the AMPAG report</w:t>
      </w:r>
      <w:r w:rsidRPr="00991DF4">
        <w:rPr>
          <w:vertAlign w:val="superscript"/>
        </w:rPr>
        <w:endnoteReference w:id="7"/>
      </w:r>
      <w:r w:rsidRPr="00523164">
        <w:t xml:space="preserve"> is on a calendar year basis. For the purpose of this paper, the data has been transformed to financial years by halving each calendar year and summing the adjacent halves. While it may be the case that there could be an increase in donations towards the end of the financial year, without any data on this, the most straightforward approach has been adopted. The AMPAG data is an aggregate of the private sector support received by Australia’s 28 major performing arts companies. This is approximately a quarter of the support provided to the arts sector from 2001–02 to 2009–10, when compared to </w:t>
      </w:r>
      <w:proofErr w:type="spellStart"/>
      <w:r w:rsidRPr="00523164">
        <w:t>AbaF</w:t>
      </w:r>
      <w:proofErr w:type="spellEnd"/>
      <w:r w:rsidRPr="00523164">
        <w:t xml:space="preserve"> estimates.</w:t>
      </w:r>
    </w:p>
    <w:p w14:paraId="2A855FA7" w14:textId="77777777" w:rsidR="005D1423" w:rsidRDefault="004F024A" w:rsidP="004F024A">
      <w:r w:rsidRPr="00523164">
        <w:t xml:space="preserve">Using AMPAG data as a predictor in a linear relationship model was found to be significant (p &lt; 0.001), with strong prediction levels (R2 adjusted = 0.9557) (see Appendix 5). This provided average total estimates as outlined in </w:t>
      </w:r>
      <w:r w:rsidRPr="00523164">
        <w:fldChar w:fldCharType="begin"/>
      </w:r>
      <w:r w:rsidRPr="00523164">
        <w:instrText xml:space="preserve"> REF _Ref468881958 \h  \* MERGEFORMAT </w:instrText>
      </w:r>
      <w:r w:rsidRPr="00523164">
        <w:fldChar w:fldCharType="separate"/>
      </w:r>
      <w:r w:rsidR="00ED08CC" w:rsidRPr="004F024A">
        <w:t xml:space="preserve">Table </w:t>
      </w:r>
      <w:r w:rsidR="00ED08CC">
        <w:t>2</w:t>
      </w:r>
      <w:r w:rsidRPr="00523164">
        <w:fldChar w:fldCharType="end"/>
      </w:r>
      <w:r w:rsidRPr="00523164">
        <w:t>.</w:t>
      </w:r>
    </w:p>
    <w:p w14:paraId="59B356B1" w14:textId="77777777" w:rsidR="004F024A" w:rsidRPr="004F024A" w:rsidRDefault="004F024A" w:rsidP="004F024A">
      <w:pPr>
        <w:pStyle w:val="Tablefigureheading"/>
      </w:pPr>
      <w:bookmarkStart w:id="35" w:name="_Ref468881958"/>
      <w:bookmarkStart w:id="36" w:name="_Toc486587628"/>
      <w:r w:rsidRPr="004F024A">
        <w:t xml:space="preserve">Table </w:t>
      </w:r>
      <w:fldSimple w:instr=" SEQ Table \* ARABIC ">
        <w:r w:rsidR="00ED08CC">
          <w:rPr>
            <w:noProof/>
          </w:rPr>
          <w:t>2</w:t>
        </w:r>
      </w:fldSimple>
      <w:bookmarkEnd w:id="35"/>
      <w:r w:rsidRPr="004F024A">
        <w:t xml:space="preserve">. AMPAG data projections of </w:t>
      </w:r>
      <w:proofErr w:type="spellStart"/>
      <w:r w:rsidRPr="004F024A">
        <w:t>AbaF</w:t>
      </w:r>
      <w:proofErr w:type="spellEnd"/>
      <w:r w:rsidRPr="004F024A">
        <w:t xml:space="preserve"> estimates</w:t>
      </w:r>
      <w:bookmarkEnd w:id="36"/>
    </w:p>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CellMar>
          <w:top w:w="57" w:type="dxa"/>
          <w:bottom w:w="57" w:type="dxa"/>
        </w:tblCellMar>
        <w:tblLook w:val="04A0" w:firstRow="1" w:lastRow="0" w:firstColumn="1" w:lastColumn="0" w:noHBand="0" w:noVBand="1"/>
        <w:tblDescription w:val="Table 2. AMPAG data projections of AbaF estimates"/>
      </w:tblPr>
      <w:tblGrid>
        <w:gridCol w:w="1676"/>
        <w:gridCol w:w="2355"/>
        <w:gridCol w:w="2492"/>
        <w:gridCol w:w="2503"/>
      </w:tblGrid>
      <w:tr w:rsidR="00BD69B7" w14:paraId="6D8FDB5A" w14:textId="77777777" w:rsidTr="00BC0293">
        <w:trPr>
          <w:cantSplit/>
          <w:tblHeader/>
        </w:trPr>
        <w:tc>
          <w:tcPr>
            <w:tcW w:w="1701" w:type="dxa"/>
            <w:tcBorders>
              <w:top w:val="nil"/>
              <w:left w:val="nil"/>
              <w:bottom w:val="thickThinLargeGap" w:sz="24" w:space="0" w:color="auto"/>
              <w:right w:val="nil"/>
            </w:tcBorders>
            <w:shd w:val="clear" w:color="auto" w:fill="113652"/>
          </w:tcPr>
          <w:p w14:paraId="5011BA03" w14:textId="77777777" w:rsidR="00BD69B7" w:rsidRDefault="00BD69B7" w:rsidP="00BD69B7">
            <w:pPr>
              <w:pStyle w:val="Tableheading"/>
            </w:pPr>
            <w:r>
              <w:t>Financial year</w:t>
            </w:r>
          </w:p>
        </w:tc>
        <w:tc>
          <w:tcPr>
            <w:tcW w:w="2410" w:type="dxa"/>
            <w:tcBorders>
              <w:top w:val="nil"/>
              <w:left w:val="nil"/>
              <w:bottom w:val="thickThinLargeGap" w:sz="24" w:space="0" w:color="auto"/>
              <w:right w:val="nil"/>
            </w:tcBorders>
            <w:shd w:val="clear" w:color="auto" w:fill="113652"/>
          </w:tcPr>
          <w:p w14:paraId="5319ECA4" w14:textId="77777777" w:rsidR="00BD69B7" w:rsidRDefault="00BD69B7" w:rsidP="00BD69B7">
            <w:pPr>
              <w:pStyle w:val="Tableheading"/>
              <w:jc w:val="center"/>
            </w:pPr>
            <w:proofErr w:type="spellStart"/>
            <w:r>
              <w:t>AbaF</w:t>
            </w:r>
            <w:proofErr w:type="spellEnd"/>
            <w:r>
              <w:t xml:space="preserve"> ($ million)</w:t>
            </w:r>
          </w:p>
        </w:tc>
        <w:tc>
          <w:tcPr>
            <w:tcW w:w="2551" w:type="dxa"/>
            <w:tcBorders>
              <w:top w:val="nil"/>
              <w:left w:val="nil"/>
              <w:bottom w:val="thickThinLargeGap" w:sz="24" w:space="0" w:color="auto"/>
              <w:right w:val="nil"/>
            </w:tcBorders>
            <w:shd w:val="clear" w:color="auto" w:fill="113652"/>
          </w:tcPr>
          <w:p w14:paraId="24982A78" w14:textId="77777777" w:rsidR="00BD69B7" w:rsidRPr="00EF0765" w:rsidRDefault="00BD69B7" w:rsidP="00BD69B7">
            <w:pPr>
              <w:pStyle w:val="Tableheading"/>
              <w:jc w:val="center"/>
            </w:pPr>
            <w:r w:rsidRPr="00EF0765">
              <w:t>AMPAG ($ million)</w:t>
            </w:r>
          </w:p>
        </w:tc>
        <w:tc>
          <w:tcPr>
            <w:tcW w:w="2551" w:type="dxa"/>
            <w:tcBorders>
              <w:top w:val="nil"/>
              <w:left w:val="nil"/>
              <w:bottom w:val="thickThinLargeGap" w:sz="24" w:space="0" w:color="auto"/>
              <w:right w:val="nil"/>
            </w:tcBorders>
            <w:shd w:val="clear" w:color="auto" w:fill="113652"/>
          </w:tcPr>
          <w:p w14:paraId="7CA1FDBB" w14:textId="77777777" w:rsidR="00BD69B7" w:rsidRPr="00EF0765" w:rsidRDefault="00BD69B7" w:rsidP="00BD69B7">
            <w:pPr>
              <w:pStyle w:val="Tableheading"/>
              <w:jc w:val="center"/>
            </w:pPr>
            <w:proofErr w:type="spellStart"/>
            <w:r w:rsidRPr="00EF0765">
              <w:t>AbaF</w:t>
            </w:r>
            <w:proofErr w:type="spellEnd"/>
            <w:r w:rsidRPr="00EF0765">
              <w:t xml:space="preserve"> average projections on AMPAG ($ million)</w:t>
            </w:r>
          </w:p>
        </w:tc>
      </w:tr>
      <w:tr w:rsidR="00BD69B7" w14:paraId="4C7C402E" w14:textId="77777777" w:rsidTr="00BD69B7">
        <w:trPr>
          <w:cantSplit/>
        </w:trPr>
        <w:tc>
          <w:tcPr>
            <w:tcW w:w="1701" w:type="dxa"/>
            <w:tcBorders>
              <w:top w:val="thickThinLargeGap" w:sz="24" w:space="0" w:color="auto"/>
              <w:left w:val="nil"/>
              <w:bottom w:val="single" w:sz="4" w:space="0" w:color="auto"/>
              <w:right w:val="nil"/>
            </w:tcBorders>
          </w:tcPr>
          <w:p w14:paraId="42DF059B" w14:textId="77777777" w:rsidR="00BD69B7" w:rsidRPr="00C25B91" w:rsidRDefault="00BD69B7" w:rsidP="00BD69B7">
            <w:pPr>
              <w:pStyle w:val="Tabletext"/>
            </w:pPr>
            <w:r w:rsidRPr="00C25B91">
              <w:t>2001–02</w:t>
            </w:r>
          </w:p>
        </w:tc>
        <w:tc>
          <w:tcPr>
            <w:tcW w:w="2410" w:type="dxa"/>
            <w:tcBorders>
              <w:top w:val="thickThinLargeGap" w:sz="24" w:space="0" w:color="auto"/>
              <w:left w:val="nil"/>
              <w:bottom w:val="single" w:sz="4" w:space="0" w:color="auto"/>
              <w:right w:val="nil"/>
            </w:tcBorders>
          </w:tcPr>
          <w:p w14:paraId="00E6D32B" w14:textId="77777777" w:rsidR="00BD69B7" w:rsidRPr="00BD69B7" w:rsidRDefault="00BD69B7" w:rsidP="00BD69B7">
            <w:pPr>
              <w:pStyle w:val="Tabletext"/>
              <w:jc w:val="center"/>
            </w:pPr>
            <w:r w:rsidRPr="00BD69B7">
              <w:t>111.6</w:t>
            </w:r>
          </w:p>
        </w:tc>
        <w:tc>
          <w:tcPr>
            <w:tcW w:w="2551" w:type="dxa"/>
            <w:tcBorders>
              <w:top w:val="thickThinLargeGap" w:sz="24" w:space="0" w:color="auto"/>
              <w:left w:val="nil"/>
              <w:bottom w:val="single" w:sz="4" w:space="0" w:color="auto"/>
              <w:right w:val="nil"/>
            </w:tcBorders>
            <w:vAlign w:val="bottom"/>
          </w:tcPr>
          <w:p w14:paraId="323FD384" w14:textId="77777777" w:rsidR="00BD69B7" w:rsidRPr="00BD69B7" w:rsidRDefault="00BD69B7" w:rsidP="00BD69B7">
            <w:pPr>
              <w:pStyle w:val="Tabletext"/>
              <w:jc w:val="center"/>
              <w:rPr>
                <w:i/>
              </w:rPr>
            </w:pPr>
            <w:r w:rsidRPr="00BD69B7">
              <w:t>30.3</w:t>
            </w:r>
          </w:p>
        </w:tc>
        <w:tc>
          <w:tcPr>
            <w:tcW w:w="2551" w:type="dxa"/>
            <w:tcBorders>
              <w:top w:val="thickThinLargeGap" w:sz="24" w:space="0" w:color="auto"/>
              <w:left w:val="nil"/>
              <w:bottom w:val="single" w:sz="4" w:space="0" w:color="auto"/>
              <w:right w:val="nil"/>
            </w:tcBorders>
          </w:tcPr>
          <w:p w14:paraId="55A23FF3" w14:textId="77777777" w:rsidR="00BD69B7" w:rsidRPr="00BD69B7" w:rsidRDefault="00BD69B7" w:rsidP="00BD69B7">
            <w:pPr>
              <w:pStyle w:val="Tabletext"/>
              <w:jc w:val="center"/>
            </w:pPr>
            <w:r w:rsidRPr="00BD69B7">
              <w:t>-</w:t>
            </w:r>
          </w:p>
        </w:tc>
      </w:tr>
      <w:tr w:rsidR="00BD69B7" w14:paraId="23B8344D" w14:textId="77777777" w:rsidTr="00BC0293">
        <w:trPr>
          <w:cantSplit/>
        </w:trPr>
        <w:tc>
          <w:tcPr>
            <w:tcW w:w="1701" w:type="dxa"/>
            <w:tcBorders>
              <w:top w:val="single" w:sz="4" w:space="0" w:color="auto"/>
              <w:left w:val="nil"/>
              <w:bottom w:val="single" w:sz="4" w:space="0" w:color="auto"/>
              <w:right w:val="nil"/>
            </w:tcBorders>
          </w:tcPr>
          <w:p w14:paraId="55B70046" w14:textId="77777777" w:rsidR="00BD69B7" w:rsidRPr="00C25B91" w:rsidRDefault="00BD69B7" w:rsidP="00BD69B7">
            <w:pPr>
              <w:pStyle w:val="Tabletext"/>
            </w:pPr>
            <w:r w:rsidRPr="00C25B91">
              <w:t>2002–03</w:t>
            </w:r>
          </w:p>
        </w:tc>
        <w:tc>
          <w:tcPr>
            <w:tcW w:w="2410" w:type="dxa"/>
            <w:tcBorders>
              <w:top w:val="single" w:sz="4" w:space="0" w:color="auto"/>
              <w:left w:val="nil"/>
              <w:bottom w:val="single" w:sz="4" w:space="0" w:color="auto"/>
              <w:right w:val="nil"/>
            </w:tcBorders>
          </w:tcPr>
          <w:p w14:paraId="689255EB" w14:textId="77777777" w:rsidR="00BD69B7" w:rsidRPr="00BD69B7" w:rsidRDefault="00BD69B7" w:rsidP="00BD69B7">
            <w:pPr>
              <w:pStyle w:val="Tabletext"/>
              <w:jc w:val="center"/>
            </w:pPr>
            <w:r w:rsidRPr="00BD69B7">
              <w:t>120.7</w:t>
            </w:r>
          </w:p>
        </w:tc>
        <w:tc>
          <w:tcPr>
            <w:tcW w:w="2551" w:type="dxa"/>
            <w:tcBorders>
              <w:top w:val="single" w:sz="4" w:space="0" w:color="auto"/>
              <w:left w:val="nil"/>
              <w:bottom w:val="single" w:sz="4" w:space="0" w:color="auto"/>
              <w:right w:val="nil"/>
            </w:tcBorders>
            <w:vAlign w:val="bottom"/>
          </w:tcPr>
          <w:p w14:paraId="50F70611" w14:textId="77777777" w:rsidR="00BD69B7" w:rsidRPr="00BD69B7" w:rsidRDefault="00BD69B7" w:rsidP="00BD69B7">
            <w:pPr>
              <w:pStyle w:val="Tabletext"/>
              <w:jc w:val="center"/>
              <w:rPr>
                <w:i/>
              </w:rPr>
            </w:pPr>
            <w:r w:rsidRPr="00BD69B7">
              <w:t>32.1</w:t>
            </w:r>
          </w:p>
        </w:tc>
        <w:tc>
          <w:tcPr>
            <w:tcW w:w="2551" w:type="dxa"/>
            <w:tcBorders>
              <w:top w:val="single" w:sz="4" w:space="0" w:color="auto"/>
              <w:left w:val="nil"/>
              <w:bottom w:val="single" w:sz="4" w:space="0" w:color="auto"/>
              <w:right w:val="nil"/>
            </w:tcBorders>
          </w:tcPr>
          <w:p w14:paraId="2FB09105" w14:textId="77777777" w:rsidR="00BD69B7" w:rsidRPr="00BD69B7" w:rsidRDefault="00BD69B7" w:rsidP="00BD69B7">
            <w:pPr>
              <w:pStyle w:val="Tabletext"/>
              <w:jc w:val="center"/>
            </w:pPr>
            <w:r w:rsidRPr="00BD69B7">
              <w:t>-</w:t>
            </w:r>
          </w:p>
        </w:tc>
      </w:tr>
      <w:tr w:rsidR="00BD69B7" w14:paraId="272AB69C" w14:textId="77777777" w:rsidTr="00BC0293">
        <w:trPr>
          <w:cantSplit/>
        </w:trPr>
        <w:tc>
          <w:tcPr>
            <w:tcW w:w="1701" w:type="dxa"/>
            <w:tcBorders>
              <w:top w:val="single" w:sz="4" w:space="0" w:color="auto"/>
              <w:left w:val="nil"/>
              <w:bottom w:val="single" w:sz="4" w:space="0" w:color="auto"/>
              <w:right w:val="nil"/>
            </w:tcBorders>
          </w:tcPr>
          <w:p w14:paraId="6CBB2C63" w14:textId="77777777" w:rsidR="00BD69B7" w:rsidRPr="00C25B91" w:rsidRDefault="00BD69B7" w:rsidP="00BD69B7">
            <w:pPr>
              <w:pStyle w:val="Tabletext"/>
            </w:pPr>
            <w:r w:rsidRPr="00C25B91">
              <w:t>2003–04</w:t>
            </w:r>
          </w:p>
        </w:tc>
        <w:tc>
          <w:tcPr>
            <w:tcW w:w="2410" w:type="dxa"/>
            <w:tcBorders>
              <w:top w:val="single" w:sz="4" w:space="0" w:color="auto"/>
              <w:left w:val="nil"/>
              <w:bottom w:val="single" w:sz="4" w:space="0" w:color="auto"/>
              <w:right w:val="nil"/>
            </w:tcBorders>
          </w:tcPr>
          <w:p w14:paraId="63A2B791" w14:textId="77777777" w:rsidR="00BD69B7" w:rsidRPr="00BD69B7" w:rsidRDefault="00BD69B7" w:rsidP="00BD69B7">
            <w:pPr>
              <w:pStyle w:val="Tabletext"/>
              <w:jc w:val="center"/>
            </w:pPr>
            <w:r w:rsidRPr="00BD69B7">
              <w:t>127.0</w:t>
            </w:r>
          </w:p>
        </w:tc>
        <w:tc>
          <w:tcPr>
            <w:tcW w:w="2551" w:type="dxa"/>
            <w:tcBorders>
              <w:top w:val="single" w:sz="4" w:space="0" w:color="auto"/>
              <w:left w:val="nil"/>
              <w:bottom w:val="single" w:sz="4" w:space="0" w:color="auto"/>
              <w:right w:val="nil"/>
            </w:tcBorders>
            <w:vAlign w:val="bottom"/>
          </w:tcPr>
          <w:p w14:paraId="74691B33" w14:textId="77777777" w:rsidR="00BD69B7" w:rsidRPr="00BD69B7" w:rsidRDefault="00BD69B7" w:rsidP="00BD69B7">
            <w:pPr>
              <w:pStyle w:val="Tabletext"/>
              <w:jc w:val="center"/>
              <w:rPr>
                <w:i/>
              </w:rPr>
            </w:pPr>
            <w:r w:rsidRPr="00BD69B7">
              <w:t>35.9</w:t>
            </w:r>
          </w:p>
        </w:tc>
        <w:tc>
          <w:tcPr>
            <w:tcW w:w="2551" w:type="dxa"/>
            <w:tcBorders>
              <w:top w:val="single" w:sz="4" w:space="0" w:color="auto"/>
              <w:left w:val="nil"/>
              <w:bottom w:val="single" w:sz="4" w:space="0" w:color="auto"/>
              <w:right w:val="nil"/>
            </w:tcBorders>
          </w:tcPr>
          <w:p w14:paraId="7F457872" w14:textId="77777777" w:rsidR="00BD69B7" w:rsidRPr="00BD69B7" w:rsidRDefault="00BD69B7" w:rsidP="00BD69B7">
            <w:pPr>
              <w:pStyle w:val="Tabletext"/>
              <w:jc w:val="center"/>
            </w:pPr>
            <w:r w:rsidRPr="00BD69B7">
              <w:t>-</w:t>
            </w:r>
          </w:p>
        </w:tc>
      </w:tr>
      <w:tr w:rsidR="00BD69B7" w14:paraId="0D52EC6C" w14:textId="77777777" w:rsidTr="00BC0293">
        <w:trPr>
          <w:cantSplit/>
        </w:trPr>
        <w:tc>
          <w:tcPr>
            <w:tcW w:w="1701" w:type="dxa"/>
            <w:tcBorders>
              <w:top w:val="single" w:sz="4" w:space="0" w:color="auto"/>
              <w:left w:val="nil"/>
              <w:bottom w:val="single" w:sz="4" w:space="0" w:color="auto"/>
              <w:right w:val="nil"/>
            </w:tcBorders>
          </w:tcPr>
          <w:p w14:paraId="2CAC48A1" w14:textId="77777777" w:rsidR="00BD69B7" w:rsidRPr="00C25B91" w:rsidRDefault="00BD69B7" w:rsidP="00BD69B7">
            <w:pPr>
              <w:pStyle w:val="Tabletext"/>
            </w:pPr>
            <w:r w:rsidRPr="00C25B91">
              <w:t>2004–05</w:t>
            </w:r>
          </w:p>
        </w:tc>
        <w:tc>
          <w:tcPr>
            <w:tcW w:w="2410" w:type="dxa"/>
            <w:tcBorders>
              <w:top w:val="single" w:sz="4" w:space="0" w:color="auto"/>
              <w:left w:val="nil"/>
              <w:bottom w:val="single" w:sz="4" w:space="0" w:color="auto"/>
              <w:right w:val="nil"/>
            </w:tcBorders>
          </w:tcPr>
          <w:p w14:paraId="686B06AD" w14:textId="77777777" w:rsidR="00BD69B7" w:rsidRPr="00BD69B7" w:rsidRDefault="00BD69B7" w:rsidP="00BD69B7">
            <w:pPr>
              <w:pStyle w:val="Tabletext"/>
              <w:jc w:val="center"/>
            </w:pPr>
            <w:r w:rsidRPr="00BD69B7">
              <w:t>138.2</w:t>
            </w:r>
          </w:p>
        </w:tc>
        <w:tc>
          <w:tcPr>
            <w:tcW w:w="2551" w:type="dxa"/>
            <w:tcBorders>
              <w:top w:val="single" w:sz="4" w:space="0" w:color="auto"/>
              <w:left w:val="nil"/>
              <w:bottom w:val="single" w:sz="4" w:space="0" w:color="auto"/>
              <w:right w:val="nil"/>
            </w:tcBorders>
            <w:vAlign w:val="bottom"/>
          </w:tcPr>
          <w:p w14:paraId="6CEC11E8" w14:textId="77777777" w:rsidR="00BD69B7" w:rsidRPr="00BD69B7" w:rsidRDefault="00BD69B7" w:rsidP="00BD69B7">
            <w:pPr>
              <w:pStyle w:val="Tabletext"/>
              <w:jc w:val="center"/>
              <w:rPr>
                <w:i/>
              </w:rPr>
            </w:pPr>
            <w:r w:rsidRPr="00BD69B7">
              <w:t>39.5</w:t>
            </w:r>
          </w:p>
        </w:tc>
        <w:tc>
          <w:tcPr>
            <w:tcW w:w="2551" w:type="dxa"/>
            <w:tcBorders>
              <w:top w:val="single" w:sz="4" w:space="0" w:color="auto"/>
              <w:left w:val="nil"/>
              <w:bottom w:val="single" w:sz="4" w:space="0" w:color="auto"/>
              <w:right w:val="nil"/>
            </w:tcBorders>
          </w:tcPr>
          <w:p w14:paraId="3777E32C" w14:textId="77777777" w:rsidR="00BD69B7" w:rsidRPr="00BD69B7" w:rsidRDefault="00BD69B7" w:rsidP="00BD69B7">
            <w:pPr>
              <w:pStyle w:val="Tabletext"/>
              <w:jc w:val="center"/>
            </w:pPr>
            <w:r w:rsidRPr="00BD69B7">
              <w:t>-</w:t>
            </w:r>
          </w:p>
        </w:tc>
      </w:tr>
      <w:tr w:rsidR="00BD69B7" w14:paraId="7BAEFFDA" w14:textId="77777777" w:rsidTr="00BC0293">
        <w:trPr>
          <w:cantSplit/>
        </w:trPr>
        <w:tc>
          <w:tcPr>
            <w:tcW w:w="1701" w:type="dxa"/>
            <w:tcBorders>
              <w:top w:val="single" w:sz="4" w:space="0" w:color="auto"/>
              <w:left w:val="nil"/>
              <w:bottom w:val="single" w:sz="4" w:space="0" w:color="auto"/>
              <w:right w:val="nil"/>
            </w:tcBorders>
          </w:tcPr>
          <w:p w14:paraId="4144B21E" w14:textId="77777777" w:rsidR="00BD69B7" w:rsidRPr="00C25B91" w:rsidRDefault="00BD69B7" w:rsidP="00BD69B7">
            <w:pPr>
              <w:pStyle w:val="Tabletext"/>
            </w:pPr>
            <w:r w:rsidRPr="00C25B91">
              <w:t>2005–06</w:t>
            </w:r>
          </w:p>
        </w:tc>
        <w:tc>
          <w:tcPr>
            <w:tcW w:w="2410" w:type="dxa"/>
            <w:tcBorders>
              <w:top w:val="single" w:sz="4" w:space="0" w:color="auto"/>
              <w:left w:val="nil"/>
              <w:bottom w:val="single" w:sz="4" w:space="0" w:color="auto"/>
              <w:right w:val="nil"/>
            </w:tcBorders>
          </w:tcPr>
          <w:p w14:paraId="0371FC4C" w14:textId="77777777" w:rsidR="00BD69B7" w:rsidRPr="00BD69B7" w:rsidRDefault="00BD69B7" w:rsidP="00BD69B7">
            <w:pPr>
              <w:pStyle w:val="Tabletext"/>
              <w:jc w:val="center"/>
            </w:pPr>
            <w:r w:rsidRPr="00BD69B7">
              <w:t>168.8</w:t>
            </w:r>
          </w:p>
        </w:tc>
        <w:tc>
          <w:tcPr>
            <w:tcW w:w="2551" w:type="dxa"/>
            <w:tcBorders>
              <w:top w:val="single" w:sz="4" w:space="0" w:color="auto"/>
              <w:left w:val="nil"/>
              <w:bottom w:val="single" w:sz="4" w:space="0" w:color="auto"/>
              <w:right w:val="nil"/>
            </w:tcBorders>
            <w:vAlign w:val="bottom"/>
          </w:tcPr>
          <w:p w14:paraId="46E8A974" w14:textId="77777777" w:rsidR="00BD69B7" w:rsidRPr="00BD69B7" w:rsidRDefault="00BD69B7" w:rsidP="00BD69B7">
            <w:pPr>
              <w:pStyle w:val="Tabletext"/>
              <w:jc w:val="center"/>
              <w:rPr>
                <w:i/>
              </w:rPr>
            </w:pPr>
            <w:r w:rsidRPr="00BD69B7">
              <w:t>40.8</w:t>
            </w:r>
          </w:p>
        </w:tc>
        <w:tc>
          <w:tcPr>
            <w:tcW w:w="2551" w:type="dxa"/>
            <w:tcBorders>
              <w:top w:val="single" w:sz="4" w:space="0" w:color="auto"/>
              <w:left w:val="nil"/>
              <w:bottom w:val="single" w:sz="4" w:space="0" w:color="auto"/>
              <w:right w:val="nil"/>
            </w:tcBorders>
          </w:tcPr>
          <w:p w14:paraId="66B9A9AB" w14:textId="77777777" w:rsidR="00BD69B7" w:rsidRPr="00BD69B7" w:rsidRDefault="00BD69B7" w:rsidP="00BD69B7">
            <w:pPr>
              <w:pStyle w:val="Tabletext"/>
              <w:jc w:val="center"/>
            </w:pPr>
            <w:r w:rsidRPr="00BD69B7">
              <w:t>-</w:t>
            </w:r>
          </w:p>
        </w:tc>
      </w:tr>
      <w:tr w:rsidR="00BD69B7" w14:paraId="75DA12E0" w14:textId="77777777" w:rsidTr="00BC0293">
        <w:trPr>
          <w:cantSplit/>
        </w:trPr>
        <w:tc>
          <w:tcPr>
            <w:tcW w:w="1701" w:type="dxa"/>
            <w:tcBorders>
              <w:top w:val="single" w:sz="4" w:space="0" w:color="auto"/>
              <w:left w:val="nil"/>
              <w:bottom w:val="single" w:sz="4" w:space="0" w:color="auto"/>
              <w:right w:val="nil"/>
            </w:tcBorders>
          </w:tcPr>
          <w:p w14:paraId="039A3C45" w14:textId="77777777" w:rsidR="00BD69B7" w:rsidRPr="00C25B91" w:rsidRDefault="00BD69B7" w:rsidP="00BD69B7">
            <w:pPr>
              <w:pStyle w:val="Tabletext"/>
            </w:pPr>
            <w:r w:rsidRPr="00C25B91">
              <w:t>2006–07</w:t>
            </w:r>
          </w:p>
        </w:tc>
        <w:tc>
          <w:tcPr>
            <w:tcW w:w="2410" w:type="dxa"/>
            <w:tcBorders>
              <w:top w:val="single" w:sz="4" w:space="0" w:color="auto"/>
              <w:left w:val="nil"/>
              <w:bottom w:val="single" w:sz="4" w:space="0" w:color="auto"/>
              <w:right w:val="nil"/>
            </w:tcBorders>
          </w:tcPr>
          <w:p w14:paraId="4F06D019" w14:textId="77777777" w:rsidR="00BD69B7" w:rsidRPr="00BD69B7" w:rsidRDefault="00BD69B7" w:rsidP="00BD69B7">
            <w:pPr>
              <w:pStyle w:val="Tabletext"/>
              <w:jc w:val="center"/>
            </w:pPr>
            <w:r w:rsidRPr="00BD69B7">
              <w:t>178.7</w:t>
            </w:r>
          </w:p>
        </w:tc>
        <w:tc>
          <w:tcPr>
            <w:tcW w:w="2551" w:type="dxa"/>
            <w:tcBorders>
              <w:top w:val="single" w:sz="4" w:space="0" w:color="auto"/>
              <w:left w:val="nil"/>
              <w:bottom w:val="single" w:sz="4" w:space="0" w:color="auto"/>
              <w:right w:val="nil"/>
            </w:tcBorders>
            <w:vAlign w:val="bottom"/>
          </w:tcPr>
          <w:p w14:paraId="536A2F4A" w14:textId="77777777" w:rsidR="00BD69B7" w:rsidRPr="00BD69B7" w:rsidRDefault="00BD69B7" w:rsidP="00BD69B7">
            <w:pPr>
              <w:pStyle w:val="Tabletext"/>
              <w:jc w:val="center"/>
              <w:rPr>
                <w:i/>
              </w:rPr>
            </w:pPr>
            <w:r w:rsidRPr="00BD69B7">
              <w:t>43.4</w:t>
            </w:r>
          </w:p>
        </w:tc>
        <w:tc>
          <w:tcPr>
            <w:tcW w:w="2551" w:type="dxa"/>
            <w:tcBorders>
              <w:top w:val="single" w:sz="4" w:space="0" w:color="auto"/>
              <w:left w:val="nil"/>
              <w:bottom w:val="single" w:sz="4" w:space="0" w:color="auto"/>
              <w:right w:val="nil"/>
            </w:tcBorders>
          </w:tcPr>
          <w:p w14:paraId="2BA50C6A" w14:textId="77777777" w:rsidR="00BD69B7" w:rsidRPr="00BD69B7" w:rsidRDefault="00BD69B7" w:rsidP="00BD69B7">
            <w:pPr>
              <w:pStyle w:val="Tabletext"/>
              <w:jc w:val="center"/>
            </w:pPr>
            <w:r w:rsidRPr="00BD69B7">
              <w:t>-</w:t>
            </w:r>
          </w:p>
        </w:tc>
      </w:tr>
      <w:tr w:rsidR="00BD69B7" w14:paraId="25C7176F" w14:textId="77777777" w:rsidTr="00BC0293">
        <w:trPr>
          <w:cantSplit/>
        </w:trPr>
        <w:tc>
          <w:tcPr>
            <w:tcW w:w="1701" w:type="dxa"/>
            <w:tcBorders>
              <w:top w:val="single" w:sz="4" w:space="0" w:color="auto"/>
              <w:left w:val="nil"/>
              <w:bottom w:val="single" w:sz="4" w:space="0" w:color="auto"/>
              <w:right w:val="nil"/>
            </w:tcBorders>
          </w:tcPr>
          <w:p w14:paraId="4A130972" w14:textId="77777777" w:rsidR="00BD69B7" w:rsidRPr="00C25B91" w:rsidRDefault="00BD69B7" w:rsidP="00BD69B7">
            <w:pPr>
              <w:pStyle w:val="Tabletext"/>
            </w:pPr>
            <w:r w:rsidRPr="00C25B91">
              <w:t>2007–08</w:t>
            </w:r>
          </w:p>
        </w:tc>
        <w:tc>
          <w:tcPr>
            <w:tcW w:w="2410" w:type="dxa"/>
            <w:tcBorders>
              <w:top w:val="single" w:sz="4" w:space="0" w:color="auto"/>
              <w:left w:val="nil"/>
              <w:bottom w:val="single" w:sz="4" w:space="0" w:color="auto"/>
              <w:right w:val="nil"/>
            </w:tcBorders>
          </w:tcPr>
          <w:p w14:paraId="575E2DCF" w14:textId="77777777" w:rsidR="00BD69B7" w:rsidRPr="00BD69B7" w:rsidRDefault="00BD69B7" w:rsidP="00BD69B7">
            <w:pPr>
              <w:pStyle w:val="Tabletext"/>
              <w:jc w:val="center"/>
            </w:pPr>
            <w:r w:rsidRPr="00BD69B7">
              <w:t>204.0</w:t>
            </w:r>
          </w:p>
        </w:tc>
        <w:tc>
          <w:tcPr>
            <w:tcW w:w="2551" w:type="dxa"/>
            <w:tcBorders>
              <w:top w:val="single" w:sz="4" w:space="0" w:color="auto"/>
              <w:left w:val="nil"/>
              <w:bottom w:val="single" w:sz="4" w:space="0" w:color="auto"/>
              <w:right w:val="nil"/>
            </w:tcBorders>
            <w:vAlign w:val="bottom"/>
          </w:tcPr>
          <w:p w14:paraId="53103E68" w14:textId="77777777" w:rsidR="00BD69B7" w:rsidRPr="00BD69B7" w:rsidRDefault="00BD69B7" w:rsidP="00BD69B7">
            <w:pPr>
              <w:pStyle w:val="Tabletext"/>
              <w:jc w:val="center"/>
              <w:rPr>
                <w:i/>
              </w:rPr>
            </w:pPr>
            <w:r w:rsidRPr="00BD69B7">
              <w:t>47.6</w:t>
            </w:r>
          </w:p>
        </w:tc>
        <w:tc>
          <w:tcPr>
            <w:tcW w:w="2551" w:type="dxa"/>
            <w:tcBorders>
              <w:top w:val="single" w:sz="4" w:space="0" w:color="auto"/>
              <w:left w:val="nil"/>
              <w:bottom w:val="single" w:sz="4" w:space="0" w:color="auto"/>
              <w:right w:val="nil"/>
            </w:tcBorders>
          </w:tcPr>
          <w:p w14:paraId="3136FE50" w14:textId="77777777" w:rsidR="00BD69B7" w:rsidRPr="00BD69B7" w:rsidRDefault="00BD69B7" w:rsidP="00BD69B7">
            <w:pPr>
              <w:pStyle w:val="Tabletext"/>
              <w:jc w:val="center"/>
            </w:pPr>
            <w:r w:rsidRPr="00BD69B7">
              <w:t>-</w:t>
            </w:r>
          </w:p>
        </w:tc>
      </w:tr>
      <w:tr w:rsidR="00BD69B7" w14:paraId="36C446B1" w14:textId="77777777" w:rsidTr="00BC0293">
        <w:trPr>
          <w:cantSplit/>
        </w:trPr>
        <w:tc>
          <w:tcPr>
            <w:tcW w:w="1701" w:type="dxa"/>
            <w:tcBorders>
              <w:top w:val="single" w:sz="4" w:space="0" w:color="auto"/>
              <w:left w:val="nil"/>
              <w:bottom w:val="single" w:sz="4" w:space="0" w:color="auto"/>
              <w:right w:val="nil"/>
            </w:tcBorders>
          </w:tcPr>
          <w:p w14:paraId="61DAC507" w14:textId="77777777" w:rsidR="00BD69B7" w:rsidRPr="00C25B91" w:rsidRDefault="00BD69B7" w:rsidP="00BD69B7">
            <w:pPr>
              <w:pStyle w:val="Tabletext"/>
            </w:pPr>
            <w:r w:rsidRPr="00C25B91">
              <w:t>2008–09</w:t>
            </w:r>
          </w:p>
        </w:tc>
        <w:tc>
          <w:tcPr>
            <w:tcW w:w="2410" w:type="dxa"/>
            <w:tcBorders>
              <w:top w:val="single" w:sz="4" w:space="0" w:color="auto"/>
              <w:left w:val="nil"/>
              <w:bottom w:val="single" w:sz="4" w:space="0" w:color="auto"/>
              <w:right w:val="nil"/>
            </w:tcBorders>
          </w:tcPr>
          <w:p w14:paraId="20C5973B" w14:textId="77777777" w:rsidR="00BD69B7" w:rsidRPr="00BD69B7" w:rsidRDefault="00BD69B7" w:rsidP="00BD69B7">
            <w:pPr>
              <w:pStyle w:val="Tabletext"/>
              <w:jc w:val="center"/>
            </w:pPr>
            <w:r w:rsidRPr="00BD69B7">
              <w:t>212.1</w:t>
            </w:r>
          </w:p>
        </w:tc>
        <w:tc>
          <w:tcPr>
            <w:tcW w:w="2551" w:type="dxa"/>
            <w:tcBorders>
              <w:top w:val="single" w:sz="4" w:space="0" w:color="auto"/>
              <w:left w:val="nil"/>
              <w:bottom w:val="single" w:sz="4" w:space="0" w:color="auto"/>
              <w:right w:val="nil"/>
            </w:tcBorders>
            <w:vAlign w:val="bottom"/>
          </w:tcPr>
          <w:p w14:paraId="5747654F" w14:textId="77777777" w:rsidR="00BD69B7" w:rsidRPr="00BD69B7" w:rsidRDefault="00BD69B7" w:rsidP="00BD69B7">
            <w:pPr>
              <w:pStyle w:val="Tabletext"/>
              <w:jc w:val="center"/>
              <w:rPr>
                <w:i/>
              </w:rPr>
            </w:pPr>
            <w:r w:rsidRPr="00BD69B7">
              <w:t>48.7</w:t>
            </w:r>
          </w:p>
        </w:tc>
        <w:tc>
          <w:tcPr>
            <w:tcW w:w="2551" w:type="dxa"/>
            <w:tcBorders>
              <w:top w:val="single" w:sz="4" w:space="0" w:color="auto"/>
              <w:left w:val="nil"/>
              <w:bottom w:val="single" w:sz="4" w:space="0" w:color="auto"/>
              <w:right w:val="nil"/>
            </w:tcBorders>
          </w:tcPr>
          <w:p w14:paraId="69066E59" w14:textId="77777777" w:rsidR="00BD69B7" w:rsidRPr="00BD69B7" w:rsidRDefault="00BD69B7" w:rsidP="00BD69B7">
            <w:pPr>
              <w:pStyle w:val="Tabletext"/>
              <w:jc w:val="center"/>
            </w:pPr>
            <w:r w:rsidRPr="00BD69B7">
              <w:t>-</w:t>
            </w:r>
          </w:p>
        </w:tc>
      </w:tr>
      <w:tr w:rsidR="00BD69B7" w14:paraId="7846C8DF" w14:textId="77777777" w:rsidTr="00BC0293">
        <w:trPr>
          <w:cantSplit/>
        </w:trPr>
        <w:tc>
          <w:tcPr>
            <w:tcW w:w="1701" w:type="dxa"/>
            <w:tcBorders>
              <w:top w:val="single" w:sz="4" w:space="0" w:color="auto"/>
              <w:left w:val="nil"/>
              <w:bottom w:val="single" w:sz="4" w:space="0" w:color="auto"/>
              <w:right w:val="nil"/>
            </w:tcBorders>
          </w:tcPr>
          <w:p w14:paraId="22D8BF88" w14:textId="77777777" w:rsidR="00BD69B7" w:rsidRPr="00C25B91" w:rsidRDefault="00BD69B7" w:rsidP="00BD69B7">
            <w:pPr>
              <w:pStyle w:val="Tabletext"/>
            </w:pPr>
            <w:r w:rsidRPr="00C25B91">
              <w:t>2009–10</w:t>
            </w:r>
          </w:p>
        </w:tc>
        <w:tc>
          <w:tcPr>
            <w:tcW w:w="2410" w:type="dxa"/>
            <w:tcBorders>
              <w:top w:val="single" w:sz="4" w:space="0" w:color="auto"/>
              <w:left w:val="nil"/>
              <w:bottom w:val="single" w:sz="4" w:space="0" w:color="auto"/>
              <w:right w:val="nil"/>
            </w:tcBorders>
          </w:tcPr>
          <w:p w14:paraId="703885F7" w14:textId="77777777" w:rsidR="00BD69B7" w:rsidRPr="00BD69B7" w:rsidRDefault="00BD69B7" w:rsidP="00BD69B7">
            <w:pPr>
              <w:pStyle w:val="Tabletext"/>
              <w:jc w:val="center"/>
            </w:pPr>
            <w:r w:rsidRPr="00BD69B7">
              <w:t>221.1</w:t>
            </w:r>
          </w:p>
        </w:tc>
        <w:tc>
          <w:tcPr>
            <w:tcW w:w="2551" w:type="dxa"/>
            <w:tcBorders>
              <w:top w:val="single" w:sz="4" w:space="0" w:color="auto"/>
              <w:left w:val="nil"/>
              <w:bottom w:val="single" w:sz="4" w:space="0" w:color="auto"/>
              <w:right w:val="nil"/>
            </w:tcBorders>
            <w:vAlign w:val="bottom"/>
          </w:tcPr>
          <w:p w14:paraId="43785276" w14:textId="77777777" w:rsidR="00BD69B7" w:rsidRPr="00BD69B7" w:rsidRDefault="00BD69B7" w:rsidP="00BD69B7">
            <w:pPr>
              <w:pStyle w:val="Tabletext"/>
              <w:jc w:val="center"/>
              <w:rPr>
                <w:i/>
              </w:rPr>
            </w:pPr>
            <w:r w:rsidRPr="00BD69B7">
              <w:t>51.5</w:t>
            </w:r>
          </w:p>
        </w:tc>
        <w:tc>
          <w:tcPr>
            <w:tcW w:w="2551" w:type="dxa"/>
            <w:tcBorders>
              <w:top w:val="single" w:sz="4" w:space="0" w:color="auto"/>
              <w:left w:val="nil"/>
              <w:bottom w:val="single" w:sz="4" w:space="0" w:color="auto"/>
              <w:right w:val="nil"/>
            </w:tcBorders>
          </w:tcPr>
          <w:p w14:paraId="7A004AE9" w14:textId="77777777" w:rsidR="00BD69B7" w:rsidRPr="00BD69B7" w:rsidRDefault="00BD69B7" w:rsidP="00BD69B7">
            <w:pPr>
              <w:pStyle w:val="Tabletext"/>
              <w:jc w:val="center"/>
            </w:pPr>
            <w:r w:rsidRPr="00BD69B7">
              <w:t>-</w:t>
            </w:r>
          </w:p>
        </w:tc>
      </w:tr>
      <w:tr w:rsidR="00BD69B7" w14:paraId="1D371ACD" w14:textId="77777777" w:rsidTr="00BC0293">
        <w:trPr>
          <w:cantSplit/>
        </w:trPr>
        <w:tc>
          <w:tcPr>
            <w:tcW w:w="1701" w:type="dxa"/>
            <w:tcBorders>
              <w:top w:val="single" w:sz="4" w:space="0" w:color="auto"/>
              <w:left w:val="nil"/>
              <w:bottom w:val="single" w:sz="4" w:space="0" w:color="auto"/>
              <w:right w:val="nil"/>
            </w:tcBorders>
          </w:tcPr>
          <w:p w14:paraId="4E951982" w14:textId="77777777" w:rsidR="00BD69B7" w:rsidRPr="00C25B91" w:rsidRDefault="00BD69B7" w:rsidP="00BD69B7">
            <w:pPr>
              <w:pStyle w:val="Tabletext"/>
            </w:pPr>
            <w:r w:rsidRPr="00C25B91">
              <w:t>2010–11</w:t>
            </w:r>
          </w:p>
        </w:tc>
        <w:tc>
          <w:tcPr>
            <w:tcW w:w="2410" w:type="dxa"/>
            <w:tcBorders>
              <w:top w:val="single" w:sz="4" w:space="0" w:color="auto"/>
              <w:left w:val="nil"/>
              <w:bottom w:val="single" w:sz="4" w:space="0" w:color="auto"/>
              <w:right w:val="nil"/>
            </w:tcBorders>
          </w:tcPr>
          <w:p w14:paraId="49006BDD" w14:textId="77777777" w:rsidR="00BD69B7" w:rsidRPr="00BD69B7" w:rsidRDefault="00BD69B7" w:rsidP="00BD69B7">
            <w:pPr>
              <w:pStyle w:val="Tabletext"/>
              <w:jc w:val="center"/>
            </w:pPr>
            <w:r w:rsidRPr="00BD69B7">
              <w:t>-</w:t>
            </w:r>
          </w:p>
        </w:tc>
        <w:tc>
          <w:tcPr>
            <w:tcW w:w="2551" w:type="dxa"/>
            <w:tcBorders>
              <w:top w:val="single" w:sz="4" w:space="0" w:color="auto"/>
              <w:left w:val="nil"/>
              <w:bottom w:val="single" w:sz="4" w:space="0" w:color="auto"/>
              <w:right w:val="nil"/>
            </w:tcBorders>
            <w:vAlign w:val="bottom"/>
          </w:tcPr>
          <w:p w14:paraId="3036DCBF" w14:textId="77777777" w:rsidR="00BD69B7" w:rsidRPr="00BD69B7" w:rsidRDefault="00BD69B7" w:rsidP="00BD69B7">
            <w:pPr>
              <w:pStyle w:val="Tabletext"/>
              <w:jc w:val="center"/>
              <w:rPr>
                <w:i/>
              </w:rPr>
            </w:pPr>
            <w:r w:rsidRPr="00BD69B7">
              <w:t>59.8</w:t>
            </w:r>
          </w:p>
        </w:tc>
        <w:tc>
          <w:tcPr>
            <w:tcW w:w="2551" w:type="dxa"/>
            <w:tcBorders>
              <w:top w:val="single" w:sz="4" w:space="0" w:color="auto"/>
              <w:left w:val="nil"/>
              <w:bottom w:val="single" w:sz="4" w:space="0" w:color="auto"/>
              <w:right w:val="nil"/>
            </w:tcBorders>
            <w:vAlign w:val="bottom"/>
          </w:tcPr>
          <w:p w14:paraId="43BF4E99" w14:textId="77777777" w:rsidR="00BD69B7" w:rsidRPr="00BD69B7" w:rsidRDefault="00BD69B7" w:rsidP="00BD69B7">
            <w:pPr>
              <w:pStyle w:val="Tabletext"/>
              <w:jc w:val="center"/>
            </w:pPr>
            <w:r w:rsidRPr="00BD69B7">
              <w:t>268.3</w:t>
            </w:r>
          </w:p>
        </w:tc>
      </w:tr>
      <w:tr w:rsidR="00BD69B7" w14:paraId="686D3C22" w14:textId="77777777" w:rsidTr="00BC0293">
        <w:trPr>
          <w:cantSplit/>
        </w:trPr>
        <w:tc>
          <w:tcPr>
            <w:tcW w:w="1701" w:type="dxa"/>
            <w:tcBorders>
              <w:top w:val="single" w:sz="4" w:space="0" w:color="auto"/>
              <w:left w:val="nil"/>
              <w:bottom w:val="single" w:sz="4" w:space="0" w:color="auto"/>
              <w:right w:val="nil"/>
            </w:tcBorders>
          </w:tcPr>
          <w:p w14:paraId="660BEE6E" w14:textId="77777777" w:rsidR="00BD69B7" w:rsidRPr="00C25B91" w:rsidRDefault="00BD69B7" w:rsidP="00BD69B7">
            <w:pPr>
              <w:pStyle w:val="Tabletext"/>
            </w:pPr>
            <w:r w:rsidRPr="00C25B91">
              <w:t>2011–12</w:t>
            </w:r>
          </w:p>
        </w:tc>
        <w:tc>
          <w:tcPr>
            <w:tcW w:w="2410" w:type="dxa"/>
            <w:tcBorders>
              <w:top w:val="single" w:sz="4" w:space="0" w:color="auto"/>
              <w:left w:val="nil"/>
              <w:bottom w:val="single" w:sz="4" w:space="0" w:color="auto"/>
              <w:right w:val="nil"/>
            </w:tcBorders>
          </w:tcPr>
          <w:p w14:paraId="72C6E87F" w14:textId="77777777" w:rsidR="00BD69B7" w:rsidRPr="00BD69B7" w:rsidRDefault="00BD69B7" w:rsidP="00BD69B7">
            <w:pPr>
              <w:pStyle w:val="Tabletext"/>
              <w:jc w:val="center"/>
            </w:pPr>
            <w:r w:rsidRPr="00BD69B7">
              <w:t>-</w:t>
            </w:r>
          </w:p>
        </w:tc>
        <w:tc>
          <w:tcPr>
            <w:tcW w:w="2551" w:type="dxa"/>
            <w:tcBorders>
              <w:top w:val="single" w:sz="4" w:space="0" w:color="auto"/>
              <w:left w:val="nil"/>
              <w:bottom w:val="single" w:sz="4" w:space="0" w:color="auto"/>
              <w:right w:val="nil"/>
            </w:tcBorders>
            <w:vAlign w:val="bottom"/>
          </w:tcPr>
          <w:p w14:paraId="53D2379D" w14:textId="77777777" w:rsidR="00BD69B7" w:rsidRPr="00BD69B7" w:rsidRDefault="00BD69B7" w:rsidP="00BD69B7">
            <w:pPr>
              <w:pStyle w:val="Tabletext"/>
              <w:jc w:val="center"/>
              <w:rPr>
                <w:i/>
              </w:rPr>
            </w:pPr>
            <w:r w:rsidRPr="00BD69B7">
              <w:t>64.7</w:t>
            </w:r>
          </w:p>
        </w:tc>
        <w:tc>
          <w:tcPr>
            <w:tcW w:w="2551" w:type="dxa"/>
            <w:tcBorders>
              <w:top w:val="single" w:sz="4" w:space="0" w:color="auto"/>
              <w:left w:val="nil"/>
              <w:bottom w:val="single" w:sz="4" w:space="0" w:color="auto"/>
              <w:right w:val="nil"/>
            </w:tcBorders>
            <w:vAlign w:val="bottom"/>
          </w:tcPr>
          <w:p w14:paraId="42AC5608" w14:textId="77777777" w:rsidR="00BD69B7" w:rsidRPr="00BD69B7" w:rsidRDefault="00BD69B7" w:rsidP="00BD69B7">
            <w:pPr>
              <w:pStyle w:val="Tabletext"/>
              <w:jc w:val="center"/>
            </w:pPr>
            <w:r w:rsidRPr="00BD69B7">
              <w:t>295.4</w:t>
            </w:r>
          </w:p>
        </w:tc>
      </w:tr>
      <w:tr w:rsidR="00BD69B7" w14:paraId="745B7512" w14:textId="77777777" w:rsidTr="00BC0293">
        <w:trPr>
          <w:cantSplit/>
        </w:trPr>
        <w:tc>
          <w:tcPr>
            <w:tcW w:w="1701" w:type="dxa"/>
            <w:tcBorders>
              <w:top w:val="single" w:sz="4" w:space="0" w:color="auto"/>
              <w:left w:val="nil"/>
              <w:bottom w:val="single" w:sz="4" w:space="0" w:color="auto"/>
              <w:right w:val="nil"/>
            </w:tcBorders>
          </w:tcPr>
          <w:p w14:paraId="41A8CC47" w14:textId="77777777" w:rsidR="00BD69B7" w:rsidRPr="00C25B91" w:rsidRDefault="00BD69B7" w:rsidP="00BD69B7">
            <w:pPr>
              <w:pStyle w:val="Tabletext"/>
            </w:pPr>
            <w:r w:rsidRPr="00C25B91">
              <w:t>2012–13</w:t>
            </w:r>
          </w:p>
        </w:tc>
        <w:tc>
          <w:tcPr>
            <w:tcW w:w="2410" w:type="dxa"/>
            <w:tcBorders>
              <w:top w:val="single" w:sz="4" w:space="0" w:color="auto"/>
              <w:left w:val="nil"/>
              <w:bottom w:val="single" w:sz="4" w:space="0" w:color="auto"/>
              <w:right w:val="nil"/>
            </w:tcBorders>
          </w:tcPr>
          <w:p w14:paraId="03B1972A" w14:textId="77777777" w:rsidR="00BD69B7" w:rsidRPr="00BD69B7" w:rsidRDefault="00BD69B7" w:rsidP="00BD69B7">
            <w:pPr>
              <w:pStyle w:val="Tabletext"/>
              <w:jc w:val="center"/>
            </w:pPr>
            <w:r w:rsidRPr="00BD69B7">
              <w:t>-</w:t>
            </w:r>
          </w:p>
        </w:tc>
        <w:tc>
          <w:tcPr>
            <w:tcW w:w="2551" w:type="dxa"/>
            <w:tcBorders>
              <w:top w:val="single" w:sz="4" w:space="0" w:color="auto"/>
              <w:left w:val="nil"/>
              <w:bottom w:val="single" w:sz="4" w:space="0" w:color="auto"/>
              <w:right w:val="nil"/>
            </w:tcBorders>
            <w:vAlign w:val="bottom"/>
          </w:tcPr>
          <w:p w14:paraId="4F00D1CA" w14:textId="77777777" w:rsidR="00BD69B7" w:rsidRPr="00BD69B7" w:rsidRDefault="00BD69B7" w:rsidP="00BD69B7">
            <w:pPr>
              <w:pStyle w:val="Tabletext"/>
              <w:jc w:val="center"/>
              <w:rPr>
                <w:i/>
              </w:rPr>
            </w:pPr>
            <w:r w:rsidRPr="00BD69B7">
              <w:t>67.9</w:t>
            </w:r>
          </w:p>
        </w:tc>
        <w:tc>
          <w:tcPr>
            <w:tcW w:w="2551" w:type="dxa"/>
            <w:tcBorders>
              <w:top w:val="single" w:sz="4" w:space="0" w:color="auto"/>
              <w:left w:val="nil"/>
              <w:bottom w:val="single" w:sz="4" w:space="0" w:color="auto"/>
              <w:right w:val="nil"/>
            </w:tcBorders>
            <w:vAlign w:val="bottom"/>
          </w:tcPr>
          <w:p w14:paraId="6D7D20AD" w14:textId="77777777" w:rsidR="00BD69B7" w:rsidRPr="00BD69B7" w:rsidRDefault="00BD69B7" w:rsidP="00BD69B7">
            <w:pPr>
              <w:pStyle w:val="Tabletext"/>
              <w:jc w:val="center"/>
            </w:pPr>
            <w:r w:rsidRPr="00BD69B7">
              <w:t>313.2</w:t>
            </w:r>
          </w:p>
        </w:tc>
      </w:tr>
      <w:tr w:rsidR="00BD69B7" w14:paraId="75EBE54F" w14:textId="77777777" w:rsidTr="00BC0293">
        <w:trPr>
          <w:cantSplit/>
        </w:trPr>
        <w:tc>
          <w:tcPr>
            <w:tcW w:w="1701" w:type="dxa"/>
            <w:tcBorders>
              <w:top w:val="single" w:sz="4" w:space="0" w:color="auto"/>
              <w:left w:val="nil"/>
              <w:bottom w:val="single" w:sz="4" w:space="0" w:color="auto"/>
              <w:right w:val="nil"/>
            </w:tcBorders>
          </w:tcPr>
          <w:p w14:paraId="73A726DA" w14:textId="77777777" w:rsidR="00BD69B7" w:rsidRPr="00C25B91" w:rsidRDefault="00BD69B7" w:rsidP="00BD69B7">
            <w:pPr>
              <w:pStyle w:val="Tabletext"/>
            </w:pPr>
            <w:r w:rsidRPr="00C25B91">
              <w:t>2013–14</w:t>
            </w:r>
          </w:p>
        </w:tc>
        <w:tc>
          <w:tcPr>
            <w:tcW w:w="2410" w:type="dxa"/>
            <w:tcBorders>
              <w:top w:val="single" w:sz="4" w:space="0" w:color="auto"/>
              <w:left w:val="nil"/>
              <w:bottom w:val="single" w:sz="4" w:space="0" w:color="auto"/>
              <w:right w:val="nil"/>
            </w:tcBorders>
          </w:tcPr>
          <w:p w14:paraId="6E8A6803" w14:textId="77777777" w:rsidR="00BD69B7" w:rsidRPr="00BD69B7" w:rsidRDefault="00BD69B7" w:rsidP="00BD69B7">
            <w:pPr>
              <w:pStyle w:val="Tabletext"/>
              <w:jc w:val="center"/>
            </w:pPr>
            <w:r w:rsidRPr="00BD69B7">
              <w:t>-</w:t>
            </w:r>
          </w:p>
        </w:tc>
        <w:tc>
          <w:tcPr>
            <w:tcW w:w="2551" w:type="dxa"/>
            <w:tcBorders>
              <w:top w:val="single" w:sz="4" w:space="0" w:color="auto"/>
              <w:left w:val="nil"/>
              <w:bottom w:val="single" w:sz="4" w:space="0" w:color="auto"/>
              <w:right w:val="nil"/>
            </w:tcBorders>
            <w:vAlign w:val="bottom"/>
          </w:tcPr>
          <w:p w14:paraId="4EC52DCE" w14:textId="77777777" w:rsidR="00BD69B7" w:rsidRPr="00BD69B7" w:rsidRDefault="00BD69B7" w:rsidP="00BD69B7">
            <w:pPr>
              <w:pStyle w:val="Tabletext"/>
              <w:jc w:val="center"/>
              <w:rPr>
                <w:i/>
              </w:rPr>
            </w:pPr>
            <w:r w:rsidRPr="00BD69B7">
              <w:t>75.1</w:t>
            </w:r>
          </w:p>
        </w:tc>
        <w:tc>
          <w:tcPr>
            <w:tcW w:w="2551" w:type="dxa"/>
            <w:tcBorders>
              <w:top w:val="single" w:sz="4" w:space="0" w:color="auto"/>
              <w:left w:val="nil"/>
              <w:bottom w:val="single" w:sz="4" w:space="0" w:color="auto"/>
              <w:right w:val="nil"/>
            </w:tcBorders>
            <w:vAlign w:val="bottom"/>
          </w:tcPr>
          <w:p w14:paraId="7D7B1545" w14:textId="77777777" w:rsidR="00BD69B7" w:rsidRPr="00BD69B7" w:rsidRDefault="00BD69B7" w:rsidP="00BD69B7">
            <w:pPr>
              <w:pStyle w:val="Tabletext"/>
              <w:jc w:val="center"/>
            </w:pPr>
            <w:r w:rsidRPr="00BD69B7">
              <w:t>353.0</w:t>
            </w:r>
          </w:p>
        </w:tc>
      </w:tr>
      <w:tr w:rsidR="00BD69B7" w14:paraId="08CDC28A" w14:textId="77777777" w:rsidTr="00BC0293">
        <w:trPr>
          <w:cantSplit/>
        </w:trPr>
        <w:tc>
          <w:tcPr>
            <w:tcW w:w="1701" w:type="dxa"/>
            <w:tcBorders>
              <w:top w:val="single" w:sz="4" w:space="0" w:color="auto"/>
              <w:left w:val="nil"/>
              <w:bottom w:val="single" w:sz="4" w:space="0" w:color="auto"/>
              <w:right w:val="nil"/>
            </w:tcBorders>
          </w:tcPr>
          <w:p w14:paraId="75C9019B" w14:textId="77777777" w:rsidR="00BD69B7" w:rsidRPr="00C25B91" w:rsidRDefault="00BD69B7" w:rsidP="00BD69B7">
            <w:pPr>
              <w:pStyle w:val="Tabletext"/>
            </w:pPr>
            <w:r w:rsidRPr="00C25B91">
              <w:t>2014–15</w:t>
            </w:r>
          </w:p>
        </w:tc>
        <w:tc>
          <w:tcPr>
            <w:tcW w:w="2410" w:type="dxa"/>
            <w:tcBorders>
              <w:top w:val="single" w:sz="4" w:space="0" w:color="auto"/>
              <w:left w:val="nil"/>
              <w:bottom w:val="single" w:sz="4" w:space="0" w:color="auto"/>
              <w:right w:val="nil"/>
            </w:tcBorders>
          </w:tcPr>
          <w:p w14:paraId="3B4F8587" w14:textId="77777777" w:rsidR="00BD69B7" w:rsidRPr="00BD69B7" w:rsidRDefault="00BD69B7" w:rsidP="00BD69B7">
            <w:pPr>
              <w:pStyle w:val="Tabletext"/>
              <w:jc w:val="center"/>
            </w:pPr>
            <w:r w:rsidRPr="00BD69B7">
              <w:t>-</w:t>
            </w:r>
          </w:p>
        </w:tc>
        <w:tc>
          <w:tcPr>
            <w:tcW w:w="2551" w:type="dxa"/>
            <w:tcBorders>
              <w:top w:val="single" w:sz="4" w:space="0" w:color="auto"/>
              <w:left w:val="nil"/>
              <w:bottom w:val="single" w:sz="4" w:space="0" w:color="auto"/>
              <w:right w:val="nil"/>
            </w:tcBorders>
            <w:vAlign w:val="bottom"/>
          </w:tcPr>
          <w:p w14:paraId="74C26D5F" w14:textId="77777777" w:rsidR="00BD69B7" w:rsidRPr="00BD69B7" w:rsidRDefault="00BD69B7" w:rsidP="00BD69B7">
            <w:pPr>
              <w:pStyle w:val="Tabletext"/>
              <w:jc w:val="center"/>
              <w:rPr>
                <w:i/>
              </w:rPr>
            </w:pPr>
            <w:r w:rsidRPr="00BD69B7">
              <w:t>80.5</w:t>
            </w:r>
          </w:p>
        </w:tc>
        <w:tc>
          <w:tcPr>
            <w:tcW w:w="2551" w:type="dxa"/>
            <w:tcBorders>
              <w:top w:val="single" w:sz="4" w:space="0" w:color="auto"/>
              <w:left w:val="nil"/>
              <w:bottom w:val="single" w:sz="4" w:space="0" w:color="auto"/>
              <w:right w:val="nil"/>
            </w:tcBorders>
            <w:vAlign w:val="bottom"/>
          </w:tcPr>
          <w:p w14:paraId="61EAD3D7" w14:textId="77777777" w:rsidR="00BD69B7" w:rsidRPr="00BD69B7" w:rsidRDefault="00BD69B7" w:rsidP="00BD69B7">
            <w:pPr>
              <w:pStyle w:val="Tabletext"/>
              <w:jc w:val="center"/>
            </w:pPr>
            <w:r w:rsidRPr="00BD69B7">
              <w:t>383.0</w:t>
            </w:r>
          </w:p>
        </w:tc>
      </w:tr>
      <w:tr w:rsidR="00BD69B7" w14:paraId="713F5911" w14:textId="77777777" w:rsidTr="00BC0293">
        <w:trPr>
          <w:cantSplit/>
        </w:trPr>
        <w:tc>
          <w:tcPr>
            <w:tcW w:w="1701" w:type="dxa"/>
            <w:tcBorders>
              <w:top w:val="single" w:sz="4" w:space="0" w:color="auto"/>
              <w:left w:val="nil"/>
              <w:bottom w:val="single" w:sz="18" w:space="0" w:color="auto"/>
              <w:right w:val="nil"/>
            </w:tcBorders>
          </w:tcPr>
          <w:p w14:paraId="58ACDD08" w14:textId="77777777" w:rsidR="00BD69B7" w:rsidRPr="00C25B91" w:rsidRDefault="00BD69B7" w:rsidP="00BD69B7">
            <w:pPr>
              <w:pStyle w:val="Tabletext"/>
            </w:pPr>
            <w:r w:rsidRPr="00C25B91">
              <w:t>2015–16</w:t>
            </w:r>
          </w:p>
        </w:tc>
        <w:tc>
          <w:tcPr>
            <w:tcW w:w="2410" w:type="dxa"/>
            <w:tcBorders>
              <w:top w:val="single" w:sz="4" w:space="0" w:color="auto"/>
              <w:left w:val="nil"/>
              <w:bottom w:val="single" w:sz="18" w:space="0" w:color="auto"/>
              <w:right w:val="nil"/>
            </w:tcBorders>
          </w:tcPr>
          <w:p w14:paraId="7AA85EE2" w14:textId="77777777" w:rsidR="00BD69B7" w:rsidRPr="00BD69B7" w:rsidRDefault="00BD69B7" w:rsidP="00BD69B7">
            <w:pPr>
              <w:pStyle w:val="Tabletext"/>
              <w:jc w:val="center"/>
            </w:pPr>
            <w:r w:rsidRPr="00BD69B7">
              <w:t>-</w:t>
            </w:r>
          </w:p>
        </w:tc>
        <w:tc>
          <w:tcPr>
            <w:tcW w:w="2551" w:type="dxa"/>
            <w:tcBorders>
              <w:top w:val="single" w:sz="4" w:space="0" w:color="auto"/>
              <w:left w:val="nil"/>
              <w:bottom w:val="single" w:sz="18" w:space="0" w:color="auto"/>
              <w:right w:val="nil"/>
            </w:tcBorders>
            <w:vAlign w:val="bottom"/>
          </w:tcPr>
          <w:p w14:paraId="284D0248" w14:textId="77777777" w:rsidR="00BD69B7" w:rsidRPr="00BD69B7" w:rsidRDefault="00BD69B7" w:rsidP="00BD69B7">
            <w:pPr>
              <w:pStyle w:val="Tabletext"/>
              <w:jc w:val="center"/>
            </w:pPr>
            <w:r w:rsidRPr="00BD69B7">
              <w:t>-</w:t>
            </w:r>
          </w:p>
        </w:tc>
        <w:tc>
          <w:tcPr>
            <w:tcW w:w="2551" w:type="dxa"/>
            <w:tcBorders>
              <w:top w:val="single" w:sz="4" w:space="0" w:color="auto"/>
              <w:left w:val="nil"/>
              <w:bottom w:val="single" w:sz="18" w:space="0" w:color="auto"/>
              <w:right w:val="nil"/>
            </w:tcBorders>
            <w:vAlign w:val="bottom"/>
          </w:tcPr>
          <w:p w14:paraId="2D5D5980" w14:textId="77777777" w:rsidR="00BD69B7" w:rsidRPr="00BD69B7" w:rsidRDefault="00BD69B7" w:rsidP="00BD69B7">
            <w:pPr>
              <w:pStyle w:val="Tabletext"/>
              <w:jc w:val="center"/>
            </w:pPr>
            <w:r w:rsidRPr="00BD69B7">
              <w:t>-</w:t>
            </w:r>
          </w:p>
        </w:tc>
      </w:tr>
    </w:tbl>
    <w:p w14:paraId="2648CBA7" w14:textId="77777777" w:rsidR="00BD69B7" w:rsidRDefault="00BD69B7" w:rsidP="00BD69B7">
      <w:pPr>
        <w:spacing w:after="160" w:line="256" w:lineRule="auto"/>
      </w:pPr>
    </w:p>
    <w:p w14:paraId="51B97D7D" w14:textId="2B83B81C" w:rsidR="005D1423" w:rsidRDefault="005E066F" w:rsidP="00BD69B7">
      <w:r>
        <w:t>Figure 1</w:t>
      </w:r>
      <w:r w:rsidR="00BD69B7" w:rsidRPr="00523164">
        <w:t xml:space="preserve"> shows the relationship between AMPAG and </w:t>
      </w:r>
      <w:proofErr w:type="spellStart"/>
      <w:r w:rsidR="00BD69B7" w:rsidRPr="00523164">
        <w:t>AbaF</w:t>
      </w:r>
      <w:proofErr w:type="spellEnd"/>
      <w:r w:rsidR="00BD69B7" w:rsidRPr="00523164">
        <w:t xml:space="preserve"> values (red dots) and the linear model based on this relationship (dark blue line). The 95 per cent confidence and prediction intervals (inner green dashed and outer orange dotted lines, respectively) fan out illustrating where the true results may lie with 95 per cent certainty.</w:t>
      </w:r>
    </w:p>
    <w:p w14:paraId="54100A9D" w14:textId="77777777" w:rsidR="00A73082" w:rsidRPr="00523164" w:rsidRDefault="00A73082" w:rsidP="00A73082">
      <w:pPr>
        <w:pStyle w:val="Figureheading"/>
      </w:pPr>
      <w:bookmarkStart w:id="37" w:name="_Toc486587617"/>
      <w:r w:rsidRPr="00523164">
        <w:t xml:space="preserve">Figure </w:t>
      </w:r>
      <w:fldSimple w:instr=" SEQ Figure \* ARABIC ">
        <w:r w:rsidR="00ED08CC">
          <w:rPr>
            <w:noProof/>
          </w:rPr>
          <w:t>1</w:t>
        </w:r>
      </w:fldSimple>
      <w:r w:rsidRPr="00523164">
        <w:t xml:space="preserve">. </w:t>
      </w:r>
      <w:r>
        <w:t>AMPAG—</w:t>
      </w:r>
      <w:proofErr w:type="spellStart"/>
      <w:r>
        <w:t>AbaF</w:t>
      </w:r>
      <w:proofErr w:type="spellEnd"/>
      <w:r>
        <w:t xml:space="preserve"> linear model with confidence and prediction intervals</w:t>
      </w:r>
      <w:bookmarkEnd w:id="37"/>
    </w:p>
    <w:p w14:paraId="0673F996" w14:textId="77777777" w:rsidR="00BD69B7" w:rsidRDefault="00BD69B7" w:rsidP="00BD69B7">
      <w:r w:rsidRPr="00A51FB3">
        <w:rPr>
          <w:noProof/>
          <w:lang w:eastAsia="zh-TW" w:bidi="hi-IN"/>
        </w:rPr>
        <w:drawing>
          <wp:inline distT="0" distB="0" distL="0" distR="0" wp14:anchorId="30C4878E" wp14:editId="7E91180A">
            <wp:extent cx="5731340" cy="3606569"/>
            <wp:effectExtent l="0" t="0" r="3175" b="0"/>
            <wp:docPr id="37" name="Picture 37" descr="This is a regression line chart showing AbaF estimates rise as AMPAG rises. It is an illustration of figures presented in Table 2. The starting points are $111.6 million for AbaF and $30.3 million for AMPAG in financial year 2001–02; which then rise to estimates of $383 million for AbaF as AMPAG value reaches $80.5 million in financial year 2014–15. The measures are in millions of Australian dollars. The chart also presents upper and lower confidence and prediction intervals, which widen from 2010–11 financial year values onwards, illustrating that the accuracy of the predictions for each year are continuously reducing as the prediction years grow more distant from 2010-11. " title="Figure 1. AMPAG—AbaF linear model with confidence and prediction interva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Downloads\Figure 1. AMPAG - Total estimates (2).jpeg"/>
                    <pic:cNvPicPr>
                      <a:picLocks noChangeAspect="1" noChangeArrowheads="1"/>
                    </pic:cNvPicPr>
                  </pic:nvPicPr>
                  <pic:blipFill rotWithShape="1">
                    <a:blip r:embed="rId23">
                      <a:extLst>
                        <a:ext uri="{28A0092B-C50C-407E-A947-70E740481C1C}">
                          <a14:useLocalDpi xmlns:a14="http://schemas.microsoft.com/office/drawing/2010/main" val="0"/>
                        </a:ext>
                      </a:extLst>
                    </a:blip>
                    <a:srcRect/>
                    <a:stretch/>
                  </pic:blipFill>
                  <pic:spPr bwMode="auto">
                    <a:xfrm>
                      <a:off x="0" y="0"/>
                      <a:ext cx="5731510" cy="3606676"/>
                    </a:xfrm>
                    <a:prstGeom prst="rect">
                      <a:avLst/>
                    </a:prstGeom>
                    <a:noFill/>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inline>
        </w:drawing>
      </w:r>
    </w:p>
    <w:p w14:paraId="2A3AAD16" w14:textId="77777777" w:rsidR="00BD69B7" w:rsidRDefault="00BD69B7">
      <w:pPr>
        <w:spacing w:after="160" w:line="259" w:lineRule="auto"/>
      </w:pPr>
      <w:r>
        <w:br w:type="page"/>
      </w:r>
    </w:p>
    <w:p w14:paraId="280EE44F" w14:textId="77777777" w:rsidR="005D1423" w:rsidRDefault="00BD69B7" w:rsidP="00BD69B7">
      <w:pPr>
        <w:pStyle w:val="Heading3"/>
      </w:pPr>
      <w:bookmarkStart w:id="38" w:name="_Toc468868235"/>
      <w:bookmarkStart w:id="39" w:name="_Toc486261303"/>
      <w:bookmarkStart w:id="40" w:name="_Toc486319724"/>
      <w:r w:rsidRPr="00523164">
        <w:t xml:space="preserve">Model 3. GOS data projections of </w:t>
      </w:r>
      <w:proofErr w:type="spellStart"/>
      <w:r w:rsidRPr="00523164">
        <w:t>AbaF</w:t>
      </w:r>
      <w:proofErr w:type="spellEnd"/>
      <w:r w:rsidRPr="00523164">
        <w:t xml:space="preserve"> estimates</w:t>
      </w:r>
      <w:bookmarkEnd w:id="38"/>
      <w:bookmarkEnd w:id="39"/>
      <w:bookmarkEnd w:id="40"/>
    </w:p>
    <w:p w14:paraId="5E5970D5" w14:textId="64EAE874" w:rsidR="005D1423" w:rsidRDefault="00BD69B7" w:rsidP="00BD69B7">
      <w:r w:rsidRPr="00523164">
        <w:t>Historically, it has been suggested that literature investigating business giving for artistic and cultural activities is sparse</w:t>
      </w:r>
      <w:r w:rsidRPr="00991DF4">
        <w:rPr>
          <w:vertAlign w:val="superscript"/>
        </w:rPr>
        <w:endnoteReference w:id="8"/>
      </w:r>
      <w:r w:rsidRPr="00523164">
        <w:t>. In this context, some articles posit that business giving is linked to profits</w:t>
      </w:r>
      <w:r w:rsidRPr="005B4B7C">
        <w:rPr>
          <w:vertAlign w:val="superscript"/>
        </w:rPr>
        <w:endnoteReference w:id="9"/>
      </w:r>
      <w:r w:rsidRPr="005B4B7C">
        <w:rPr>
          <w:vertAlign w:val="superscript"/>
        </w:rPr>
        <w:t>,</w:t>
      </w:r>
      <w:r w:rsidRPr="005B4B7C">
        <w:rPr>
          <w:vertAlign w:val="superscript"/>
        </w:rPr>
        <w:endnoteReference w:id="10"/>
      </w:r>
      <w:r w:rsidRPr="00523164">
        <w:t>. This paper includes GOS, a measure of business profitability, as one of the potential determinants in estimating overall contributions of the private sector to the arts. GOS is reported by the ABS in the Australian System of National Accounts (cat. no. 5204.0 Table 7).</w:t>
      </w:r>
    </w:p>
    <w:p w14:paraId="284A75D2" w14:textId="77777777" w:rsidR="00BD69B7" w:rsidRPr="00523164" w:rsidRDefault="00BD69B7" w:rsidP="00BD69B7">
      <w:r w:rsidRPr="00523164">
        <w:t xml:space="preserve">GOS used as a predictor in a linear relationship model was found to be significant (p &lt; 0.001), with strong prediction levels (R2 adjusted = 0.9704) (see Appendix 6). This provided average total estimates as outlined in </w:t>
      </w:r>
      <w:r w:rsidRPr="00523164">
        <w:fldChar w:fldCharType="begin"/>
      </w:r>
      <w:r w:rsidRPr="00523164">
        <w:instrText xml:space="preserve"> REF _Ref468882445 \h  \* MERGEFORMAT </w:instrText>
      </w:r>
      <w:r w:rsidRPr="00523164">
        <w:fldChar w:fldCharType="separate"/>
      </w:r>
      <w:r w:rsidR="00ED08CC" w:rsidRPr="00523164">
        <w:t xml:space="preserve">Table </w:t>
      </w:r>
      <w:r w:rsidR="00ED08CC">
        <w:t>3</w:t>
      </w:r>
      <w:r w:rsidRPr="00523164">
        <w:fldChar w:fldCharType="end"/>
      </w:r>
      <w:r w:rsidRPr="00523164">
        <w:t>.</w:t>
      </w:r>
    </w:p>
    <w:p w14:paraId="4B96B5FB" w14:textId="77777777" w:rsidR="00BD69B7" w:rsidRPr="00523164" w:rsidRDefault="00BD69B7" w:rsidP="00BD69B7">
      <w:pPr>
        <w:pStyle w:val="Tablefigureheading"/>
      </w:pPr>
      <w:bookmarkStart w:id="41" w:name="_Ref468882445"/>
      <w:bookmarkStart w:id="42" w:name="_Ref468882439"/>
      <w:bookmarkStart w:id="43" w:name="_Toc486587629"/>
      <w:r w:rsidRPr="00523164">
        <w:t xml:space="preserve">Table </w:t>
      </w:r>
      <w:fldSimple w:instr=" SEQ Table \* ARABIC ">
        <w:r w:rsidR="00ED08CC">
          <w:rPr>
            <w:noProof/>
          </w:rPr>
          <w:t>3</w:t>
        </w:r>
      </w:fldSimple>
      <w:bookmarkEnd w:id="41"/>
      <w:r w:rsidRPr="00523164">
        <w:t xml:space="preserve">. GOS data projections of </w:t>
      </w:r>
      <w:proofErr w:type="spellStart"/>
      <w:r w:rsidRPr="00523164">
        <w:t>AbaF</w:t>
      </w:r>
      <w:proofErr w:type="spellEnd"/>
      <w:r w:rsidRPr="00523164">
        <w:t xml:space="preserve"> estimates</w:t>
      </w:r>
      <w:bookmarkEnd w:id="42"/>
      <w:bookmarkEnd w:id="43"/>
    </w:p>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CellMar>
          <w:top w:w="57" w:type="dxa"/>
          <w:bottom w:w="57" w:type="dxa"/>
        </w:tblCellMar>
        <w:tblLook w:val="04A0" w:firstRow="1" w:lastRow="0" w:firstColumn="1" w:lastColumn="0" w:noHBand="0" w:noVBand="1"/>
        <w:tblDescription w:val="Table 3. GOS data projections of AbaF estimates"/>
      </w:tblPr>
      <w:tblGrid>
        <w:gridCol w:w="1676"/>
        <w:gridCol w:w="2355"/>
        <w:gridCol w:w="2492"/>
        <w:gridCol w:w="2503"/>
      </w:tblGrid>
      <w:tr w:rsidR="00BD69B7" w14:paraId="7913FBF2" w14:textId="77777777" w:rsidTr="00BC0293">
        <w:trPr>
          <w:cantSplit/>
          <w:tblHeader/>
        </w:trPr>
        <w:tc>
          <w:tcPr>
            <w:tcW w:w="1701" w:type="dxa"/>
            <w:tcBorders>
              <w:top w:val="nil"/>
              <w:left w:val="nil"/>
              <w:bottom w:val="thickThinLargeGap" w:sz="24" w:space="0" w:color="auto"/>
              <w:right w:val="nil"/>
            </w:tcBorders>
            <w:shd w:val="clear" w:color="auto" w:fill="113652"/>
          </w:tcPr>
          <w:p w14:paraId="6FD03CF7" w14:textId="77777777" w:rsidR="00BD69B7" w:rsidRDefault="00BD69B7" w:rsidP="00BD69B7">
            <w:pPr>
              <w:pStyle w:val="Tableheading"/>
            </w:pPr>
            <w:r>
              <w:t>Financial year</w:t>
            </w:r>
          </w:p>
        </w:tc>
        <w:tc>
          <w:tcPr>
            <w:tcW w:w="2410" w:type="dxa"/>
            <w:tcBorders>
              <w:top w:val="nil"/>
              <w:left w:val="nil"/>
              <w:bottom w:val="thickThinLargeGap" w:sz="24" w:space="0" w:color="auto"/>
              <w:right w:val="nil"/>
            </w:tcBorders>
            <w:shd w:val="clear" w:color="auto" w:fill="113652"/>
          </w:tcPr>
          <w:p w14:paraId="22BFC751" w14:textId="77777777" w:rsidR="00BD69B7" w:rsidRDefault="00BD69B7" w:rsidP="00BD69B7">
            <w:pPr>
              <w:pStyle w:val="Tableheading"/>
            </w:pPr>
            <w:proofErr w:type="spellStart"/>
            <w:r>
              <w:t>AbaF</w:t>
            </w:r>
            <w:proofErr w:type="spellEnd"/>
            <w:r>
              <w:t xml:space="preserve"> ($ million)</w:t>
            </w:r>
          </w:p>
        </w:tc>
        <w:tc>
          <w:tcPr>
            <w:tcW w:w="2551" w:type="dxa"/>
            <w:tcBorders>
              <w:top w:val="nil"/>
              <w:left w:val="nil"/>
              <w:bottom w:val="thickThinLargeGap" w:sz="24" w:space="0" w:color="auto"/>
              <w:right w:val="nil"/>
            </w:tcBorders>
            <w:shd w:val="clear" w:color="auto" w:fill="113652"/>
          </w:tcPr>
          <w:p w14:paraId="324E445F" w14:textId="77777777" w:rsidR="00BD69B7" w:rsidRPr="002C1454" w:rsidRDefault="00BD69B7" w:rsidP="00BD69B7">
            <w:pPr>
              <w:pStyle w:val="Tableheading"/>
              <w:jc w:val="center"/>
            </w:pPr>
            <w:r w:rsidRPr="002C1454">
              <w:t xml:space="preserve">GOS </w:t>
            </w:r>
            <w:r>
              <w:t>($ million)</w:t>
            </w:r>
          </w:p>
        </w:tc>
        <w:tc>
          <w:tcPr>
            <w:tcW w:w="2551" w:type="dxa"/>
            <w:tcBorders>
              <w:top w:val="nil"/>
              <w:left w:val="nil"/>
              <w:bottom w:val="thickThinLargeGap" w:sz="24" w:space="0" w:color="auto"/>
              <w:right w:val="nil"/>
            </w:tcBorders>
            <w:shd w:val="clear" w:color="auto" w:fill="113652"/>
          </w:tcPr>
          <w:p w14:paraId="7FA1B119" w14:textId="77777777" w:rsidR="00BD69B7" w:rsidRPr="002C1454" w:rsidRDefault="00BD69B7" w:rsidP="00BD69B7">
            <w:pPr>
              <w:pStyle w:val="Tableheading"/>
              <w:jc w:val="center"/>
            </w:pPr>
            <w:proofErr w:type="spellStart"/>
            <w:r w:rsidRPr="002C1454">
              <w:t>A</w:t>
            </w:r>
            <w:r>
              <w:t>baF</w:t>
            </w:r>
            <w:proofErr w:type="spellEnd"/>
            <w:r>
              <w:t xml:space="preserve"> </w:t>
            </w:r>
            <w:r w:rsidRPr="002C1454">
              <w:t xml:space="preserve">average projections on GOS </w:t>
            </w:r>
            <w:r>
              <w:br/>
              <w:t>($ million)</w:t>
            </w:r>
          </w:p>
        </w:tc>
      </w:tr>
      <w:tr w:rsidR="00BD69B7" w14:paraId="73671E8D" w14:textId="77777777" w:rsidTr="00BC0293">
        <w:trPr>
          <w:cantSplit/>
        </w:trPr>
        <w:tc>
          <w:tcPr>
            <w:tcW w:w="1701" w:type="dxa"/>
            <w:tcBorders>
              <w:top w:val="thickThinLargeGap" w:sz="24" w:space="0" w:color="auto"/>
              <w:left w:val="nil"/>
              <w:bottom w:val="single" w:sz="4" w:space="0" w:color="auto"/>
              <w:right w:val="nil"/>
            </w:tcBorders>
          </w:tcPr>
          <w:p w14:paraId="0EB57A76" w14:textId="77777777" w:rsidR="00BD69B7" w:rsidRPr="00C25B91" w:rsidRDefault="00BD69B7" w:rsidP="00BD69B7">
            <w:pPr>
              <w:pStyle w:val="Tabletext"/>
            </w:pPr>
            <w:r w:rsidRPr="00C25B91">
              <w:t>2001–02</w:t>
            </w:r>
          </w:p>
        </w:tc>
        <w:tc>
          <w:tcPr>
            <w:tcW w:w="2410" w:type="dxa"/>
            <w:tcBorders>
              <w:top w:val="thickThinLargeGap" w:sz="24" w:space="0" w:color="auto"/>
              <w:left w:val="nil"/>
              <w:bottom w:val="single" w:sz="4" w:space="0" w:color="auto"/>
              <w:right w:val="nil"/>
            </w:tcBorders>
          </w:tcPr>
          <w:p w14:paraId="6327CAF8" w14:textId="77777777" w:rsidR="00BD69B7" w:rsidRPr="002C1454" w:rsidRDefault="00BD69B7" w:rsidP="00BC0293">
            <w:pPr>
              <w:pStyle w:val="Tabletext"/>
              <w:jc w:val="center"/>
            </w:pPr>
            <w:r>
              <w:t>111.6</w:t>
            </w:r>
          </w:p>
        </w:tc>
        <w:tc>
          <w:tcPr>
            <w:tcW w:w="2551" w:type="dxa"/>
            <w:tcBorders>
              <w:top w:val="thickThinLargeGap" w:sz="24" w:space="0" w:color="auto"/>
              <w:left w:val="nil"/>
              <w:bottom w:val="single" w:sz="4" w:space="0" w:color="auto"/>
              <w:right w:val="nil"/>
            </w:tcBorders>
            <w:vAlign w:val="bottom"/>
          </w:tcPr>
          <w:p w14:paraId="08A27E96" w14:textId="77777777" w:rsidR="00BD69B7" w:rsidRPr="002C1454" w:rsidRDefault="00BD69B7" w:rsidP="00BC0293">
            <w:pPr>
              <w:pStyle w:val="Tabletext"/>
              <w:jc w:val="center"/>
              <w:rPr>
                <w:i/>
              </w:rPr>
            </w:pPr>
            <w:r>
              <w:t>235,035</w:t>
            </w:r>
          </w:p>
        </w:tc>
        <w:tc>
          <w:tcPr>
            <w:tcW w:w="2551" w:type="dxa"/>
            <w:tcBorders>
              <w:top w:val="thickThinLargeGap" w:sz="24" w:space="0" w:color="auto"/>
              <w:left w:val="nil"/>
              <w:bottom w:val="single" w:sz="4" w:space="0" w:color="auto"/>
              <w:right w:val="nil"/>
            </w:tcBorders>
          </w:tcPr>
          <w:p w14:paraId="5CDF08F2" w14:textId="77777777" w:rsidR="00BD69B7" w:rsidRPr="002C1454" w:rsidRDefault="00BD69B7" w:rsidP="00BC0293">
            <w:pPr>
              <w:pStyle w:val="Tabletext"/>
              <w:jc w:val="center"/>
            </w:pPr>
            <w:r>
              <w:t>-</w:t>
            </w:r>
          </w:p>
        </w:tc>
      </w:tr>
      <w:tr w:rsidR="00BD69B7" w14:paraId="65A8D6EA" w14:textId="77777777" w:rsidTr="00BC0293">
        <w:trPr>
          <w:cantSplit/>
        </w:trPr>
        <w:tc>
          <w:tcPr>
            <w:tcW w:w="1701" w:type="dxa"/>
            <w:tcBorders>
              <w:top w:val="single" w:sz="4" w:space="0" w:color="auto"/>
              <w:left w:val="nil"/>
              <w:bottom w:val="single" w:sz="4" w:space="0" w:color="auto"/>
              <w:right w:val="nil"/>
            </w:tcBorders>
          </w:tcPr>
          <w:p w14:paraId="560C03FA" w14:textId="77777777" w:rsidR="00BD69B7" w:rsidRPr="00C25B91" w:rsidRDefault="00BD69B7" w:rsidP="00BD69B7">
            <w:pPr>
              <w:pStyle w:val="Tabletext"/>
            </w:pPr>
            <w:r w:rsidRPr="00C25B91">
              <w:t>2002–03</w:t>
            </w:r>
          </w:p>
        </w:tc>
        <w:tc>
          <w:tcPr>
            <w:tcW w:w="2410" w:type="dxa"/>
            <w:tcBorders>
              <w:top w:val="single" w:sz="4" w:space="0" w:color="auto"/>
              <w:left w:val="nil"/>
              <w:bottom w:val="single" w:sz="4" w:space="0" w:color="auto"/>
              <w:right w:val="nil"/>
            </w:tcBorders>
          </w:tcPr>
          <w:p w14:paraId="2601784C" w14:textId="77777777" w:rsidR="00BD69B7" w:rsidRPr="002C1454" w:rsidRDefault="00BD69B7" w:rsidP="00BC0293">
            <w:pPr>
              <w:pStyle w:val="Tabletext"/>
              <w:jc w:val="center"/>
            </w:pPr>
            <w:r>
              <w:t>120.7</w:t>
            </w:r>
          </w:p>
        </w:tc>
        <w:tc>
          <w:tcPr>
            <w:tcW w:w="2551" w:type="dxa"/>
            <w:tcBorders>
              <w:top w:val="single" w:sz="4" w:space="0" w:color="auto"/>
              <w:left w:val="nil"/>
              <w:bottom w:val="single" w:sz="4" w:space="0" w:color="auto"/>
              <w:right w:val="nil"/>
            </w:tcBorders>
            <w:vAlign w:val="bottom"/>
          </w:tcPr>
          <w:p w14:paraId="2170B35C" w14:textId="77777777" w:rsidR="00BD69B7" w:rsidRPr="002C1454" w:rsidRDefault="00BD69B7" w:rsidP="00BC0293">
            <w:pPr>
              <w:pStyle w:val="Tabletext"/>
              <w:jc w:val="center"/>
              <w:rPr>
                <w:i/>
              </w:rPr>
            </w:pPr>
            <w:r>
              <w:t>257,010</w:t>
            </w:r>
          </w:p>
        </w:tc>
        <w:tc>
          <w:tcPr>
            <w:tcW w:w="2551" w:type="dxa"/>
            <w:tcBorders>
              <w:top w:val="single" w:sz="4" w:space="0" w:color="auto"/>
              <w:left w:val="nil"/>
              <w:bottom w:val="single" w:sz="4" w:space="0" w:color="auto"/>
              <w:right w:val="nil"/>
            </w:tcBorders>
          </w:tcPr>
          <w:p w14:paraId="7B9D894A" w14:textId="77777777" w:rsidR="00BD69B7" w:rsidRPr="002C1454" w:rsidRDefault="00BD69B7" w:rsidP="00BC0293">
            <w:pPr>
              <w:pStyle w:val="Tabletext"/>
              <w:jc w:val="center"/>
            </w:pPr>
            <w:r>
              <w:t>-</w:t>
            </w:r>
          </w:p>
        </w:tc>
      </w:tr>
      <w:tr w:rsidR="00BD69B7" w14:paraId="32F58391" w14:textId="77777777" w:rsidTr="00BC0293">
        <w:trPr>
          <w:cantSplit/>
        </w:trPr>
        <w:tc>
          <w:tcPr>
            <w:tcW w:w="1701" w:type="dxa"/>
            <w:tcBorders>
              <w:top w:val="single" w:sz="4" w:space="0" w:color="auto"/>
              <w:left w:val="nil"/>
              <w:bottom w:val="single" w:sz="4" w:space="0" w:color="auto"/>
              <w:right w:val="nil"/>
            </w:tcBorders>
          </w:tcPr>
          <w:p w14:paraId="1949B2BD" w14:textId="77777777" w:rsidR="00BD69B7" w:rsidRPr="00C25B91" w:rsidRDefault="00BD69B7" w:rsidP="00BD69B7">
            <w:pPr>
              <w:pStyle w:val="Tabletext"/>
            </w:pPr>
            <w:r w:rsidRPr="00C25B91">
              <w:t>2003–04</w:t>
            </w:r>
          </w:p>
        </w:tc>
        <w:tc>
          <w:tcPr>
            <w:tcW w:w="2410" w:type="dxa"/>
            <w:tcBorders>
              <w:top w:val="single" w:sz="4" w:space="0" w:color="auto"/>
              <w:left w:val="nil"/>
              <w:bottom w:val="single" w:sz="4" w:space="0" w:color="auto"/>
              <w:right w:val="nil"/>
            </w:tcBorders>
          </w:tcPr>
          <w:p w14:paraId="3B5ACD6F" w14:textId="77777777" w:rsidR="00BD69B7" w:rsidRPr="002C1454" w:rsidRDefault="00BD69B7" w:rsidP="00BC0293">
            <w:pPr>
              <w:pStyle w:val="Tabletext"/>
              <w:jc w:val="center"/>
            </w:pPr>
            <w:r>
              <w:t>127.0</w:t>
            </w:r>
          </w:p>
        </w:tc>
        <w:tc>
          <w:tcPr>
            <w:tcW w:w="2551" w:type="dxa"/>
            <w:tcBorders>
              <w:top w:val="single" w:sz="4" w:space="0" w:color="auto"/>
              <w:left w:val="nil"/>
              <w:bottom w:val="single" w:sz="4" w:space="0" w:color="auto"/>
              <w:right w:val="nil"/>
            </w:tcBorders>
            <w:vAlign w:val="bottom"/>
          </w:tcPr>
          <w:p w14:paraId="2587EDD2" w14:textId="77777777" w:rsidR="00BD69B7" w:rsidRPr="002C1454" w:rsidRDefault="00BD69B7" w:rsidP="00BC0293">
            <w:pPr>
              <w:pStyle w:val="Tabletext"/>
              <w:jc w:val="center"/>
              <w:rPr>
                <w:i/>
              </w:rPr>
            </w:pPr>
            <w:r>
              <w:t>274,911</w:t>
            </w:r>
          </w:p>
        </w:tc>
        <w:tc>
          <w:tcPr>
            <w:tcW w:w="2551" w:type="dxa"/>
            <w:tcBorders>
              <w:top w:val="single" w:sz="4" w:space="0" w:color="auto"/>
              <w:left w:val="nil"/>
              <w:bottom w:val="single" w:sz="4" w:space="0" w:color="auto"/>
              <w:right w:val="nil"/>
            </w:tcBorders>
          </w:tcPr>
          <w:p w14:paraId="6ABB6A9A" w14:textId="77777777" w:rsidR="00BD69B7" w:rsidRPr="002C1454" w:rsidRDefault="00BD69B7" w:rsidP="00BC0293">
            <w:pPr>
              <w:pStyle w:val="Tabletext"/>
              <w:jc w:val="center"/>
            </w:pPr>
            <w:r>
              <w:t>-</w:t>
            </w:r>
          </w:p>
        </w:tc>
      </w:tr>
      <w:tr w:rsidR="00BD69B7" w14:paraId="75BF0D62" w14:textId="77777777" w:rsidTr="00BC0293">
        <w:trPr>
          <w:cantSplit/>
        </w:trPr>
        <w:tc>
          <w:tcPr>
            <w:tcW w:w="1701" w:type="dxa"/>
            <w:tcBorders>
              <w:top w:val="single" w:sz="4" w:space="0" w:color="auto"/>
              <w:left w:val="nil"/>
              <w:bottom w:val="single" w:sz="4" w:space="0" w:color="auto"/>
              <w:right w:val="nil"/>
            </w:tcBorders>
          </w:tcPr>
          <w:p w14:paraId="0FC5218D" w14:textId="77777777" w:rsidR="00BD69B7" w:rsidRPr="00C25B91" w:rsidRDefault="00BD69B7" w:rsidP="00BD69B7">
            <w:pPr>
              <w:pStyle w:val="Tabletext"/>
            </w:pPr>
            <w:r w:rsidRPr="00C25B91">
              <w:t>2004–05</w:t>
            </w:r>
          </w:p>
        </w:tc>
        <w:tc>
          <w:tcPr>
            <w:tcW w:w="2410" w:type="dxa"/>
            <w:tcBorders>
              <w:top w:val="single" w:sz="4" w:space="0" w:color="auto"/>
              <w:left w:val="nil"/>
              <w:bottom w:val="single" w:sz="4" w:space="0" w:color="auto"/>
              <w:right w:val="nil"/>
            </w:tcBorders>
          </w:tcPr>
          <w:p w14:paraId="18A4E9D4" w14:textId="77777777" w:rsidR="00BD69B7" w:rsidRPr="002C1454" w:rsidRDefault="00BD69B7" w:rsidP="00BC0293">
            <w:pPr>
              <w:pStyle w:val="Tabletext"/>
              <w:jc w:val="center"/>
            </w:pPr>
            <w:r>
              <w:t>138.2</w:t>
            </w:r>
          </w:p>
        </w:tc>
        <w:tc>
          <w:tcPr>
            <w:tcW w:w="2551" w:type="dxa"/>
            <w:tcBorders>
              <w:top w:val="single" w:sz="4" w:space="0" w:color="auto"/>
              <w:left w:val="nil"/>
              <w:bottom w:val="single" w:sz="4" w:space="0" w:color="auto"/>
              <w:right w:val="nil"/>
            </w:tcBorders>
            <w:vAlign w:val="bottom"/>
          </w:tcPr>
          <w:p w14:paraId="09AB280F" w14:textId="77777777" w:rsidR="00BD69B7" w:rsidRPr="002C1454" w:rsidRDefault="00BD69B7" w:rsidP="00BC0293">
            <w:pPr>
              <w:pStyle w:val="Tabletext"/>
              <w:jc w:val="center"/>
              <w:rPr>
                <w:i/>
              </w:rPr>
            </w:pPr>
            <w:r>
              <w:t>292,590</w:t>
            </w:r>
          </w:p>
        </w:tc>
        <w:tc>
          <w:tcPr>
            <w:tcW w:w="2551" w:type="dxa"/>
            <w:tcBorders>
              <w:top w:val="single" w:sz="4" w:space="0" w:color="auto"/>
              <w:left w:val="nil"/>
              <w:bottom w:val="single" w:sz="4" w:space="0" w:color="auto"/>
              <w:right w:val="nil"/>
            </w:tcBorders>
          </w:tcPr>
          <w:p w14:paraId="062C8A37" w14:textId="77777777" w:rsidR="00BD69B7" w:rsidRPr="002C1454" w:rsidRDefault="00BD69B7" w:rsidP="00BC0293">
            <w:pPr>
              <w:pStyle w:val="Tabletext"/>
              <w:jc w:val="center"/>
            </w:pPr>
            <w:r>
              <w:t>-</w:t>
            </w:r>
          </w:p>
        </w:tc>
      </w:tr>
      <w:tr w:rsidR="00BD69B7" w14:paraId="3B02091A" w14:textId="77777777" w:rsidTr="00BC0293">
        <w:trPr>
          <w:cantSplit/>
        </w:trPr>
        <w:tc>
          <w:tcPr>
            <w:tcW w:w="1701" w:type="dxa"/>
            <w:tcBorders>
              <w:top w:val="single" w:sz="4" w:space="0" w:color="auto"/>
              <w:left w:val="nil"/>
              <w:bottom w:val="single" w:sz="4" w:space="0" w:color="auto"/>
              <w:right w:val="nil"/>
            </w:tcBorders>
          </w:tcPr>
          <w:p w14:paraId="3D716BA7" w14:textId="77777777" w:rsidR="00BD69B7" w:rsidRPr="00C25B91" w:rsidRDefault="00BD69B7" w:rsidP="00BD69B7">
            <w:pPr>
              <w:pStyle w:val="Tabletext"/>
            </w:pPr>
            <w:r w:rsidRPr="00C25B91">
              <w:t>2005–06</w:t>
            </w:r>
          </w:p>
        </w:tc>
        <w:tc>
          <w:tcPr>
            <w:tcW w:w="2410" w:type="dxa"/>
            <w:tcBorders>
              <w:top w:val="single" w:sz="4" w:space="0" w:color="auto"/>
              <w:left w:val="nil"/>
              <w:bottom w:val="single" w:sz="4" w:space="0" w:color="auto"/>
              <w:right w:val="nil"/>
            </w:tcBorders>
          </w:tcPr>
          <w:p w14:paraId="433BB3AB" w14:textId="77777777" w:rsidR="00BD69B7" w:rsidRPr="002C1454" w:rsidRDefault="00BD69B7" w:rsidP="00BC0293">
            <w:pPr>
              <w:pStyle w:val="Tabletext"/>
              <w:jc w:val="center"/>
            </w:pPr>
            <w:r>
              <w:t>168.8</w:t>
            </w:r>
          </w:p>
        </w:tc>
        <w:tc>
          <w:tcPr>
            <w:tcW w:w="2551" w:type="dxa"/>
            <w:tcBorders>
              <w:top w:val="single" w:sz="4" w:space="0" w:color="auto"/>
              <w:left w:val="nil"/>
              <w:bottom w:val="single" w:sz="4" w:space="0" w:color="auto"/>
              <w:right w:val="nil"/>
            </w:tcBorders>
            <w:vAlign w:val="bottom"/>
          </w:tcPr>
          <w:p w14:paraId="64688454" w14:textId="77777777" w:rsidR="00BD69B7" w:rsidRPr="002C1454" w:rsidRDefault="00BD69B7" w:rsidP="00BC0293">
            <w:pPr>
              <w:pStyle w:val="Tabletext"/>
              <w:jc w:val="center"/>
              <w:rPr>
                <w:i/>
              </w:rPr>
            </w:pPr>
            <w:r>
              <w:t>328,520</w:t>
            </w:r>
          </w:p>
        </w:tc>
        <w:tc>
          <w:tcPr>
            <w:tcW w:w="2551" w:type="dxa"/>
            <w:tcBorders>
              <w:top w:val="single" w:sz="4" w:space="0" w:color="auto"/>
              <w:left w:val="nil"/>
              <w:bottom w:val="single" w:sz="4" w:space="0" w:color="auto"/>
              <w:right w:val="nil"/>
            </w:tcBorders>
          </w:tcPr>
          <w:p w14:paraId="18A98939" w14:textId="77777777" w:rsidR="00BD69B7" w:rsidRPr="002C1454" w:rsidRDefault="00BD69B7" w:rsidP="00BC0293">
            <w:pPr>
              <w:pStyle w:val="Tabletext"/>
              <w:jc w:val="center"/>
            </w:pPr>
            <w:r>
              <w:t>-</w:t>
            </w:r>
          </w:p>
        </w:tc>
      </w:tr>
      <w:tr w:rsidR="00BD69B7" w14:paraId="6912F0FE" w14:textId="77777777" w:rsidTr="00BC0293">
        <w:trPr>
          <w:cantSplit/>
        </w:trPr>
        <w:tc>
          <w:tcPr>
            <w:tcW w:w="1701" w:type="dxa"/>
            <w:tcBorders>
              <w:top w:val="single" w:sz="4" w:space="0" w:color="auto"/>
              <w:left w:val="nil"/>
              <w:bottom w:val="single" w:sz="4" w:space="0" w:color="auto"/>
              <w:right w:val="nil"/>
            </w:tcBorders>
          </w:tcPr>
          <w:p w14:paraId="58240987" w14:textId="77777777" w:rsidR="00BD69B7" w:rsidRPr="00C25B91" w:rsidRDefault="00BD69B7" w:rsidP="00BD69B7">
            <w:pPr>
              <w:pStyle w:val="Tabletext"/>
            </w:pPr>
            <w:r w:rsidRPr="00C25B91">
              <w:t>2006–07</w:t>
            </w:r>
          </w:p>
        </w:tc>
        <w:tc>
          <w:tcPr>
            <w:tcW w:w="2410" w:type="dxa"/>
            <w:tcBorders>
              <w:top w:val="single" w:sz="4" w:space="0" w:color="auto"/>
              <w:left w:val="nil"/>
              <w:bottom w:val="single" w:sz="4" w:space="0" w:color="auto"/>
              <w:right w:val="nil"/>
            </w:tcBorders>
          </w:tcPr>
          <w:p w14:paraId="798E6D23" w14:textId="77777777" w:rsidR="00BD69B7" w:rsidRPr="002C1454" w:rsidRDefault="00BD69B7" w:rsidP="00BC0293">
            <w:pPr>
              <w:pStyle w:val="Tabletext"/>
              <w:jc w:val="center"/>
            </w:pPr>
            <w:r>
              <w:t>178.7</w:t>
            </w:r>
          </w:p>
        </w:tc>
        <w:tc>
          <w:tcPr>
            <w:tcW w:w="2551" w:type="dxa"/>
            <w:tcBorders>
              <w:top w:val="single" w:sz="4" w:space="0" w:color="auto"/>
              <w:left w:val="nil"/>
              <w:bottom w:val="single" w:sz="4" w:space="0" w:color="auto"/>
              <w:right w:val="nil"/>
            </w:tcBorders>
            <w:vAlign w:val="bottom"/>
          </w:tcPr>
          <w:p w14:paraId="67FDC389" w14:textId="77777777" w:rsidR="00BD69B7" w:rsidRPr="002C1454" w:rsidRDefault="00BD69B7" w:rsidP="00BC0293">
            <w:pPr>
              <w:pStyle w:val="Tabletext"/>
              <w:jc w:val="center"/>
              <w:rPr>
                <w:i/>
              </w:rPr>
            </w:pPr>
            <w:r>
              <w:t>366,058</w:t>
            </w:r>
          </w:p>
        </w:tc>
        <w:tc>
          <w:tcPr>
            <w:tcW w:w="2551" w:type="dxa"/>
            <w:tcBorders>
              <w:top w:val="single" w:sz="4" w:space="0" w:color="auto"/>
              <w:left w:val="nil"/>
              <w:bottom w:val="single" w:sz="4" w:space="0" w:color="auto"/>
              <w:right w:val="nil"/>
            </w:tcBorders>
          </w:tcPr>
          <w:p w14:paraId="0D43474C" w14:textId="77777777" w:rsidR="00BD69B7" w:rsidRPr="002C1454" w:rsidRDefault="00BD69B7" w:rsidP="00BC0293">
            <w:pPr>
              <w:pStyle w:val="Tabletext"/>
              <w:jc w:val="center"/>
            </w:pPr>
            <w:r>
              <w:t>-</w:t>
            </w:r>
          </w:p>
        </w:tc>
      </w:tr>
      <w:tr w:rsidR="00BD69B7" w14:paraId="0A516DC2" w14:textId="77777777" w:rsidTr="00BC0293">
        <w:trPr>
          <w:cantSplit/>
        </w:trPr>
        <w:tc>
          <w:tcPr>
            <w:tcW w:w="1701" w:type="dxa"/>
            <w:tcBorders>
              <w:top w:val="single" w:sz="4" w:space="0" w:color="auto"/>
              <w:left w:val="nil"/>
              <w:bottom w:val="single" w:sz="4" w:space="0" w:color="auto"/>
              <w:right w:val="nil"/>
            </w:tcBorders>
          </w:tcPr>
          <w:p w14:paraId="16B43DEE" w14:textId="77777777" w:rsidR="00BD69B7" w:rsidRPr="00C25B91" w:rsidRDefault="00BD69B7" w:rsidP="00BD69B7">
            <w:pPr>
              <w:pStyle w:val="Tabletext"/>
            </w:pPr>
            <w:r w:rsidRPr="00C25B91">
              <w:t>2007–08</w:t>
            </w:r>
          </w:p>
        </w:tc>
        <w:tc>
          <w:tcPr>
            <w:tcW w:w="2410" w:type="dxa"/>
            <w:tcBorders>
              <w:top w:val="single" w:sz="4" w:space="0" w:color="auto"/>
              <w:left w:val="nil"/>
              <w:bottom w:val="single" w:sz="4" w:space="0" w:color="auto"/>
              <w:right w:val="nil"/>
            </w:tcBorders>
          </w:tcPr>
          <w:p w14:paraId="1BB89E64" w14:textId="77777777" w:rsidR="00BD69B7" w:rsidRPr="002C1454" w:rsidRDefault="00BD69B7" w:rsidP="00BC0293">
            <w:pPr>
              <w:pStyle w:val="Tabletext"/>
              <w:jc w:val="center"/>
            </w:pPr>
            <w:r>
              <w:t>204.0</w:t>
            </w:r>
          </w:p>
        </w:tc>
        <w:tc>
          <w:tcPr>
            <w:tcW w:w="2551" w:type="dxa"/>
            <w:tcBorders>
              <w:top w:val="single" w:sz="4" w:space="0" w:color="auto"/>
              <w:left w:val="nil"/>
              <w:bottom w:val="single" w:sz="4" w:space="0" w:color="auto"/>
              <w:right w:val="nil"/>
            </w:tcBorders>
            <w:vAlign w:val="bottom"/>
          </w:tcPr>
          <w:p w14:paraId="14A12E62" w14:textId="77777777" w:rsidR="00BD69B7" w:rsidRPr="002C1454" w:rsidRDefault="00BD69B7" w:rsidP="00BC0293">
            <w:pPr>
              <w:pStyle w:val="Tabletext"/>
              <w:jc w:val="center"/>
              <w:rPr>
                <w:i/>
              </w:rPr>
            </w:pPr>
            <w:r>
              <w:t>388,857</w:t>
            </w:r>
          </w:p>
        </w:tc>
        <w:tc>
          <w:tcPr>
            <w:tcW w:w="2551" w:type="dxa"/>
            <w:tcBorders>
              <w:top w:val="single" w:sz="4" w:space="0" w:color="auto"/>
              <w:left w:val="nil"/>
              <w:bottom w:val="single" w:sz="4" w:space="0" w:color="auto"/>
              <w:right w:val="nil"/>
            </w:tcBorders>
          </w:tcPr>
          <w:p w14:paraId="067D2718" w14:textId="77777777" w:rsidR="00BD69B7" w:rsidRPr="002C1454" w:rsidRDefault="00BD69B7" w:rsidP="00BC0293">
            <w:pPr>
              <w:pStyle w:val="Tabletext"/>
              <w:jc w:val="center"/>
            </w:pPr>
            <w:r>
              <w:t>-</w:t>
            </w:r>
          </w:p>
        </w:tc>
      </w:tr>
      <w:tr w:rsidR="00BD69B7" w14:paraId="403D81F9" w14:textId="77777777" w:rsidTr="00BC0293">
        <w:trPr>
          <w:cantSplit/>
        </w:trPr>
        <w:tc>
          <w:tcPr>
            <w:tcW w:w="1701" w:type="dxa"/>
            <w:tcBorders>
              <w:top w:val="single" w:sz="4" w:space="0" w:color="auto"/>
              <w:left w:val="nil"/>
              <w:bottom w:val="single" w:sz="4" w:space="0" w:color="auto"/>
              <w:right w:val="nil"/>
            </w:tcBorders>
          </w:tcPr>
          <w:p w14:paraId="70EC5B21" w14:textId="77777777" w:rsidR="00BD69B7" w:rsidRPr="00C25B91" w:rsidRDefault="00BD69B7" w:rsidP="00BD69B7">
            <w:pPr>
              <w:pStyle w:val="Tabletext"/>
            </w:pPr>
            <w:r w:rsidRPr="00C25B91">
              <w:t>2008–09</w:t>
            </w:r>
          </w:p>
        </w:tc>
        <w:tc>
          <w:tcPr>
            <w:tcW w:w="2410" w:type="dxa"/>
            <w:tcBorders>
              <w:top w:val="single" w:sz="4" w:space="0" w:color="auto"/>
              <w:left w:val="nil"/>
              <w:bottom w:val="single" w:sz="4" w:space="0" w:color="auto"/>
              <w:right w:val="nil"/>
            </w:tcBorders>
          </w:tcPr>
          <w:p w14:paraId="3670EEE9" w14:textId="77777777" w:rsidR="00BD69B7" w:rsidRPr="002C1454" w:rsidRDefault="00BD69B7" w:rsidP="00BC0293">
            <w:pPr>
              <w:pStyle w:val="Tabletext"/>
              <w:jc w:val="center"/>
            </w:pPr>
            <w:r>
              <w:t>212.1</w:t>
            </w:r>
          </w:p>
        </w:tc>
        <w:tc>
          <w:tcPr>
            <w:tcW w:w="2551" w:type="dxa"/>
            <w:tcBorders>
              <w:top w:val="single" w:sz="4" w:space="0" w:color="auto"/>
              <w:left w:val="nil"/>
              <w:bottom w:val="single" w:sz="4" w:space="0" w:color="auto"/>
              <w:right w:val="nil"/>
            </w:tcBorders>
            <w:vAlign w:val="bottom"/>
          </w:tcPr>
          <w:p w14:paraId="258A261B" w14:textId="77777777" w:rsidR="00BD69B7" w:rsidRPr="002C1454" w:rsidRDefault="00BD69B7" w:rsidP="00BC0293">
            <w:pPr>
              <w:pStyle w:val="Tabletext"/>
              <w:jc w:val="center"/>
              <w:rPr>
                <w:i/>
              </w:rPr>
            </w:pPr>
            <w:r>
              <w:t>446,531</w:t>
            </w:r>
          </w:p>
        </w:tc>
        <w:tc>
          <w:tcPr>
            <w:tcW w:w="2551" w:type="dxa"/>
            <w:tcBorders>
              <w:top w:val="single" w:sz="4" w:space="0" w:color="auto"/>
              <w:left w:val="nil"/>
              <w:bottom w:val="single" w:sz="4" w:space="0" w:color="auto"/>
              <w:right w:val="nil"/>
            </w:tcBorders>
          </w:tcPr>
          <w:p w14:paraId="3FE49BE5" w14:textId="77777777" w:rsidR="00BD69B7" w:rsidRPr="002C1454" w:rsidRDefault="00BD69B7" w:rsidP="00BC0293">
            <w:pPr>
              <w:pStyle w:val="Tabletext"/>
              <w:jc w:val="center"/>
            </w:pPr>
            <w:r>
              <w:t>-</w:t>
            </w:r>
          </w:p>
        </w:tc>
      </w:tr>
      <w:tr w:rsidR="00BD69B7" w14:paraId="6FAB8291" w14:textId="77777777" w:rsidTr="00BC0293">
        <w:trPr>
          <w:cantSplit/>
        </w:trPr>
        <w:tc>
          <w:tcPr>
            <w:tcW w:w="1701" w:type="dxa"/>
            <w:tcBorders>
              <w:top w:val="single" w:sz="4" w:space="0" w:color="auto"/>
              <w:left w:val="nil"/>
              <w:bottom w:val="single" w:sz="4" w:space="0" w:color="auto"/>
              <w:right w:val="nil"/>
            </w:tcBorders>
          </w:tcPr>
          <w:p w14:paraId="12B008DF" w14:textId="77777777" w:rsidR="00BD69B7" w:rsidRPr="00C25B91" w:rsidRDefault="00BD69B7" w:rsidP="00BD69B7">
            <w:pPr>
              <w:pStyle w:val="Tabletext"/>
            </w:pPr>
            <w:r w:rsidRPr="00C25B91">
              <w:t>2009–10</w:t>
            </w:r>
          </w:p>
        </w:tc>
        <w:tc>
          <w:tcPr>
            <w:tcW w:w="2410" w:type="dxa"/>
            <w:tcBorders>
              <w:top w:val="single" w:sz="4" w:space="0" w:color="auto"/>
              <w:left w:val="nil"/>
              <w:bottom w:val="single" w:sz="4" w:space="0" w:color="auto"/>
              <w:right w:val="nil"/>
            </w:tcBorders>
          </w:tcPr>
          <w:p w14:paraId="06511D92" w14:textId="77777777" w:rsidR="00BD69B7" w:rsidRPr="002C1454" w:rsidRDefault="00BD69B7" w:rsidP="00BC0293">
            <w:pPr>
              <w:pStyle w:val="Tabletext"/>
              <w:jc w:val="center"/>
            </w:pPr>
            <w:r>
              <w:t>221.1</w:t>
            </w:r>
          </w:p>
        </w:tc>
        <w:tc>
          <w:tcPr>
            <w:tcW w:w="2551" w:type="dxa"/>
            <w:tcBorders>
              <w:top w:val="single" w:sz="4" w:space="0" w:color="auto"/>
              <w:left w:val="nil"/>
              <w:bottom w:val="single" w:sz="4" w:space="0" w:color="auto"/>
              <w:right w:val="nil"/>
            </w:tcBorders>
            <w:vAlign w:val="bottom"/>
          </w:tcPr>
          <w:p w14:paraId="70E8133F" w14:textId="77777777" w:rsidR="00BD69B7" w:rsidRPr="002C1454" w:rsidRDefault="00BD69B7" w:rsidP="00BC0293">
            <w:pPr>
              <w:pStyle w:val="Tabletext"/>
              <w:jc w:val="center"/>
              <w:rPr>
                <w:i/>
              </w:rPr>
            </w:pPr>
            <w:r>
              <w:t>447,590</w:t>
            </w:r>
          </w:p>
        </w:tc>
        <w:tc>
          <w:tcPr>
            <w:tcW w:w="2551" w:type="dxa"/>
            <w:tcBorders>
              <w:top w:val="single" w:sz="4" w:space="0" w:color="auto"/>
              <w:left w:val="nil"/>
              <w:bottom w:val="single" w:sz="4" w:space="0" w:color="auto"/>
              <w:right w:val="nil"/>
            </w:tcBorders>
          </w:tcPr>
          <w:p w14:paraId="12375459" w14:textId="77777777" w:rsidR="00BD69B7" w:rsidRPr="002C1454" w:rsidRDefault="00BD69B7" w:rsidP="00BC0293">
            <w:pPr>
              <w:pStyle w:val="Tabletext"/>
              <w:jc w:val="center"/>
            </w:pPr>
            <w:r>
              <w:t>-</w:t>
            </w:r>
          </w:p>
        </w:tc>
      </w:tr>
      <w:tr w:rsidR="00BD69B7" w14:paraId="41190DAD" w14:textId="77777777" w:rsidTr="00BC0293">
        <w:trPr>
          <w:cantSplit/>
        </w:trPr>
        <w:tc>
          <w:tcPr>
            <w:tcW w:w="1701" w:type="dxa"/>
            <w:tcBorders>
              <w:top w:val="single" w:sz="4" w:space="0" w:color="auto"/>
              <w:left w:val="nil"/>
              <w:bottom w:val="single" w:sz="4" w:space="0" w:color="auto"/>
              <w:right w:val="nil"/>
            </w:tcBorders>
          </w:tcPr>
          <w:p w14:paraId="21BCE346" w14:textId="77777777" w:rsidR="00BD69B7" w:rsidRPr="00C25B91" w:rsidRDefault="00BD69B7" w:rsidP="00BD69B7">
            <w:pPr>
              <w:pStyle w:val="Tabletext"/>
            </w:pPr>
            <w:r w:rsidRPr="00C25B91">
              <w:t>2010–11</w:t>
            </w:r>
          </w:p>
        </w:tc>
        <w:tc>
          <w:tcPr>
            <w:tcW w:w="2410" w:type="dxa"/>
            <w:tcBorders>
              <w:top w:val="single" w:sz="4" w:space="0" w:color="auto"/>
              <w:left w:val="nil"/>
              <w:bottom w:val="single" w:sz="4" w:space="0" w:color="auto"/>
              <w:right w:val="nil"/>
            </w:tcBorders>
          </w:tcPr>
          <w:p w14:paraId="6667ABCD" w14:textId="77777777" w:rsidR="00BD69B7" w:rsidRPr="002C1454" w:rsidRDefault="00BD69B7" w:rsidP="00BC0293">
            <w:pPr>
              <w:pStyle w:val="Tabletext"/>
              <w:jc w:val="center"/>
            </w:pPr>
            <w:r>
              <w:t>-</w:t>
            </w:r>
          </w:p>
        </w:tc>
        <w:tc>
          <w:tcPr>
            <w:tcW w:w="2551" w:type="dxa"/>
            <w:tcBorders>
              <w:top w:val="single" w:sz="4" w:space="0" w:color="auto"/>
              <w:left w:val="nil"/>
              <w:bottom w:val="single" w:sz="4" w:space="0" w:color="auto"/>
              <w:right w:val="nil"/>
            </w:tcBorders>
            <w:vAlign w:val="bottom"/>
          </w:tcPr>
          <w:p w14:paraId="3236BA3B" w14:textId="77777777" w:rsidR="00BD69B7" w:rsidRPr="002C1454" w:rsidRDefault="00BD69B7" w:rsidP="00BC0293">
            <w:pPr>
              <w:pStyle w:val="Tabletext"/>
              <w:jc w:val="center"/>
              <w:rPr>
                <w:i/>
              </w:rPr>
            </w:pPr>
            <w:r>
              <w:t>490,748</w:t>
            </w:r>
          </w:p>
        </w:tc>
        <w:tc>
          <w:tcPr>
            <w:tcW w:w="2551" w:type="dxa"/>
            <w:tcBorders>
              <w:top w:val="single" w:sz="4" w:space="0" w:color="auto"/>
              <w:left w:val="nil"/>
              <w:bottom w:val="single" w:sz="4" w:space="0" w:color="auto"/>
              <w:right w:val="nil"/>
            </w:tcBorders>
            <w:vAlign w:val="bottom"/>
          </w:tcPr>
          <w:p w14:paraId="78932C57" w14:textId="77777777" w:rsidR="00BD69B7" w:rsidRPr="002C1454" w:rsidRDefault="00BD69B7" w:rsidP="00BC0293">
            <w:pPr>
              <w:pStyle w:val="Tabletext"/>
              <w:jc w:val="center"/>
            </w:pPr>
            <w:r>
              <w:t>244.6</w:t>
            </w:r>
          </w:p>
        </w:tc>
      </w:tr>
      <w:tr w:rsidR="00BD69B7" w14:paraId="11FA9E9B" w14:textId="77777777" w:rsidTr="00BC0293">
        <w:trPr>
          <w:cantSplit/>
        </w:trPr>
        <w:tc>
          <w:tcPr>
            <w:tcW w:w="1701" w:type="dxa"/>
            <w:tcBorders>
              <w:top w:val="single" w:sz="4" w:space="0" w:color="auto"/>
              <w:left w:val="nil"/>
              <w:bottom w:val="single" w:sz="4" w:space="0" w:color="auto"/>
              <w:right w:val="nil"/>
            </w:tcBorders>
          </w:tcPr>
          <w:p w14:paraId="792E7A4A" w14:textId="77777777" w:rsidR="00BD69B7" w:rsidRPr="00C25B91" w:rsidRDefault="00BD69B7" w:rsidP="00BD69B7">
            <w:pPr>
              <w:pStyle w:val="Tabletext"/>
            </w:pPr>
            <w:r w:rsidRPr="00C25B91">
              <w:t>2011–12</w:t>
            </w:r>
          </w:p>
        </w:tc>
        <w:tc>
          <w:tcPr>
            <w:tcW w:w="2410" w:type="dxa"/>
            <w:tcBorders>
              <w:top w:val="single" w:sz="4" w:space="0" w:color="auto"/>
              <w:left w:val="nil"/>
              <w:bottom w:val="single" w:sz="4" w:space="0" w:color="auto"/>
              <w:right w:val="nil"/>
            </w:tcBorders>
          </w:tcPr>
          <w:p w14:paraId="07165DED" w14:textId="77777777" w:rsidR="00BD69B7" w:rsidRPr="002C1454" w:rsidRDefault="00BD69B7" w:rsidP="00BC0293">
            <w:pPr>
              <w:pStyle w:val="Tabletext"/>
              <w:jc w:val="center"/>
            </w:pPr>
            <w:r>
              <w:t>-</w:t>
            </w:r>
          </w:p>
        </w:tc>
        <w:tc>
          <w:tcPr>
            <w:tcW w:w="2551" w:type="dxa"/>
            <w:tcBorders>
              <w:top w:val="single" w:sz="4" w:space="0" w:color="auto"/>
              <w:left w:val="nil"/>
              <w:bottom w:val="single" w:sz="4" w:space="0" w:color="auto"/>
              <w:right w:val="nil"/>
            </w:tcBorders>
            <w:vAlign w:val="bottom"/>
          </w:tcPr>
          <w:p w14:paraId="001DF616" w14:textId="77777777" w:rsidR="00BD69B7" w:rsidRPr="002C1454" w:rsidRDefault="00BD69B7" w:rsidP="00BC0293">
            <w:pPr>
              <w:pStyle w:val="Tabletext"/>
              <w:jc w:val="center"/>
              <w:rPr>
                <w:i/>
              </w:rPr>
            </w:pPr>
            <w:r>
              <w:t>519,067</w:t>
            </w:r>
          </w:p>
        </w:tc>
        <w:tc>
          <w:tcPr>
            <w:tcW w:w="2551" w:type="dxa"/>
            <w:tcBorders>
              <w:top w:val="single" w:sz="4" w:space="0" w:color="auto"/>
              <w:left w:val="nil"/>
              <w:bottom w:val="single" w:sz="4" w:space="0" w:color="auto"/>
              <w:right w:val="nil"/>
            </w:tcBorders>
            <w:vAlign w:val="bottom"/>
          </w:tcPr>
          <w:p w14:paraId="18766B2F" w14:textId="77777777" w:rsidR="00BD69B7" w:rsidRPr="002C1454" w:rsidRDefault="00BD69B7" w:rsidP="00BC0293">
            <w:pPr>
              <w:pStyle w:val="Tabletext"/>
              <w:jc w:val="center"/>
            </w:pPr>
            <w:r>
              <w:t>259.3</w:t>
            </w:r>
          </w:p>
        </w:tc>
      </w:tr>
      <w:tr w:rsidR="00BD69B7" w14:paraId="390BF0B5" w14:textId="77777777" w:rsidTr="00BC0293">
        <w:trPr>
          <w:cantSplit/>
        </w:trPr>
        <w:tc>
          <w:tcPr>
            <w:tcW w:w="1701" w:type="dxa"/>
            <w:tcBorders>
              <w:top w:val="single" w:sz="4" w:space="0" w:color="auto"/>
              <w:left w:val="nil"/>
              <w:bottom w:val="single" w:sz="4" w:space="0" w:color="auto"/>
              <w:right w:val="nil"/>
            </w:tcBorders>
          </w:tcPr>
          <w:p w14:paraId="56A34873" w14:textId="77777777" w:rsidR="00BD69B7" w:rsidRPr="00C25B91" w:rsidRDefault="00BD69B7" w:rsidP="00BD69B7">
            <w:pPr>
              <w:pStyle w:val="Tabletext"/>
            </w:pPr>
            <w:r w:rsidRPr="00C25B91">
              <w:t>2012–13</w:t>
            </w:r>
          </w:p>
        </w:tc>
        <w:tc>
          <w:tcPr>
            <w:tcW w:w="2410" w:type="dxa"/>
            <w:tcBorders>
              <w:top w:val="single" w:sz="4" w:space="0" w:color="auto"/>
              <w:left w:val="nil"/>
              <w:bottom w:val="single" w:sz="4" w:space="0" w:color="auto"/>
              <w:right w:val="nil"/>
            </w:tcBorders>
          </w:tcPr>
          <w:p w14:paraId="511F5340" w14:textId="77777777" w:rsidR="00BD69B7" w:rsidRPr="002C1454" w:rsidRDefault="00BD69B7" w:rsidP="00BC0293">
            <w:pPr>
              <w:pStyle w:val="Tabletext"/>
              <w:jc w:val="center"/>
            </w:pPr>
            <w:r>
              <w:t>-</w:t>
            </w:r>
          </w:p>
        </w:tc>
        <w:tc>
          <w:tcPr>
            <w:tcW w:w="2551" w:type="dxa"/>
            <w:tcBorders>
              <w:top w:val="single" w:sz="4" w:space="0" w:color="auto"/>
              <w:left w:val="nil"/>
              <w:bottom w:val="single" w:sz="4" w:space="0" w:color="auto"/>
              <w:right w:val="nil"/>
            </w:tcBorders>
            <w:vAlign w:val="bottom"/>
          </w:tcPr>
          <w:p w14:paraId="39C9AABF" w14:textId="77777777" w:rsidR="00BD69B7" w:rsidRPr="002C1454" w:rsidRDefault="00BD69B7" w:rsidP="00BC0293">
            <w:pPr>
              <w:pStyle w:val="Tabletext"/>
              <w:jc w:val="center"/>
              <w:rPr>
                <w:i/>
              </w:rPr>
            </w:pPr>
            <w:r>
              <w:t>521,165</w:t>
            </w:r>
          </w:p>
        </w:tc>
        <w:tc>
          <w:tcPr>
            <w:tcW w:w="2551" w:type="dxa"/>
            <w:tcBorders>
              <w:top w:val="single" w:sz="4" w:space="0" w:color="auto"/>
              <w:left w:val="nil"/>
              <w:bottom w:val="single" w:sz="4" w:space="0" w:color="auto"/>
              <w:right w:val="nil"/>
            </w:tcBorders>
            <w:vAlign w:val="bottom"/>
          </w:tcPr>
          <w:p w14:paraId="08A83BD4" w14:textId="77777777" w:rsidR="00BD69B7" w:rsidRPr="002C1454" w:rsidRDefault="00BD69B7" w:rsidP="00BC0293">
            <w:pPr>
              <w:pStyle w:val="Tabletext"/>
              <w:jc w:val="center"/>
            </w:pPr>
            <w:r>
              <w:t>260.4</w:t>
            </w:r>
          </w:p>
        </w:tc>
      </w:tr>
      <w:tr w:rsidR="00BD69B7" w14:paraId="0A27F226" w14:textId="77777777" w:rsidTr="00BC0293">
        <w:trPr>
          <w:cantSplit/>
        </w:trPr>
        <w:tc>
          <w:tcPr>
            <w:tcW w:w="1701" w:type="dxa"/>
            <w:tcBorders>
              <w:top w:val="single" w:sz="4" w:space="0" w:color="auto"/>
              <w:left w:val="nil"/>
              <w:bottom w:val="single" w:sz="4" w:space="0" w:color="auto"/>
              <w:right w:val="nil"/>
            </w:tcBorders>
          </w:tcPr>
          <w:p w14:paraId="1A1E2E8A" w14:textId="77777777" w:rsidR="00BD69B7" w:rsidRPr="00C25B91" w:rsidRDefault="00BD69B7" w:rsidP="00BD69B7">
            <w:pPr>
              <w:pStyle w:val="Tabletext"/>
            </w:pPr>
            <w:r w:rsidRPr="00C25B91">
              <w:t>2013–14</w:t>
            </w:r>
          </w:p>
        </w:tc>
        <w:tc>
          <w:tcPr>
            <w:tcW w:w="2410" w:type="dxa"/>
            <w:tcBorders>
              <w:top w:val="single" w:sz="4" w:space="0" w:color="auto"/>
              <w:left w:val="nil"/>
              <w:bottom w:val="single" w:sz="4" w:space="0" w:color="auto"/>
              <w:right w:val="nil"/>
            </w:tcBorders>
          </w:tcPr>
          <w:p w14:paraId="12EC355C" w14:textId="77777777" w:rsidR="00BD69B7" w:rsidRPr="002C1454" w:rsidRDefault="00BD69B7" w:rsidP="00BC0293">
            <w:pPr>
              <w:pStyle w:val="Tabletext"/>
              <w:jc w:val="center"/>
            </w:pPr>
            <w:r>
              <w:t>-</w:t>
            </w:r>
          </w:p>
        </w:tc>
        <w:tc>
          <w:tcPr>
            <w:tcW w:w="2551" w:type="dxa"/>
            <w:tcBorders>
              <w:top w:val="single" w:sz="4" w:space="0" w:color="auto"/>
              <w:left w:val="nil"/>
              <w:bottom w:val="single" w:sz="4" w:space="0" w:color="auto"/>
              <w:right w:val="nil"/>
            </w:tcBorders>
            <w:vAlign w:val="bottom"/>
          </w:tcPr>
          <w:p w14:paraId="0AC7BA01" w14:textId="77777777" w:rsidR="00BD69B7" w:rsidRPr="002C1454" w:rsidRDefault="00BD69B7" w:rsidP="00BC0293">
            <w:pPr>
              <w:pStyle w:val="Tabletext"/>
              <w:jc w:val="center"/>
              <w:rPr>
                <w:i/>
              </w:rPr>
            </w:pPr>
            <w:r>
              <w:t>542,112</w:t>
            </w:r>
          </w:p>
        </w:tc>
        <w:tc>
          <w:tcPr>
            <w:tcW w:w="2551" w:type="dxa"/>
            <w:tcBorders>
              <w:top w:val="single" w:sz="4" w:space="0" w:color="auto"/>
              <w:left w:val="nil"/>
              <w:bottom w:val="single" w:sz="4" w:space="0" w:color="auto"/>
              <w:right w:val="nil"/>
            </w:tcBorders>
            <w:vAlign w:val="bottom"/>
          </w:tcPr>
          <w:p w14:paraId="2B3778F4" w14:textId="77777777" w:rsidR="00BD69B7" w:rsidRPr="002C1454" w:rsidRDefault="00BD69B7" w:rsidP="00BC0293">
            <w:pPr>
              <w:pStyle w:val="Tabletext"/>
              <w:jc w:val="center"/>
            </w:pPr>
            <w:r>
              <w:t>271.3</w:t>
            </w:r>
          </w:p>
        </w:tc>
      </w:tr>
      <w:tr w:rsidR="00BD69B7" w14:paraId="69BD9B45" w14:textId="77777777" w:rsidTr="00BC0293">
        <w:trPr>
          <w:cantSplit/>
        </w:trPr>
        <w:tc>
          <w:tcPr>
            <w:tcW w:w="1701" w:type="dxa"/>
            <w:tcBorders>
              <w:top w:val="single" w:sz="4" w:space="0" w:color="auto"/>
              <w:left w:val="nil"/>
              <w:bottom w:val="single" w:sz="4" w:space="0" w:color="auto"/>
              <w:right w:val="nil"/>
            </w:tcBorders>
          </w:tcPr>
          <w:p w14:paraId="3981568D" w14:textId="77777777" w:rsidR="00BD69B7" w:rsidRPr="00C25B91" w:rsidRDefault="00BD69B7" w:rsidP="00BD69B7">
            <w:pPr>
              <w:pStyle w:val="Tabletext"/>
            </w:pPr>
            <w:r w:rsidRPr="00C25B91">
              <w:t>2014–15</w:t>
            </w:r>
          </w:p>
        </w:tc>
        <w:tc>
          <w:tcPr>
            <w:tcW w:w="2410" w:type="dxa"/>
            <w:tcBorders>
              <w:top w:val="single" w:sz="4" w:space="0" w:color="auto"/>
              <w:left w:val="nil"/>
              <w:bottom w:val="single" w:sz="4" w:space="0" w:color="auto"/>
              <w:right w:val="nil"/>
            </w:tcBorders>
          </w:tcPr>
          <w:p w14:paraId="31E22249" w14:textId="77777777" w:rsidR="00BD69B7" w:rsidRPr="002C1454" w:rsidRDefault="00BD69B7" w:rsidP="00BC0293">
            <w:pPr>
              <w:pStyle w:val="Tabletext"/>
              <w:jc w:val="center"/>
            </w:pPr>
            <w:r>
              <w:t>-</w:t>
            </w:r>
          </w:p>
        </w:tc>
        <w:tc>
          <w:tcPr>
            <w:tcW w:w="2551" w:type="dxa"/>
            <w:tcBorders>
              <w:top w:val="single" w:sz="4" w:space="0" w:color="auto"/>
              <w:left w:val="nil"/>
              <w:bottom w:val="single" w:sz="4" w:space="0" w:color="auto"/>
              <w:right w:val="nil"/>
            </w:tcBorders>
            <w:vAlign w:val="bottom"/>
          </w:tcPr>
          <w:p w14:paraId="4B4A13CD" w14:textId="77777777" w:rsidR="00BD69B7" w:rsidRPr="002C1454" w:rsidRDefault="00BD69B7" w:rsidP="00BC0293">
            <w:pPr>
              <w:pStyle w:val="Tabletext"/>
              <w:jc w:val="center"/>
              <w:rPr>
                <w:i/>
              </w:rPr>
            </w:pPr>
            <w:r>
              <w:t>536,862</w:t>
            </w:r>
          </w:p>
        </w:tc>
        <w:tc>
          <w:tcPr>
            <w:tcW w:w="2551" w:type="dxa"/>
            <w:tcBorders>
              <w:top w:val="single" w:sz="4" w:space="0" w:color="auto"/>
              <w:left w:val="nil"/>
              <w:bottom w:val="single" w:sz="4" w:space="0" w:color="auto"/>
              <w:right w:val="nil"/>
            </w:tcBorders>
            <w:vAlign w:val="bottom"/>
          </w:tcPr>
          <w:p w14:paraId="73E66BAC" w14:textId="77777777" w:rsidR="00BD69B7" w:rsidRPr="002C1454" w:rsidRDefault="00BD69B7" w:rsidP="00BC0293">
            <w:pPr>
              <w:pStyle w:val="Tabletext"/>
              <w:jc w:val="center"/>
            </w:pPr>
            <w:r>
              <w:t>268.6</w:t>
            </w:r>
          </w:p>
        </w:tc>
      </w:tr>
      <w:tr w:rsidR="00BD69B7" w14:paraId="05B544F3" w14:textId="77777777" w:rsidTr="00BC0293">
        <w:trPr>
          <w:cantSplit/>
        </w:trPr>
        <w:tc>
          <w:tcPr>
            <w:tcW w:w="1701" w:type="dxa"/>
            <w:tcBorders>
              <w:top w:val="single" w:sz="4" w:space="0" w:color="auto"/>
              <w:left w:val="nil"/>
              <w:bottom w:val="single" w:sz="12" w:space="0" w:color="auto"/>
              <w:right w:val="nil"/>
            </w:tcBorders>
          </w:tcPr>
          <w:p w14:paraId="29FA9496" w14:textId="77777777" w:rsidR="00BD69B7" w:rsidRPr="00C25B91" w:rsidRDefault="00BD69B7" w:rsidP="00BD69B7">
            <w:pPr>
              <w:pStyle w:val="Tabletext"/>
            </w:pPr>
            <w:r w:rsidRPr="00C25B91">
              <w:t>2015–16</w:t>
            </w:r>
          </w:p>
        </w:tc>
        <w:tc>
          <w:tcPr>
            <w:tcW w:w="2410" w:type="dxa"/>
            <w:tcBorders>
              <w:top w:val="single" w:sz="4" w:space="0" w:color="auto"/>
              <w:left w:val="nil"/>
              <w:bottom w:val="single" w:sz="12" w:space="0" w:color="auto"/>
              <w:right w:val="nil"/>
            </w:tcBorders>
          </w:tcPr>
          <w:p w14:paraId="0D231543" w14:textId="77777777" w:rsidR="00BD69B7" w:rsidRPr="002C1454" w:rsidRDefault="00BD69B7" w:rsidP="00BC0293">
            <w:pPr>
              <w:pStyle w:val="Tabletext"/>
              <w:jc w:val="center"/>
            </w:pPr>
            <w:r>
              <w:t>-</w:t>
            </w:r>
          </w:p>
        </w:tc>
        <w:tc>
          <w:tcPr>
            <w:tcW w:w="2551" w:type="dxa"/>
            <w:tcBorders>
              <w:top w:val="single" w:sz="4" w:space="0" w:color="auto"/>
              <w:left w:val="nil"/>
              <w:bottom w:val="single" w:sz="12" w:space="0" w:color="auto"/>
              <w:right w:val="nil"/>
            </w:tcBorders>
            <w:vAlign w:val="bottom"/>
          </w:tcPr>
          <w:p w14:paraId="15F36BDB" w14:textId="77777777" w:rsidR="00BD69B7" w:rsidRPr="002C1454" w:rsidRDefault="00BD69B7" w:rsidP="00BC0293">
            <w:pPr>
              <w:pStyle w:val="Tabletext"/>
              <w:jc w:val="center"/>
            </w:pPr>
            <w:r>
              <w:t>536,695</w:t>
            </w:r>
          </w:p>
        </w:tc>
        <w:tc>
          <w:tcPr>
            <w:tcW w:w="2551" w:type="dxa"/>
            <w:tcBorders>
              <w:top w:val="single" w:sz="4" w:space="0" w:color="auto"/>
              <w:left w:val="nil"/>
              <w:bottom w:val="single" w:sz="12" w:space="0" w:color="auto"/>
              <w:right w:val="nil"/>
            </w:tcBorders>
            <w:vAlign w:val="bottom"/>
          </w:tcPr>
          <w:p w14:paraId="367D7319" w14:textId="77777777" w:rsidR="00BD69B7" w:rsidRPr="002C1454" w:rsidRDefault="00BD69B7" w:rsidP="00BC0293">
            <w:pPr>
              <w:pStyle w:val="Tabletext"/>
              <w:jc w:val="center"/>
            </w:pPr>
            <w:r>
              <w:t>268.5</w:t>
            </w:r>
          </w:p>
        </w:tc>
      </w:tr>
    </w:tbl>
    <w:p w14:paraId="1622E0F7" w14:textId="77777777" w:rsidR="00BD69B7" w:rsidRDefault="00BD69B7" w:rsidP="00BD69B7">
      <w:pPr>
        <w:spacing w:after="160" w:line="256" w:lineRule="auto"/>
      </w:pPr>
    </w:p>
    <w:p w14:paraId="531D3088" w14:textId="77777777" w:rsidR="00BD69B7" w:rsidRPr="00523164" w:rsidRDefault="00BD69B7" w:rsidP="00BD69B7">
      <w:r w:rsidRPr="00523164">
        <w:fldChar w:fldCharType="begin"/>
      </w:r>
      <w:r w:rsidRPr="00523164">
        <w:instrText xml:space="preserve"> REF _Ref481759025 \h  \* MERGEFORMAT </w:instrText>
      </w:r>
      <w:r w:rsidRPr="00523164">
        <w:fldChar w:fldCharType="separate"/>
      </w:r>
      <w:r w:rsidR="00ED08CC" w:rsidRPr="00523164">
        <w:t xml:space="preserve">Figure </w:t>
      </w:r>
      <w:r w:rsidR="00ED08CC">
        <w:t>2</w:t>
      </w:r>
      <w:r w:rsidRPr="00523164">
        <w:fldChar w:fldCharType="end"/>
      </w:r>
      <w:r w:rsidRPr="00523164">
        <w:t xml:space="preserve"> shows the relationship between GOS and </w:t>
      </w:r>
      <w:proofErr w:type="spellStart"/>
      <w:r w:rsidRPr="00523164">
        <w:t>AbaF</w:t>
      </w:r>
      <w:proofErr w:type="spellEnd"/>
      <w:r w:rsidRPr="00523164">
        <w:t xml:space="preserve"> values (red dots) and the linear model based on this relationship (grey line). The 95 per cent confidence and prediction intervals (inner green dashed and outer orange dotted lines, respectively) show where the true results may lie with 95 per cent certainty.</w:t>
      </w:r>
    </w:p>
    <w:p w14:paraId="21DBB237" w14:textId="77777777" w:rsidR="00BD69B7" w:rsidRPr="00523164" w:rsidRDefault="00BD69B7" w:rsidP="00BD69B7">
      <w:pPr>
        <w:pStyle w:val="Figureheading"/>
      </w:pPr>
      <w:bookmarkStart w:id="44" w:name="_Ref481759025"/>
      <w:bookmarkStart w:id="45" w:name="_Toc486587618"/>
      <w:r w:rsidRPr="00523164">
        <w:t xml:space="preserve">Figure </w:t>
      </w:r>
      <w:fldSimple w:instr=" SEQ Figure \* ARABIC ">
        <w:r w:rsidR="00ED08CC">
          <w:rPr>
            <w:noProof/>
          </w:rPr>
          <w:t>2</w:t>
        </w:r>
      </w:fldSimple>
      <w:bookmarkEnd w:id="44"/>
      <w:r w:rsidRPr="00523164">
        <w:t>. GOS—</w:t>
      </w:r>
      <w:proofErr w:type="spellStart"/>
      <w:r w:rsidRPr="00523164">
        <w:t>AbaF</w:t>
      </w:r>
      <w:proofErr w:type="spellEnd"/>
      <w:r w:rsidRPr="00523164">
        <w:t xml:space="preserve"> linear model with confidence and prediction intervals</w:t>
      </w:r>
      <w:bookmarkEnd w:id="45"/>
    </w:p>
    <w:p w14:paraId="0450B589" w14:textId="77777777" w:rsidR="00BD69B7" w:rsidRPr="00523164" w:rsidRDefault="00BD69B7" w:rsidP="00BD69B7">
      <w:r w:rsidRPr="00523164">
        <w:rPr>
          <w:noProof/>
          <w:lang w:eastAsia="zh-TW" w:bidi="hi-IN"/>
        </w:rPr>
        <w:drawing>
          <wp:inline distT="0" distB="0" distL="0" distR="0" wp14:anchorId="1F544673" wp14:editId="7F1F6558">
            <wp:extent cx="5731340" cy="3373813"/>
            <wp:effectExtent l="0" t="0" r="3175" b="0"/>
            <wp:docPr id="40" name="Picture 40" descr="This is a regression line chart showing AbaF estimates rise as GOS rises. It is an illustration of figures presented in Table 3. The starting points are $111.6 million for AbaF and $235 billion for GOS in financial year 2001–02; which then rise to estimates of $268.5 million for AbaF as GOS value reaches $536.7 billion in financial year 2015–16. The measures are in millions of Australian dollars. The chart also presents upper and lower confidence and prediction intervals, which widen from 2010–11 financial year values onwards, illustrating that the accuracy of the predictions for each year are continuously reducing as the prediction years grow more distant from 2010–11. " title="Figure 2. GOS—AbaF linear model with confidence and prediction interva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Downloads\Figure 2. GOS Total estimates.jpeg"/>
                    <pic:cNvPicPr>
                      <a:picLocks noChangeAspect="1" noChangeArrowheads="1"/>
                    </pic:cNvPicPr>
                  </pic:nvPicPr>
                  <pic:blipFill rotWithShape="1">
                    <a:blip r:embed="rId24">
                      <a:extLst>
                        <a:ext uri="{28A0092B-C50C-407E-A947-70E740481C1C}">
                          <a14:useLocalDpi xmlns:a14="http://schemas.microsoft.com/office/drawing/2010/main" val="0"/>
                        </a:ext>
                      </a:extLst>
                    </a:blip>
                    <a:srcRect/>
                    <a:stretch/>
                  </pic:blipFill>
                  <pic:spPr bwMode="auto">
                    <a:xfrm>
                      <a:off x="0" y="0"/>
                      <a:ext cx="5731510" cy="3373913"/>
                    </a:xfrm>
                    <a:prstGeom prst="rect">
                      <a:avLst/>
                    </a:prstGeom>
                    <a:noFill/>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inline>
        </w:drawing>
      </w:r>
    </w:p>
    <w:p w14:paraId="2750FC2C" w14:textId="77777777" w:rsidR="00BD69B7" w:rsidRDefault="00BD69B7">
      <w:pPr>
        <w:spacing w:after="160" w:line="259" w:lineRule="auto"/>
      </w:pPr>
      <w:r>
        <w:br w:type="page"/>
      </w:r>
    </w:p>
    <w:p w14:paraId="68E6EEB0" w14:textId="77777777" w:rsidR="005D1423" w:rsidRDefault="00BD69B7" w:rsidP="00BD69B7">
      <w:pPr>
        <w:pStyle w:val="Heading3"/>
      </w:pPr>
      <w:bookmarkStart w:id="46" w:name="_Toc486261304"/>
      <w:bookmarkStart w:id="47" w:name="_Toc486319725"/>
      <w:r w:rsidRPr="00523164">
        <w:t>Models 1–3. Contrasting total support estimates</w:t>
      </w:r>
      <w:bookmarkEnd w:id="46"/>
      <w:bookmarkEnd w:id="47"/>
    </w:p>
    <w:p w14:paraId="7E5FB372" w14:textId="77777777" w:rsidR="00BD69B7" w:rsidRPr="00523164" w:rsidRDefault="00BD69B7" w:rsidP="00BD69B7">
      <w:r w:rsidRPr="00523164">
        <w:t>The three models used to produce estimates of the total private sector support for the arts have provided a broad range of values for each given year (</w:t>
      </w:r>
      <w:r w:rsidR="00ED08CC">
        <w:fldChar w:fldCharType="begin"/>
      </w:r>
      <w:r w:rsidR="00ED08CC">
        <w:instrText xml:space="preserve"> REF _Ref482082169  \* MERGEFORMAT </w:instrText>
      </w:r>
      <w:r w:rsidR="00ED08CC">
        <w:fldChar w:fldCharType="separate"/>
      </w:r>
      <w:r w:rsidR="00ED08CC" w:rsidRPr="00523164">
        <w:t xml:space="preserve">Table </w:t>
      </w:r>
      <w:r w:rsidR="00ED08CC">
        <w:t>4</w:t>
      </w:r>
      <w:r w:rsidR="00ED08CC">
        <w:fldChar w:fldCharType="end"/>
      </w:r>
      <w:r w:rsidRPr="00523164">
        <w:t>).</w:t>
      </w:r>
    </w:p>
    <w:p w14:paraId="387410A1" w14:textId="012B2FDA" w:rsidR="005D1423" w:rsidRDefault="00BD69B7" w:rsidP="00BD69B7">
      <w:r w:rsidRPr="00523164">
        <w:t>While both linear models had significant good fit and strong prediction levels, the GOS model is the best fit (R2 adjusted = 0.9704) and therefore the most likely estimate. However, this is likely an effect of a separate factor, such as the state of the economy, impacting on both business profitability and the level of private sector support for the arts. The GOS estimates would incorporate the structural impact on business income arising from the Global Financial Crisis (GFC) in 2007–</w:t>
      </w:r>
      <w:r w:rsidR="00991DF4">
        <w:t>0</w:t>
      </w:r>
      <w:r w:rsidRPr="00523164">
        <w:t>8, and are more likely than the AMPAG estimates to represent the overall trend for the sector. Following the GFC, both business and household income growth has slowed in Australia.</w:t>
      </w:r>
    </w:p>
    <w:p w14:paraId="57AEBFD6" w14:textId="77777777" w:rsidR="005D1423" w:rsidRDefault="00BD69B7" w:rsidP="00BD69B7">
      <w:r w:rsidRPr="00523164">
        <w:t xml:space="preserve">The </w:t>
      </w:r>
      <w:proofErr w:type="spellStart"/>
      <w:r w:rsidRPr="00523164">
        <w:t>AbaF</w:t>
      </w:r>
      <w:proofErr w:type="spellEnd"/>
      <w:r w:rsidRPr="00523164">
        <w:t xml:space="preserve"> projections are based on its lowest historical growth rate, which in the past two years aligns relatively closely with that modelled from the GOS data, and suggests that private sector support has continued to grow in real terms over the past six years.</w:t>
      </w:r>
    </w:p>
    <w:p w14:paraId="66025C4B" w14:textId="77777777" w:rsidR="00BD69B7" w:rsidRPr="00523164" w:rsidRDefault="00BD69B7" w:rsidP="00BD69B7">
      <w:r w:rsidRPr="00523164">
        <w:t>All estimates are significantly higher than the ABS 2014–15 survey based estimate of $204 million.</w:t>
      </w:r>
    </w:p>
    <w:p w14:paraId="039B8423" w14:textId="77777777" w:rsidR="00BD69B7" w:rsidRPr="00523164" w:rsidRDefault="00BD69B7" w:rsidP="00BD69B7">
      <w:pPr>
        <w:pStyle w:val="Tablefigureheading"/>
      </w:pPr>
      <w:bookmarkStart w:id="48" w:name="_Ref482082169"/>
      <w:bookmarkStart w:id="49" w:name="_Toc486587630"/>
      <w:r w:rsidRPr="00523164">
        <w:t xml:space="preserve">Table </w:t>
      </w:r>
      <w:fldSimple w:instr=" SEQ Table \* ARABIC ">
        <w:r w:rsidR="00ED08CC">
          <w:rPr>
            <w:noProof/>
          </w:rPr>
          <w:t>4</w:t>
        </w:r>
      </w:fldSimple>
      <w:bookmarkEnd w:id="48"/>
      <w:r w:rsidRPr="00523164">
        <w:t>. Summary of total estimated private sector support for the arts in Australia</w:t>
      </w:r>
      <w:bookmarkEnd w:id="49"/>
    </w:p>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CellMar>
          <w:top w:w="57" w:type="dxa"/>
          <w:bottom w:w="57" w:type="dxa"/>
        </w:tblCellMar>
        <w:tblLook w:val="04A0" w:firstRow="1" w:lastRow="0" w:firstColumn="1" w:lastColumn="0" w:noHBand="0" w:noVBand="1"/>
        <w:tblDescription w:val="Table 3. GOS data projections of AbaF estimates"/>
      </w:tblPr>
      <w:tblGrid>
        <w:gridCol w:w="1678"/>
        <w:gridCol w:w="2358"/>
        <w:gridCol w:w="2495"/>
        <w:gridCol w:w="2495"/>
      </w:tblGrid>
      <w:tr w:rsidR="00BD69B7" w14:paraId="27480B5B" w14:textId="77777777" w:rsidTr="00BC0293">
        <w:trPr>
          <w:cantSplit/>
          <w:tblHeader/>
        </w:trPr>
        <w:tc>
          <w:tcPr>
            <w:tcW w:w="1701" w:type="dxa"/>
            <w:tcBorders>
              <w:top w:val="nil"/>
              <w:left w:val="nil"/>
              <w:bottom w:val="thickThinLargeGap" w:sz="24" w:space="0" w:color="auto"/>
              <w:right w:val="nil"/>
            </w:tcBorders>
            <w:shd w:val="clear" w:color="auto" w:fill="113652"/>
          </w:tcPr>
          <w:p w14:paraId="0028F2DC" w14:textId="77777777" w:rsidR="00BD69B7" w:rsidRDefault="00BD69B7" w:rsidP="00BD69B7">
            <w:pPr>
              <w:pStyle w:val="Tableheading"/>
            </w:pPr>
            <w:r>
              <w:t>Financial year</w:t>
            </w:r>
          </w:p>
        </w:tc>
        <w:tc>
          <w:tcPr>
            <w:tcW w:w="2410" w:type="dxa"/>
            <w:tcBorders>
              <w:top w:val="nil"/>
              <w:left w:val="nil"/>
              <w:bottom w:val="thickThinLargeGap" w:sz="24" w:space="0" w:color="auto"/>
              <w:right w:val="nil"/>
            </w:tcBorders>
            <w:shd w:val="clear" w:color="auto" w:fill="113652"/>
          </w:tcPr>
          <w:p w14:paraId="3DF9819E" w14:textId="77777777" w:rsidR="00BD69B7" w:rsidRDefault="00BD69B7" w:rsidP="00BD69B7">
            <w:pPr>
              <w:pStyle w:val="Tableheading"/>
              <w:jc w:val="center"/>
            </w:pPr>
            <w:r w:rsidRPr="00EA0CCC">
              <w:t>Model 1:</w:t>
            </w:r>
          </w:p>
          <w:p w14:paraId="27EE5DDF" w14:textId="77777777" w:rsidR="00BD69B7" w:rsidRPr="00EA0CCC" w:rsidRDefault="00BD69B7" w:rsidP="00BD69B7">
            <w:pPr>
              <w:pStyle w:val="Tableheading"/>
              <w:jc w:val="center"/>
            </w:pPr>
            <w:proofErr w:type="spellStart"/>
            <w:r>
              <w:t>AbaF</w:t>
            </w:r>
            <w:proofErr w:type="spellEnd"/>
            <w:r w:rsidRPr="00EA0CCC">
              <w:t xml:space="preserve">  4%</w:t>
            </w:r>
          </w:p>
          <w:p w14:paraId="7E940335" w14:textId="77777777" w:rsidR="00BD69B7" w:rsidRPr="00EA0CCC" w:rsidRDefault="00BD69B7" w:rsidP="00BD69B7">
            <w:pPr>
              <w:pStyle w:val="Tableheading"/>
              <w:jc w:val="center"/>
            </w:pPr>
            <w:r w:rsidRPr="00EA0CCC">
              <w:t>(</w:t>
            </w:r>
            <w:r>
              <w:t>$ million</w:t>
            </w:r>
            <w:r w:rsidRPr="00EA0CCC">
              <w:t>)</w:t>
            </w:r>
          </w:p>
        </w:tc>
        <w:tc>
          <w:tcPr>
            <w:tcW w:w="2551" w:type="dxa"/>
            <w:tcBorders>
              <w:top w:val="nil"/>
              <w:left w:val="nil"/>
              <w:bottom w:val="thickThinLargeGap" w:sz="24" w:space="0" w:color="auto"/>
              <w:right w:val="nil"/>
            </w:tcBorders>
            <w:shd w:val="clear" w:color="auto" w:fill="113652"/>
          </w:tcPr>
          <w:p w14:paraId="0F4C083C" w14:textId="77777777" w:rsidR="00BD69B7" w:rsidRDefault="00BD69B7" w:rsidP="00BD69B7">
            <w:pPr>
              <w:pStyle w:val="Tableheading"/>
              <w:jc w:val="center"/>
            </w:pPr>
            <w:r w:rsidRPr="00EA0CCC">
              <w:t>Model 2:</w:t>
            </w:r>
          </w:p>
          <w:p w14:paraId="72E4A290" w14:textId="77777777" w:rsidR="00BD69B7" w:rsidRPr="00EA0CCC" w:rsidRDefault="00BD69B7" w:rsidP="00BD69B7">
            <w:pPr>
              <w:pStyle w:val="Tableheading"/>
              <w:jc w:val="center"/>
            </w:pPr>
            <w:r w:rsidRPr="00EA0CCC">
              <w:t>AMPAG</w:t>
            </w:r>
          </w:p>
          <w:p w14:paraId="483D5411" w14:textId="77777777" w:rsidR="00BD69B7" w:rsidRPr="00EA0CCC" w:rsidRDefault="00BD69B7" w:rsidP="00BD69B7">
            <w:pPr>
              <w:pStyle w:val="Tableheading"/>
              <w:jc w:val="center"/>
            </w:pPr>
            <w:r w:rsidRPr="00EA0CCC">
              <w:t>(</w:t>
            </w:r>
            <w:r>
              <w:t>$ million</w:t>
            </w:r>
            <w:r w:rsidRPr="00EA0CCC">
              <w:t>)</w:t>
            </w:r>
          </w:p>
        </w:tc>
        <w:tc>
          <w:tcPr>
            <w:tcW w:w="2551" w:type="dxa"/>
            <w:tcBorders>
              <w:top w:val="nil"/>
              <w:left w:val="nil"/>
              <w:bottom w:val="thickThinLargeGap" w:sz="24" w:space="0" w:color="auto"/>
              <w:right w:val="nil"/>
            </w:tcBorders>
            <w:shd w:val="clear" w:color="auto" w:fill="113652"/>
          </w:tcPr>
          <w:p w14:paraId="73CEDD6D" w14:textId="77777777" w:rsidR="00BD69B7" w:rsidRDefault="00BD69B7" w:rsidP="00BD69B7">
            <w:pPr>
              <w:pStyle w:val="Tableheading"/>
              <w:jc w:val="center"/>
            </w:pPr>
            <w:r w:rsidRPr="00EA0CCC">
              <w:t xml:space="preserve">Model </w:t>
            </w:r>
            <w:r>
              <w:t>3</w:t>
            </w:r>
            <w:r w:rsidRPr="00EA0CCC">
              <w:t>:</w:t>
            </w:r>
          </w:p>
          <w:p w14:paraId="621182DA" w14:textId="77777777" w:rsidR="00BD69B7" w:rsidRPr="00EA0CCC" w:rsidRDefault="00BD69B7" w:rsidP="00BD69B7">
            <w:pPr>
              <w:pStyle w:val="Tableheading"/>
              <w:jc w:val="center"/>
            </w:pPr>
            <w:r w:rsidRPr="00EA0CCC">
              <w:t>GOS</w:t>
            </w:r>
          </w:p>
          <w:p w14:paraId="54D5C088" w14:textId="77777777" w:rsidR="00BD69B7" w:rsidRPr="00EA0CCC" w:rsidRDefault="00BD69B7" w:rsidP="00BD69B7">
            <w:pPr>
              <w:pStyle w:val="Tableheading"/>
              <w:jc w:val="center"/>
            </w:pPr>
            <w:r>
              <w:t>($ million)</w:t>
            </w:r>
          </w:p>
        </w:tc>
      </w:tr>
      <w:tr w:rsidR="00BD69B7" w14:paraId="29360337" w14:textId="77777777" w:rsidTr="00BD69B7">
        <w:trPr>
          <w:cantSplit/>
        </w:trPr>
        <w:tc>
          <w:tcPr>
            <w:tcW w:w="1701" w:type="dxa"/>
            <w:tcBorders>
              <w:top w:val="thickThinLargeGap" w:sz="24" w:space="0" w:color="auto"/>
              <w:left w:val="nil"/>
              <w:bottom w:val="single" w:sz="4" w:space="0" w:color="auto"/>
              <w:right w:val="nil"/>
            </w:tcBorders>
          </w:tcPr>
          <w:p w14:paraId="11E875C2" w14:textId="77777777" w:rsidR="00BD69B7" w:rsidRPr="00EA0CCC" w:rsidRDefault="00BD69B7" w:rsidP="00BD69B7">
            <w:pPr>
              <w:pStyle w:val="Tabletext"/>
            </w:pPr>
            <w:r w:rsidRPr="00EA0CCC">
              <w:t>2010</w:t>
            </w:r>
            <w:r>
              <w:t>–</w:t>
            </w:r>
            <w:r w:rsidRPr="00EA0CCC">
              <w:t>11</w:t>
            </w:r>
          </w:p>
        </w:tc>
        <w:tc>
          <w:tcPr>
            <w:tcW w:w="2410" w:type="dxa"/>
            <w:tcBorders>
              <w:top w:val="thickThinLargeGap" w:sz="24" w:space="0" w:color="auto"/>
              <w:left w:val="nil"/>
              <w:bottom w:val="single" w:sz="4" w:space="0" w:color="auto"/>
              <w:right w:val="nil"/>
            </w:tcBorders>
          </w:tcPr>
          <w:p w14:paraId="1DFA42D5" w14:textId="77777777" w:rsidR="00BD69B7" w:rsidRPr="00EA0CCC" w:rsidRDefault="00BD69B7" w:rsidP="009310B1">
            <w:pPr>
              <w:pStyle w:val="Tabletext"/>
              <w:jc w:val="center"/>
            </w:pPr>
            <w:r w:rsidRPr="00EA0CCC">
              <w:t>229.9</w:t>
            </w:r>
          </w:p>
        </w:tc>
        <w:tc>
          <w:tcPr>
            <w:tcW w:w="2551" w:type="dxa"/>
            <w:tcBorders>
              <w:top w:val="thickThinLargeGap" w:sz="24" w:space="0" w:color="auto"/>
              <w:left w:val="nil"/>
              <w:bottom w:val="single" w:sz="4" w:space="0" w:color="auto"/>
              <w:right w:val="nil"/>
            </w:tcBorders>
            <w:vAlign w:val="bottom"/>
          </w:tcPr>
          <w:p w14:paraId="24E2B76D" w14:textId="77777777" w:rsidR="00BD69B7" w:rsidRPr="00EA0CCC" w:rsidRDefault="00BD69B7" w:rsidP="009310B1">
            <w:pPr>
              <w:pStyle w:val="Tabletext"/>
              <w:jc w:val="center"/>
              <w:rPr>
                <w:i/>
              </w:rPr>
            </w:pPr>
            <w:r w:rsidRPr="00EA0CCC">
              <w:t>268.3</w:t>
            </w:r>
          </w:p>
        </w:tc>
        <w:tc>
          <w:tcPr>
            <w:tcW w:w="2551" w:type="dxa"/>
            <w:tcBorders>
              <w:top w:val="thickThinLargeGap" w:sz="24" w:space="0" w:color="auto"/>
              <w:left w:val="nil"/>
              <w:bottom w:val="single" w:sz="4" w:space="0" w:color="auto"/>
              <w:right w:val="nil"/>
            </w:tcBorders>
            <w:vAlign w:val="bottom"/>
          </w:tcPr>
          <w:p w14:paraId="28A3A678" w14:textId="77777777" w:rsidR="00BD69B7" w:rsidRPr="00EA0CCC" w:rsidRDefault="00BD69B7" w:rsidP="009310B1">
            <w:pPr>
              <w:pStyle w:val="Tabletext"/>
              <w:jc w:val="center"/>
            </w:pPr>
            <w:r w:rsidRPr="00EA0CCC">
              <w:t>244.6</w:t>
            </w:r>
          </w:p>
        </w:tc>
      </w:tr>
      <w:tr w:rsidR="00BD69B7" w14:paraId="6F2DE4FF" w14:textId="77777777" w:rsidTr="00BC0293">
        <w:trPr>
          <w:cantSplit/>
        </w:trPr>
        <w:tc>
          <w:tcPr>
            <w:tcW w:w="1701" w:type="dxa"/>
            <w:tcBorders>
              <w:top w:val="single" w:sz="4" w:space="0" w:color="auto"/>
              <w:left w:val="nil"/>
              <w:bottom w:val="single" w:sz="4" w:space="0" w:color="auto"/>
              <w:right w:val="nil"/>
            </w:tcBorders>
          </w:tcPr>
          <w:p w14:paraId="1826229C" w14:textId="77777777" w:rsidR="00BD69B7" w:rsidRPr="00EA0CCC" w:rsidRDefault="00BD69B7" w:rsidP="00BD69B7">
            <w:pPr>
              <w:pStyle w:val="Tabletext"/>
            </w:pPr>
            <w:r w:rsidRPr="00EA0CCC">
              <w:t>2011</w:t>
            </w:r>
            <w:r>
              <w:t>–</w:t>
            </w:r>
            <w:r w:rsidRPr="00EA0CCC">
              <w:t>12</w:t>
            </w:r>
          </w:p>
        </w:tc>
        <w:tc>
          <w:tcPr>
            <w:tcW w:w="2410" w:type="dxa"/>
            <w:tcBorders>
              <w:top w:val="single" w:sz="4" w:space="0" w:color="auto"/>
              <w:left w:val="nil"/>
              <w:bottom w:val="single" w:sz="4" w:space="0" w:color="auto"/>
              <w:right w:val="nil"/>
            </w:tcBorders>
          </w:tcPr>
          <w:p w14:paraId="0A0A750B" w14:textId="77777777" w:rsidR="00BD69B7" w:rsidRPr="00EA0CCC" w:rsidRDefault="00BD69B7" w:rsidP="009310B1">
            <w:pPr>
              <w:pStyle w:val="Tabletext"/>
              <w:jc w:val="center"/>
            </w:pPr>
            <w:r w:rsidRPr="00EA0CCC">
              <w:t>239.1</w:t>
            </w:r>
          </w:p>
        </w:tc>
        <w:tc>
          <w:tcPr>
            <w:tcW w:w="2551" w:type="dxa"/>
            <w:tcBorders>
              <w:top w:val="single" w:sz="4" w:space="0" w:color="auto"/>
              <w:left w:val="nil"/>
              <w:bottom w:val="single" w:sz="4" w:space="0" w:color="auto"/>
              <w:right w:val="nil"/>
            </w:tcBorders>
            <w:vAlign w:val="bottom"/>
          </w:tcPr>
          <w:p w14:paraId="4E38ED94" w14:textId="77777777" w:rsidR="00BD69B7" w:rsidRPr="00EA0CCC" w:rsidRDefault="00BD69B7" w:rsidP="009310B1">
            <w:pPr>
              <w:pStyle w:val="Tabletext"/>
              <w:jc w:val="center"/>
              <w:rPr>
                <w:i/>
              </w:rPr>
            </w:pPr>
            <w:r w:rsidRPr="00EA0CCC">
              <w:t>295.4</w:t>
            </w:r>
          </w:p>
        </w:tc>
        <w:tc>
          <w:tcPr>
            <w:tcW w:w="2551" w:type="dxa"/>
            <w:tcBorders>
              <w:top w:val="single" w:sz="4" w:space="0" w:color="auto"/>
              <w:left w:val="nil"/>
              <w:bottom w:val="single" w:sz="4" w:space="0" w:color="auto"/>
              <w:right w:val="nil"/>
            </w:tcBorders>
            <w:vAlign w:val="bottom"/>
          </w:tcPr>
          <w:p w14:paraId="78FF24A6" w14:textId="77777777" w:rsidR="00BD69B7" w:rsidRPr="00EA0CCC" w:rsidRDefault="00BD69B7" w:rsidP="009310B1">
            <w:pPr>
              <w:pStyle w:val="Tabletext"/>
              <w:jc w:val="center"/>
            </w:pPr>
            <w:r w:rsidRPr="00EA0CCC">
              <w:t>259.3</w:t>
            </w:r>
          </w:p>
        </w:tc>
      </w:tr>
      <w:tr w:rsidR="00BD69B7" w14:paraId="356EFFED" w14:textId="77777777" w:rsidTr="00BC0293">
        <w:trPr>
          <w:cantSplit/>
        </w:trPr>
        <w:tc>
          <w:tcPr>
            <w:tcW w:w="1701" w:type="dxa"/>
            <w:tcBorders>
              <w:top w:val="single" w:sz="4" w:space="0" w:color="auto"/>
              <w:left w:val="nil"/>
              <w:bottom w:val="single" w:sz="4" w:space="0" w:color="auto"/>
              <w:right w:val="nil"/>
            </w:tcBorders>
          </w:tcPr>
          <w:p w14:paraId="4EB6EBAB" w14:textId="77777777" w:rsidR="00BD69B7" w:rsidRPr="00EA0CCC" w:rsidRDefault="00BD69B7" w:rsidP="00BD69B7">
            <w:pPr>
              <w:pStyle w:val="Tabletext"/>
            </w:pPr>
            <w:r w:rsidRPr="00EA0CCC">
              <w:t>2012</w:t>
            </w:r>
            <w:r>
              <w:t>–</w:t>
            </w:r>
            <w:r w:rsidRPr="00EA0CCC">
              <w:t>13</w:t>
            </w:r>
          </w:p>
        </w:tc>
        <w:tc>
          <w:tcPr>
            <w:tcW w:w="2410" w:type="dxa"/>
            <w:tcBorders>
              <w:top w:val="single" w:sz="4" w:space="0" w:color="auto"/>
              <w:left w:val="nil"/>
              <w:bottom w:val="single" w:sz="4" w:space="0" w:color="auto"/>
              <w:right w:val="nil"/>
            </w:tcBorders>
          </w:tcPr>
          <w:p w14:paraId="5A7BE1A7" w14:textId="77777777" w:rsidR="00BD69B7" w:rsidRPr="00EA0CCC" w:rsidRDefault="00BD69B7" w:rsidP="009310B1">
            <w:pPr>
              <w:pStyle w:val="Tabletext"/>
              <w:jc w:val="center"/>
            </w:pPr>
            <w:r w:rsidRPr="00EA0CCC">
              <w:t>248.7</w:t>
            </w:r>
          </w:p>
        </w:tc>
        <w:tc>
          <w:tcPr>
            <w:tcW w:w="2551" w:type="dxa"/>
            <w:tcBorders>
              <w:top w:val="single" w:sz="4" w:space="0" w:color="auto"/>
              <w:left w:val="nil"/>
              <w:bottom w:val="single" w:sz="4" w:space="0" w:color="auto"/>
              <w:right w:val="nil"/>
            </w:tcBorders>
            <w:vAlign w:val="bottom"/>
          </w:tcPr>
          <w:p w14:paraId="5D8C9809" w14:textId="77777777" w:rsidR="00BD69B7" w:rsidRPr="00EA0CCC" w:rsidRDefault="00BD69B7" w:rsidP="009310B1">
            <w:pPr>
              <w:pStyle w:val="Tabletext"/>
              <w:jc w:val="center"/>
              <w:rPr>
                <w:i/>
              </w:rPr>
            </w:pPr>
            <w:r w:rsidRPr="00EA0CCC">
              <w:t>313.2</w:t>
            </w:r>
          </w:p>
        </w:tc>
        <w:tc>
          <w:tcPr>
            <w:tcW w:w="2551" w:type="dxa"/>
            <w:tcBorders>
              <w:top w:val="single" w:sz="4" w:space="0" w:color="auto"/>
              <w:left w:val="nil"/>
              <w:bottom w:val="single" w:sz="4" w:space="0" w:color="auto"/>
              <w:right w:val="nil"/>
            </w:tcBorders>
            <w:vAlign w:val="bottom"/>
          </w:tcPr>
          <w:p w14:paraId="75B17F56" w14:textId="77777777" w:rsidR="00BD69B7" w:rsidRPr="00EA0CCC" w:rsidRDefault="00BD69B7" w:rsidP="009310B1">
            <w:pPr>
              <w:pStyle w:val="Tabletext"/>
              <w:jc w:val="center"/>
            </w:pPr>
            <w:r w:rsidRPr="00EA0CCC">
              <w:t>260.4</w:t>
            </w:r>
          </w:p>
        </w:tc>
      </w:tr>
      <w:tr w:rsidR="00BD69B7" w14:paraId="7328BB76" w14:textId="77777777" w:rsidTr="00BC0293">
        <w:trPr>
          <w:cantSplit/>
        </w:trPr>
        <w:tc>
          <w:tcPr>
            <w:tcW w:w="1701" w:type="dxa"/>
            <w:tcBorders>
              <w:top w:val="single" w:sz="4" w:space="0" w:color="auto"/>
              <w:left w:val="nil"/>
              <w:bottom w:val="single" w:sz="4" w:space="0" w:color="auto"/>
              <w:right w:val="nil"/>
            </w:tcBorders>
          </w:tcPr>
          <w:p w14:paraId="7E5D0055" w14:textId="77777777" w:rsidR="00BD69B7" w:rsidRPr="00EA0CCC" w:rsidRDefault="00BD69B7" w:rsidP="00BD69B7">
            <w:pPr>
              <w:pStyle w:val="Tabletext"/>
            </w:pPr>
            <w:r w:rsidRPr="00EA0CCC">
              <w:t>2013</w:t>
            </w:r>
            <w:r>
              <w:t>–</w:t>
            </w:r>
            <w:r w:rsidRPr="00EA0CCC">
              <w:t>14</w:t>
            </w:r>
          </w:p>
        </w:tc>
        <w:tc>
          <w:tcPr>
            <w:tcW w:w="2410" w:type="dxa"/>
            <w:tcBorders>
              <w:top w:val="single" w:sz="4" w:space="0" w:color="auto"/>
              <w:left w:val="nil"/>
              <w:bottom w:val="single" w:sz="4" w:space="0" w:color="auto"/>
              <w:right w:val="nil"/>
            </w:tcBorders>
          </w:tcPr>
          <w:p w14:paraId="50E2C9E5" w14:textId="77777777" w:rsidR="00BD69B7" w:rsidRPr="00EA0CCC" w:rsidRDefault="00BD69B7" w:rsidP="009310B1">
            <w:pPr>
              <w:pStyle w:val="Tabletext"/>
              <w:jc w:val="center"/>
            </w:pPr>
            <w:r w:rsidRPr="00EA0CCC">
              <w:t>258.7</w:t>
            </w:r>
          </w:p>
        </w:tc>
        <w:tc>
          <w:tcPr>
            <w:tcW w:w="2551" w:type="dxa"/>
            <w:tcBorders>
              <w:top w:val="single" w:sz="4" w:space="0" w:color="auto"/>
              <w:left w:val="nil"/>
              <w:bottom w:val="single" w:sz="4" w:space="0" w:color="auto"/>
              <w:right w:val="nil"/>
            </w:tcBorders>
            <w:vAlign w:val="bottom"/>
          </w:tcPr>
          <w:p w14:paraId="27682A56" w14:textId="77777777" w:rsidR="00BD69B7" w:rsidRPr="00EA0CCC" w:rsidRDefault="00BD69B7" w:rsidP="009310B1">
            <w:pPr>
              <w:pStyle w:val="Tabletext"/>
              <w:jc w:val="center"/>
              <w:rPr>
                <w:i/>
              </w:rPr>
            </w:pPr>
            <w:r w:rsidRPr="00EA0CCC">
              <w:t>353.0</w:t>
            </w:r>
          </w:p>
        </w:tc>
        <w:tc>
          <w:tcPr>
            <w:tcW w:w="2551" w:type="dxa"/>
            <w:tcBorders>
              <w:top w:val="single" w:sz="4" w:space="0" w:color="auto"/>
              <w:left w:val="nil"/>
              <w:bottom w:val="single" w:sz="4" w:space="0" w:color="auto"/>
              <w:right w:val="nil"/>
            </w:tcBorders>
            <w:vAlign w:val="bottom"/>
          </w:tcPr>
          <w:p w14:paraId="622CFE68" w14:textId="77777777" w:rsidR="00BD69B7" w:rsidRPr="00EA0CCC" w:rsidRDefault="00BD69B7" w:rsidP="009310B1">
            <w:pPr>
              <w:pStyle w:val="Tabletext"/>
              <w:jc w:val="center"/>
            </w:pPr>
            <w:r w:rsidRPr="00EA0CCC">
              <w:t>271.3</w:t>
            </w:r>
          </w:p>
        </w:tc>
      </w:tr>
      <w:tr w:rsidR="00BD69B7" w14:paraId="2DEDA9CC" w14:textId="77777777" w:rsidTr="00BC0293">
        <w:trPr>
          <w:cantSplit/>
        </w:trPr>
        <w:tc>
          <w:tcPr>
            <w:tcW w:w="1701" w:type="dxa"/>
            <w:tcBorders>
              <w:top w:val="single" w:sz="4" w:space="0" w:color="auto"/>
              <w:left w:val="nil"/>
              <w:bottom w:val="single" w:sz="4" w:space="0" w:color="auto"/>
              <w:right w:val="nil"/>
            </w:tcBorders>
          </w:tcPr>
          <w:p w14:paraId="7CAC9C58" w14:textId="77777777" w:rsidR="00BD69B7" w:rsidRPr="00EA0CCC" w:rsidRDefault="00BD69B7" w:rsidP="00BD69B7">
            <w:pPr>
              <w:pStyle w:val="Tabletext"/>
            </w:pPr>
            <w:r w:rsidRPr="00EA0CCC">
              <w:t>2014</w:t>
            </w:r>
            <w:r>
              <w:t>–</w:t>
            </w:r>
            <w:r w:rsidRPr="00EA0CCC">
              <w:t>15</w:t>
            </w:r>
          </w:p>
        </w:tc>
        <w:tc>
          <w:tcPr>
            <w:tcW w:w="2410" w:type="dxa"/>
            <w:tcBorders>
              <w:top w:val="single" w:sz="4" w:space="0" w:color="auto"/>
              <w:left w:val="nil"/>
              <w:bottom w:val="single" w:sz="4" w:space="0" w:color="auto"/>
              <w:right w:val="nil"/>
            </w:tcBorders>
          </w:tcPr>
          <w:p w14:paraId="04F6CD30" w14:textId="77777777" w:rsidR="00BD69B7" w:rsidRPr="00EA0CCC" w:rsidRDefault="00BD69B7" w:rsidP="009310B1">
            <w:pPr>
              <w:pStyle w:val="Tabletext"/>
              <w:jc w:val="center"/>
            </w:pPr>
            <w:r w:rsidRPr="00EA0CCC">
              <w:t>269.0</w:t>
            </w:r>
          </w:p>
        </w:tc>
        <w:tc>
          <w:tcPr>
            <w:tcW w:w="2551" w:type="dxa"/>
            <w:tcBorders>
              <w:top w:val="single" w:sz="4" w:space="0" w:color="auto"/>
              <w:left w:val="nil"/>
              <w:bottom w:val="single" w:sz="4" w:space="0" w:color="auto"/>
              <w:right w:val="nil"/>
            </w:tcBorders>
            <w:vAlign w:val="bottom"/>
          </w:tcPr>
          <w:p w14:paraId="0B2A6F9A" w14:textId="77777777" w:rsidR="00BD69B7" w:rsidRPr="00EA0CCC" w:rsidRDefault="00BD69B7" w:rsidP="009310B1">
            <w:pPr>
              <w:pStyle w:val="Tabletext"/>
              <w:jc w:val="center"/>
            </w:pPr>
            <w:r w:rsidRPr="00EA0CCC">
              <w:t>383.0</w:t>
            </w:r>
          </w:p>
        </w:tc>
        <w:tc>
          <w:tcPr>
            <w:tcW w:w="2551" w:type="dxa"/>
            <w:tcBorders>
              <w:top w:val="single" w:sz="4" w:space="0" w:color="auto"/>
              <w:left w:val="nil"/>
              <w:bottom w:val="single" w:sz="4" w:space="0" w:color="auto"/>
              <w:right w:val="nil"/>
            </w:tcBorders>
            <w:vAlign w:val="bottom"/>
          </w:tcPr>
          <w:p w14:paraId="76080D28" w14:textId="77777777" w:rsidR="00BD69B7" w:rsidRPr="00EA0CCC" w:rsidRDefault="00BD69B7" w:rsidP="009310B1">
            <w:pPr>
              <w:pStyle w:val="Tabletext"/>
              <w:jc w:val="center"/>
            </w:pPr>
            <w:r w:rsidRPr="00EA0CCC">
              <w:t>268.6</w:t>
            </w:r>
          </w:p>
        </w:tc>
      </w:tr>
      <w:tr w:rsidR="00BD69B7" w14:paraId="7F7958D2" w14:textId="77777777" w:rsidTr="00BC0293">
        <w:trPr>
          <w:cantSplit/>
        </w:trPr>
        <w:tc>
          <w:tcPr>
            <w:tcW w:w="1701" w:type="dxa"/>
            <w:tcBorders>
              <w:top w:val="single" w:sz="4" w:space="0" w:color="auto"/>
              <w:left w:val="nil"/>
              <w:bottom w:val="single" w:sz="18" w:space="0" w:color="auto"/>
              <w:right w:val="nil"/>
            </w:tcBorders>
          </w:tcPr>
          <w:p w14:paraId="1197D11A" w14:textId="77777777" w:rsidR="00BD69B7" w:rsidRPr="00EA0CCC" w:rsidRDefault="00BD69B7" w:rsidP="00BD69B7">
            <w:pPr>
              <w:pStyle w:val="Tabletext"/>
            </w:pPr>
            <w:r w:rsidRPr="00EA0CCC">
              <w:t>2015</w:t>
            </w:r>
            <w:r>
              <w:t>–</w:t>
            </w:r>
            <w:r w:rsidRPr="00EA0CCC">
              <w:t>16</w:t>
            </w:r>
          </w:p>
        </w:tc>
        <w:tc>
          <w:tcPr>
            <w:tcW w:w="2410" w:type="dxa"/>
            <w:tcBorders>
              <w:top w:val="single" w:sz="4" w:space="0" w:color="auto"/>
              <w:left w:val="nil"/>
              <w:bottom w:val="single" w:sz="18" w:space="0" w:color="auto"/>
              <w:right w:val="nil"/>
            </w:tcBorders>
          </w:tcPr>
          <w:p w14:paraId="083D8BB2" w14:textId="77777777" w:rsidR="00BD69B7" w:rsidRPr="00EA0CCC" w:rsidRDefault="00BD69B7" w:rsidP="009310B1">
            <w:pPr>
              <w:pStyle w:val="Tabletext"/>
              <w:jc w:val="center"/>
            </w:pPr>
            <w:r w:rsidRPr="00EA0CCC">
              <w:t>279.8</w:t>
            </w:r>
          </w:p>
        </w:tc>
        <w:tc>
          <w:tcPr>
            <w:tcW w:w="2551" w:type="dxa"/>
            <w:tcBorders>
              <w:top w:val="single" w:sz="4" w:space="0" w:color="auto"/>
              <w:left w:val="nil"/>
              <w:bottom w:val="single" w:sz="18" w:space="0" w:color="auto"/>
              <w:right w:val="nil"/>
            </w:tcBorders>
          </w:tcPr>
          <w:p w14:paraId="3C24D673" w14:textId="77777777" w:rsidR="00BD69B7" w:rsidRPr="00EA0CCC" w:rsidRDefault="00BD69B7" w:rsidP="009310B1">
            <w:pPr>
              <w:pStyle w:val="Tabletext"/>
              <w:jc w:val="center"/>
            </w:pPr>
            <w:r w:rsidRPr="00EA0CCC">
              <w:t>-</w:t>
            </w:r>
          </w:p>
        </w:tc>
        <w:tc>
          <w:tcPr>
            <w:tcW w:w="2551" w:type="dxa"/>
            <w:tcBorders>
              <w:top w:val="single" w:sz="4" w:space="0" w:color="auto"/>
              <w:left w:val="nil"/>
              <w:bottom w:val="single" w:sz="18" w:space="0" w:color="auto"/>
              <w:right w:val="nil"/>
            </w:tcBorders>
            <w:vAlign w:val="bottom"/>
          </w:tcPr>
          <w:p w14:paraId="6C43C8C0" w14:textId="77777777" w:rsidR="00BD69B7" w:rsidRPr="00EA0CCC" w:rsidRDefault="00BD69B7" w:rsidP="009310B1">
            <w:pPr>
              <w:pStyle w:val="Tabletext"/>
              <w:jc w:val="center"/>
            </w:pPr>
            <w:r w:rsidRPr="00EA0CCC">
              <w:t>268.5</w:t>
            </w:r>
          </w:p>
        </w:tc>
      </w:tr>
    </w:tbl>
    <w:p w14:paraId="6D515FDB" w14:textId="77777777" w:rsidR="00666FC7" w:rsidRDefault="00666FC7" w:rsidP="00BD69B7"/>
    <w:p w14:paraId="65D7403B" w14:textId="77777777" w:rsidR="005D1423" w:rsidRDefault="00ED08CC" w:rsidP="00E16466">
      <w:r>
        <w:fldChar w:fldCharType="begin"/>
      </w:r>
      <w:r>
        <w:instrText xml:space="preserve"> REF _Ref482081686  \* MERGEFORMAT </w:instrText>
      </w:r>
      <w:r>
        <w:fldChar w:fldCharType="separate"/>
      </w:r>
      <w:r w:rsidRPr="00523164">
        <w:t xml:space="preserve">Figure </w:t>
      </w:r>
      <w:r>
        <w:t>3</w:t>
      </w:r>
      <w:r>
        <w:fldChar w:fldCharType="end"/>
      </w:r>
      <w:r w:rsidR="00E16466" w:rsidRPr="00523164">
        <w:t xml:space="preserve"> below presents the average prediction for each model. The models immediately start to diverge once they exit the range of the </w:t>
      </w:r>
      <w:proofErr w:type="spellStart"/>
      <w:r w:rsidR="00E16466" w:rsidRPr="00523164">
        <w:t>AbaF</w:t>
      </w:r>
      <w:proofErr w:type="spellEnd"/>
      <w:r w:rsidR="00E16466" w:rsidRPr="00523164">
        <w:t xml:space="preserve"> data. This is most notable for the AMPAG model, which is based on Australia’s 28 major performing arts companies. As such, the AMPAG estimates are likely to overstate the overall trend for the sector, due to the significant variation in the size, and the nature of activity, of arts organisations in Australia.</w:t>
      </w:r>
    </w:p>
    <w:p w14:paraId="0DC7F206" w14:textId="77777777" w:rsidR="00E16466" w:rsidRPr="00523164" w:rsidRDefault="00E16466" w:rsidP="00E16466">
      <w:pPr>
        <w:pStyle w:val="Figureheading"/>
      </w:pPr>
      <w:bookmarkStart w:id="50" w:name="_Ref482081686"/>
      <w:bookmarkStart w:id="51" w:name="_Toc486587619"/>
      <w:r w:rsidRPr="00523164">
        <w:t xml:space="preserve">Figure </w:t>
      </w:r>
      <w:fldSimple w:instr=" SEQ Figure \* ARABIC ">
        <w:r w:rsidR="00ED08CC">
          <w:rPr>
            <w:noProof/>
          </w:rPr>
          <w:t>3</w:t>
        </w:r>
      </w:fldSimple>
      <w:bookmarkEnd w:id="50"/>
      <w:r w:rsidRPr="00523164">
        <w:t>. Private sector total support estimates for the arts in Australia</w:t>
      </w:r>
      <w:bookmarkEnd w:id="51"/>
    </w:p>
    <w:p w14:paraId="4A9C9ACF" w14:textId="77777777" w:rsidR="00E16466" w:rsidRPr="00523164" w:rsidRDefault="00E16466" w:rsidP="00E16466">
      <w:r w:rsidRPr="00523164">
        <w:rPr>
          <w:noProof/>
          <w:lang w:eastAsia="zh-TW" w:bidi="hi-IN"/>
        </w:rPr>
        <w:drawing>
          <wp:inline distT="0" distB="0" distL="0" distR="0" wp14:anchorId="727FCA51" wp14:editId="2B816E41">
            <wp:extent cx="5736590" cy="4011295"/>
            <wp:effectExtent l="0" t="0" r="0" b="8255"/>
            <wp:docPr id="38" name="Picture 38" descr="This is a line chart encompassing all the data points presented in all of the tables that relate to the total support for the arts, which are tables 1, 2, 3 and 13. It provides a comparison of growth projections of private sector support as modelled on AbaF separately with AMPAG, GOS, and a 4 per cent conservative growth of AbaF. The chart shows support around $100 million in 2001–02 for all variables, but predictions diverge immediately from financial year 2009–10. The AbaF 4 per cent growth projection and the GOS average projection on AbaF increase relatively smoothly from this point. In contrast, AMPAG predictions diverge significantly from 2009–10, growing faster than the rest and finishing at around $380 million in 2014–15. GOS predictions experience the second largest growth for the first four years, but growth then stalls in 2014–15 and 2015–16, resting at around $270 million in 2015–16. The slowest growing predictions relate to the 4 per cent growth on AbaF, however, this finishes slightly higher than the GOS prediction in 2015–16, at around $280 million. The single ABS estimate point for 2014–15, sits below all the other estimates at around $200 million." title="Figure 3. Private sector total support estimates for the arts in Austral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736590" cy="4011295"/>
                    </a:xfrm>
                    <a:prstGeom prst="rect">
                      <a:avLst/>
                    </a:prstGeom>
                    <a:noFill/>
                  </pic:spPr>
                </pic:pic>
              </a:graphicData>
            </a:graphic>
          </wp:inline>
        </w:drawing>
      </w:r>
    </w:p>
    <w:p w14:paraId="74EBCDBD" w14:textId="77777777" w:rsidR="00E25A11" w:rsidRDefault="00E25A11">
      <w:pPr>
        <w:spacing w:after="160" w:line="259" w:lineRule="auto"/>
      </w:pPr>
      <w:r>
        <w:br w:type="page"/>
      </w:r>
    </w:p>
    <w:p w14:paraId="1540C3FF" w14:textId="77777777" w:rsidR="00E25A11" w:rsidRPr="001E0C6D" w:rsidRDefault="00E25A11" w:rsidP="005B4B7C">
      <w:pPr>
        <w:pStyle w:val="Heading2"/>
        <w:tabs>
          <w:tab w:val="clear" w:pos="2268"/>
          <w:tab w:val="left" w:pos="1701"/>
        </w:tabs>
      </w:pPr>
      <w:bookmarkStart w:id="52" w:name="_Toc468868236"/>
      <w:bookmarkStart w:id="53" w:name="_Toc486261305"/>
      <w:bookmarkStart w:id="54" w:name="_Toc486319726"/>
      <w:r w:rsidRPr="00E25A11">
        <w:rPr>
          <w:color w:val="auto"/>
        </w:rPr>
        <w:t>Chapter 2.</w:t>
      </w:r>
      <w:r>
        <w:tab/>
      </w:r>
      <w:r w:rsidRPr="001E0C6D">
        <w:t>Donations estimates: results and findings</w:t>
      </w:r>
      <w:bookmarkEnd w:id="52"/>
      <w:bookmarkEnd w:id="53"/>
      <w:bookmarkEnd w:id="54"/>
    </w:p>
    <w:p w14:paraId="70ABDCAF" w14:textId="77777777" w:rsidR="005D1423" w:rsidRDefault="00E25A11" w:rsidP="00E25A11">
      <w:pPr>
        <w:pStyle w:val="Heading3"/>
      </w:pPr>
      <w:bookmarkStart w:id="55" w:name="_Toc468868237"/>
      <w:bookmarkStart w:id="56" w:name="_Toc486261306"/>
      <w:bookmarkStart w:id="57" w:name="_Toc486319727"/>
      <w:r w:rsidRPr="001E0C6D">
        <w:t xml:space="preserve">Model 4. </w:t>
      </w:r>
      <w:proofErr w:type="spellStart"/>
      <w:r w:rsidRPr="001E0C6D">
        <w:t>AbaF</w:t>
      </w:r>
      <w:proofErr w:type="spellEnd"/>
      <w:r w:rsidRPr="001E0C6D">
        <w:t xml:space="preserve"> donations lowest positive historical growth of 6.2 per cent</w:t>
      </w:r>
      <w:bookmarkEnd w:id="55"/>
      <w:bookmarkEnd w:id="56"/>
      <w:bookmarkEnd w:id="57"/>
    </w:p>
    <w:p w14:paraId="0C3E179E" w14:textId="77777777" w:rsidR="00E25A11" w:rsidRPr="001E0C6D" w:rsidRDefault="00E25A11" w:rsidP="00E25A11">
      <w:r w:rsidRPr="001E0C6D">
        <w:t xml:space="preserve">Private sector donations data was provided by </w:t>
      </w:r>
      <w:proofErr w:type="spellStart"/>
      <w:r w:rsidRPr="001E0C6D">
        <w:t>AbaF</w:t>
      </w:r>
      <w:proofErr w:type="spellEnd"/>
      <w:r w:rsidRPr="001E0C6D">
        <w:t xml:space="preserve"> survey-based estimates, between 2001–02 and 2009–10. In that time, year to year growth estimates were volatile, with growth rates that ranged from -0.3 per cent (2005–06 to 2006–07) to 38.6 per cent (2004–05 to 2005–06). For the final two surveys, estimated growth was 10.5 and 6.2 per cent respectively. With such variation in the growth rates, the estimates presented in Table 5 should be treated with caution.</w:t>
      </w:r>
    </w:p>
    <w:p w14:paraId="451CCD8F" w14:textId="77777777" w:rsidR="00E25A11" w:rsidRPr="001E0C6D" w:rsidRDefault="00E25A11" w:rsidP="00E25A11">
      <w:r w:rsidRPr="001E0C6D">
        <w:t xml:space="preserve">For the purpose of obtaining a conservative projection rate, this model is based on the </w:t>
      </w:r>
      <w:proofErr w:type="spellStart"/>
      <w:r w:rsidRPr="001E0C6D">
        <w:t>AbaF</w:t>
      </w:r>
      <w:proofErr w:type="spellEnd"/>
      <w:r w:rsidRPr="001E0C6D">
        <w:t xml:space="preserve"> donations lowest positive historical growth rate of 6.2 per cent, with projected figures as outlined in </w:t>
      </w:r>
      <w:r w:rsidRPr="001E0C6D">
        <w:fldChar w:fldCharType="begin"/>
      </w:r>
      <w:r w:rsidRPr="001E0C6D">
        <w:instrText xml:space="preserve"> REF _Ref468882582 \h  \* MERGEFORMAT </w:instrText>
      </w:r>
      <w:r w:rsidRPr="001E0C6D">
        <w:fldChar w:fldCharType="separate"/>
      </w:r>
      <w:r w:rsidR="00ED08CC" w:rsidRPr="001E0C6D">
        <w:t xml:space="preserve">Table </w:t>
      </w:r>
      <w:r w:rsidR="00ED08CC">
        <w:t>5</w:t>
      </w:r>
      <w:r w:rsidRPr="001E0C6D">
        <w:fldChar w:fldCharType="end"/>
      </w:r>
      <w:r w:rsidR="009310B1">
        <w:t>.</w:t>
      </w:r>
    </w:p>
    <w:p w14:paraId="7D06B386" w14:textId="77777777" w:rsidR="00E25A11" w:rsidRDefault="00E25A11" w:rsidP="009310B1">
      <w:pPr>
        <w:pStyle w:val="Tablefigureheading"/>
      </w:pPr>
      <w:bookmarkStart w:id="58" w:name="_Ref468882582"/>
      <w:bookmarkStart w:id="59" w:name="_Toc486587631"/>
      <w:r w:rsidRPr="001E0C6D">
        <w:t xml:space="preserve">Table </w:t>
      </w:r>
      <w:fldSimple w:instr=" SEQ Table \* ARABIC ">
        <w:r w:rsidR="00ED08CC">
          <w:rPr>
            <w:noProof/>
          </w:rPr>
          <w:t>5</w:t>
        </w:r>
      </w:fldSimple>
      <w:bookmarkEnd w:id="58"/>
      <w:r w:rsidRPr="001E0C6D">
        <w:t xml:space="preserve">. </w:t>
      </w:r>
      <w:proofErr w:type="spellStart"/>
      <w:r w:rsidRPr="001E0C6D">
        <w:t>AbaF</w:t>
      </w:r>
      <w:proofErr w:type="spellEnd"/>
      <w:r w:rsidRPr="001E0C6D">
        <w:t xml:space="preserve"> donations estimates with 6.2 per cent growth projection</w:t>
      </w:r>
      <w:bookmarkEnd w:id="59"/>
    </w:p>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CellMar>
          <w:top w:w="57" w:type="dxa"/>
          <w:bottom w:w="57" w:type="dxa"/>
        </w:tblCellMar>
        <w:tblLook w:val="04A0" w:firstRow="1" w:lastRow="0" w:firstColumn="1" w:lastColumn="0" w:noHBand="0" w:noVBand="1"/>
        <w:tblDescription w:val="Table 1. AbaF total support estimate with 4.0 per cent growth projection"/>
      </w:tblPr>
      <w:tblGrid>
        <w:gridCol w:w="1701"/>
        <w:gridCol w:w="3615"/>
        <w:gridCol w:w="3615"/>
      </w:tblGrid>
      <w:tr w:rsidR="009310B1" w14:paraId="31BA7B31" w14:textId="77777777" w:rsidTr="00BC0293">
        <w:trPr>
          <w:cantSplit/>
          <w:tblHeader/>
        </w:trPr>
        <w:tc>
          <w:tcPr>
            <w:tcW w:w="1701" w:type="dxa"/>
            <w:tcBorders>
              <w:top w:val="nil"/>
              <w:left w:val="nil"/>
              <w:bottom w:val="thickThinLargeGap" w:sz="24" w:space="0" w:color="auto"/>
              <w:right w:val="nil"/>
            </w:tcBorders>
            <w:shd w:val="clear" w:color="auto" w:fill="113652"/>
          </w:tcPr>
          <w:p w14:paraId="05220DF3" w14:textId="77777777" w:rsidR="009310B1" w:rsidRDefault="009310B1" w:rsidP="009310B1">
            <w:pPr>
              <w:pStyle w:val="Tableheading"/>
            </w:pPr>
            <w:r>
              <w:t>Financial year</w:t>
            </w:r>
          </w:p>
        </w:tc>
        <w:tc>
          <w:tcPr>
            <w:tcW w:w="3615" w:type="dxa"/>
            <w:tcBorders>
              <w:top w:val="nil"/>
              <w:left w:val="nil"/>
              <w:bottom w:val="thickThinLargeGap" w:sz="24" w:space="0" w:color="auto"/>
              <w:right w:val="nil"/>
            </w:tcBorders>
            <w:shd w:val="clear" w:color="auto" w:fill="113652"/>
          </w:tcPr>
          <w:p w14:paraId="067DD6E8" w14:textId="77777777" w:rsidR="009310B1" w:rsidRPr="001E0C6D" w:rsidRDefault="009310B1" w:rsidP="009310B1">
            <w:pPr>
              <w:pStyle w:val="Tableheading"/>
              <w:jc w:val="center"/>
            </w:pPr>
            <w:proofErr w:type="spellStart"/>
            <w:r w:rsidRPr="001E0C6D">
              <w:t>AbaF</w:t>
            </w:r>
            <w:proofErr w:type="spellEnd"/>
            <w:r w:rsidRPr="001E0C6D">
              <w:t xml:space="preserve"> donations estimates </w:t>
            </w:r>
            <w:r w:rsidRPr="001E0C6D">
              <w:br/>
              <w:t>($ million)</w:t>
            </w:r>
          </w:p>
        </w:tc>
        <w:tc>
          <w:tcPr>
            <w:tcW w:w="3615" w:type="dxa"/>
            <w:tcBorders>
              <w:top w:val="nil"/>
              <w:left w:val="nil"/>
              <w:bottom w:val="thickThinLargeGap" w:sz="24" w:space="0" w:color="auto"/>
              <w:right w:val="nil"/>
            </w:tcBorders>
            <w:shd w:val="clear" w:color="auto" w:fill="113652"/>
          </w:tcPr>
          <w:p w14:paraId="65978895" w14:textId="77777777" w:rsidR="005B4B7C" w:rsidRDefault="009310B1" w:rsidP="009310B1">
            <w:pPr>
              <w:pStyle w:val="Tableheading"/>
              <w:jc w:val="center"/>
            </w:pPr>
            <w:proofErr w:type="spellStart"/>
            <w:r w:rsidRPr="001E0C6D">
              <w:t>AbaF</w:t>
            </w:r>
            <w:proofErr w:type="spellEnd"/>
            <w:r w:rsidRPr="001E0C6D">
              <w:t xml:space="preserve"> 6.2 % growth projection </w:t>
            </w:r>
          </w:p>
          <w:p w14:paraId="24AA3B87" w14:textId="015F9BBE" w:rsidR="009310B1" w:rsidRPr="001E0C6D" w:rsidRDefault="009310B1" w:rsidP="009310B1">
            <w:pPr>
              <w:pStyle w:val="Tableheading"/>
              <w:jc w:val="center"/>
            </w:pPr>
            <w:r w:rsidRPr="001E0C6D">
              <w:t>($ million)</w:t>
            </w:r>
          </w:p>
        </w:tc>
      </w:tr>
      <w:tr w:rsidR="009310B1" w14:paraId="61085167" w14:textId="77777777" w:rsidTr="00BC0293">
        <w:trPr>
          <w:cantSplit/>
        </w:trPr>
        <w:tc>
          <w:tcPr>
            <w:tcW w:w="1701" w:type="dxa"/>
            <w:tcBorders>
              <w:top w:val="thickThinLargeGap" w:sz="24" w:space="0" w:color="auto"/>
              <w:left w:val="nil"/>
              <w:bottom w:val="single" w:sz="4" w:space="0" w:color="auto"/>
              <w:right w:val="nil"/>
            </w:tcBorders>
          </w:tcPr>
          <w:p w14:paraId="5A14D5C6" w14:textId="77777777" w:rsidR="009310B1" w:rsidRPr="001E0C6D" w:rsidRDefault="009310B1" w:rsidP="009310B1">
            <w:pPr>
              <w:pStyle w:val="Tabletext"/>
            </w:pPr>
            <w:r w:rsidRPr="001E0C6D">
              <w:t>2001–02</w:t>
            </w:r>
          </w:p>
        </w:tc>
        <w:tc>
          <w:tcPr>
            <w:tcW w:w="3615" w:type="dxa"/>
            <w:tcBorders>
              <w:top w:val="thickThinLargeGap" w:sz="24" w:space="0" w:color="auto"/>
              <w:left w:val="nil"/>
              <w:bottom w:val="single" w:sz="4" w:space="0" w:color="auto"/>
              <w:right w:val="nil"/>
            </w:tcBorders>
            <w:vAlign w:val="bottom"/>
          </w:tcPr>
          <w:p w14:paraId="6C59F800" w14:textId="77777777" w:rsidR="009310B1" w:rsidRPr="001E0C6D" w:rsidRDefault="009310B1" w:rsidP="009310B1">
            <w:pPr>
              <w:pStyle w:val="Tabletext"/>
              <w:jc w:val="center"/>
            </w:pPr>
            <w:r w:rsidRPr="001E0C6D">
              <w:t>47.1</w:t>
            </w:r>
          </w:p>
        </w:tc>
        <w:tc>
          <w:tcPr>
            <w:tcW w:w="3615" w:type="dxa"/>
            <w:tcBorders>
              <w:top w:val="thickThinLargeGap" w:sz="24" w:space="0" w:color="auto"/>
              <w:left w:val="nil"/>
              <w:bottom w:val="single" w:sz="4" w:space="0" w:color="auto"/>
              <w:right w:val="nil"/>
            </w:tcBorders>
          </w:tcPr>
          <w:p w14:paraId="528C077E" w14:textId="77777777" w:rsidR="009310B1" w:rsidRPr="001E0C6D" w:rsidRDefault="009310B1" w:rsidP="009310B1">
            <w:pPr>
              <w:pStyle w:val="Tabletext"/>
              <w:jc w:val="center"/>
            </w:pPr>
            <w:r w:rsidRPr="001E0C6D">
              <w:t>-</w:t>
            </w:r>
          </w:p>
        </w:tc>
      </w:tr>
      <w:tr w:rsidR="009310B1" w14:paraId="41184502" w14:textId="77777777" w:rsidTr="00BC0293">
        <w:trPr>
          <w:cantSplit/>
        </w:trPr>
        <w:tc>
          <w:tcPr>
            <w:tcW w:w="1701" w:type="dxa"/>
            <w:tcBorders>
              <w:top w:val="single" w:sz="4" w:space="0" w:color="auto"/>
              <w:left w:val="nil"/>
              <w:bottom w:val="single" w:sz="4" w:space="0" w:color="auto"/>
              <w:right w:val="nil"/>
            </w:tcBorders>
          </w:tcPr>
          <w:p w14:paraId="1727B416" w14:textId="77777777" w:rsidR="009310B1" w:rsidRPr="001E0C6D" w:rsidRDefault="009310B1" w:rsidP="009310B1">
            <w:pPr>
              <w:pStyle w:val="Tabletext"/>
            </w:pPr>
            <w:r w:rsidRPr="001E0C6D">
              <w:t>2002–03</w:t>
            </w:r>
          </w:p>
        </w:tc>
        <w:tc>
          <w:tcPr>
            <w:tcW w:w="3615" w:type="dxa"/>
            <w:tcBorders>
              <w:top w:val="single" w:sz="4" w:space="0" w:color="auto"/>
              <w:left w:val="nil"/>
              <w:bottom w:val="single" w:sz="4" w:space="0" w:color="auto"/>
              <w:right w:val="nil"/>
            </w:tcBorders>
            <w:vAlign w:val="bottom"/>
          </w:tcPr>
          <w:p w14:paraId="69347766" w14:textId="77777777" w:rsidR="009310B1" w:rsidRPr="001E0C6D" w:rsidRDefault="009310B1" w:rsidP="009310B1">
            <w:pPr>
              <w:pStyle w:val="Tabletext"/>
              <w:jc w:val="center"/>
            </w:pPr>
            <w:r w:rsidRPr="001E0C6D">
              <w:t>57.0</w:t>
            </w:r>
          </w:p>
        </w:tc>
        <w:tc>
          <w:tcPr>
            <w:tcW w:w="3615" w:type="dxa"/>
            <w:tcBorders>
              <w:top w:val="single" w:sz="4" w:space="0" w:color="auto"/>
              <w:left w:val="nil"/>
              <w:bottom w:val="single" w:sz="4" w:space="0" w:color="auto"/>
              <w:right w:val="nil"/>
            </w:tcBorders>
          </w:tcPr>
          <w:p w14:paraId="1CD561DE" w14:textId="77777777" w:rsidR="009310B1" w:rsidRPr="001E0C6D" w:rsidRDefault="009310B1" w:rsidP="009310B1">
            <w:pPr>
              <w:pStyle w:val="Tabletext"/>
              <w:jc w:val="center"/>
            </w:pPr>
            <w:r w:rsidRPr="001E0C6D">
              <w:t>-</w:t>
            </w:r>
          </w:p>
        </w:tc>
      </w:tr>
      <w:tr w:rsidR="009310B1" w14:paraId="33A9E80D" w14:textId="77777777" w:rsidTr="00BC0293">
        <w:trPr>
          <w:cantSplit/>
        </w:trPr>
        <w:tc>
          <w:tcPr>
            <w:tcW w:w="1701" w:type="dxa"/>
            <w:tcBorders>
              <w:top w:val="single" w:sz="4" w:space="0" w:color="auto"/>
              <w:left w:val="nil"/>
              <w:bottom w:val="single" w:sz="4" w:space="0" w:color="auto"/>
              <w:right w:val="nil"/>
            </w:tcBorders>
          </w:tcPr>
          <w:p w14:paraId="5B1C42E1" w14:textId="77777777" w:rsidR="009310B1" w:rsidRPr="001E0C6D" w:rsidRDefault="009310B1" w:rsidP="009310B1">
            <w:pPr>
              <w:pStyle w:val="Tabletext"/>
            </w:pPr>
            <w:r w:rsidRPr="001E0C6D">
              <w:t>2003–04</w:t>
            </w:r>
          </w:p>
        </w:tc>
        <w:tc>
          <w:tcPr>
            <w:tcW w:w="3615" w:type="dxa"/>
            <w:tcBorders>
              <w:top w:val="single" w:sz="4" w:space="0" w:color="auto"/>
              <w:left w:val="nil"/>
              <w:bottom w:val="single" w:sz="4" w:space="0" w:color="auto"/>
              <w:right w:val="nil"/>
            </w:tcBorders>
            <w:vAlign w:val="bottom"/>
          </w:tcPr>
          <w:p w14:paraId="663E93D1" w14:textId="77777777" w:rsidR="009310B1" w:rsidRPr="001E0C6D" w:rsidRDefault="009310B1" w:rsidP="009310B1">
            <w:pPr>
              <w:pStyle w:val="Tabletext"/>
              <w:jc w:val="center"/>
            </w:pPr>
            <w:r w:rsidRPr="001E0C6D">
              <w:t>50.9</w:t>
            </w:r>
          </w:p>
        </w:tc>
        <w:tc>
          <w:tcPr>
            <w:tcW w:w="3615" w:type="dxa"/>
            <w:tcBorders>
              <w:top w:val="single" w:sz="4" w:space="0" w:color="auto"/>
              <w:left w:val="nil"/>
              <w:bottom w:val="single" w:sz="4" w:space="0" w:color="auto"/>
              <w:right w:val="nil"/>
            </w:tcBorders>
          </w:tcPr>
          <w:p w14:paraId="09B9B037" w14:textId="77777777" w:rsidR="009310B1" w:rsidRPr="001E0C6D" w:rsidRDefault="009310B1" w:rsidP="009310B1">
            <w:pPr>
              <w:pStyle w:val="Tabletext"/>
              <w:jc w:val="center"/>
            </w:pPr>
            <w:r w:rsidRPr="001E0C6D">
              <w:t>-</w:t>
            </w:r>
          </w:p>
        </w:tc>
      </w:tr>
      <w:tr w:rsidR="009310B1" w14:paraId="50257AB0" w14:textId="77777777" w:rsidTr="00BC0293">
        <w:trPr>
          <w:cantSplit/>
        </w:trPr>
        <w:tc>
          <w:tcPr>
            <w:tcW w:w="1701" w:type="dxa"/>
            <w:tcBorders>
              <w:top w:val="single" w:sz="4" w:space="0" w:color="auto"/>
              <w:left w:val="nil"/>
              <w:bottom w:val="single" w:sz="4" w:space="0" w:color="auto"/>
              <w:right w:val="nil"/>
            </w:tcBorders>
          </w:tcPr>
          <w:p w14:paraId="18380BCC" w14:textId="77777777" w:rsidR="009310B1" w:rsidRPr="001E0C6D" w:rsidRDefault="009310B1" w:rsidP="009310B1">
            <w:pPr>
              <w:pStyle w:val="Tabletext"/>
            </w:pPr>
            <w:r w:rsidRPr="001E0C6D">
              <w:t>2004–05</w:t>
            </w:r>
          </w:p>
        </w:tc>
        <w:tc>
          <w:tcPr>
            <w:tcW w:w="3615" w:type="dxa"/>
            <w:tcBorders>
              <w:top w:val="single" w:sz="4" w:space="0" w:color="auto"/>
              <w:left w:val="nil"/>
              <w:bottom w:val="single" w:sz="4" w:space="0" w:color="auto"/>
              <w:right w:val="nil"/>
            </w:tcBorders>
            <w:vAlign w:val="bottom"/>
          </w:tcPr>
          <w:p w14:paraId="3929591E" w14:textId="77777777" w:rsidR="009310B1" w:rsidRPr="001E0C6D" w:rsidRDefault="009310B1" w:rsidP="009310B1">
            <w:pPr>
              <w:pStyle w:val="Tabletext"/>
              <w:jc w:val="center"/>
            </w:pPr>
            <w:r w:rsidRPr="001E0C6D">
              <w:t>62.7</w:t>
            </w:r>
          </w:p>
        </w:tc>
        <w:tc>
          <w:tcPr>
            <w:tcW w:w="3615" w:type="dxa"/>
            <w:tcBorders>
              <w:top w:val="single" w:sz="4" w:space="0" w:color="auto"/>
              <w:left w:val="nil"/>
              <w:bottom w:val="single" w:sz="4" w:space="0" w:color="auto"/>
              <w:right w:val="nil"/>
            </w:tcBorders>
          </w:tcPr>
          <w:p w14:paraId="024C9CBC" w14:textId="77777777" w:rsidR="009310B1" w:rsidRPr="001E0C6D" w:rsidRDefault="009310B1" w:rsidP="009310B1">
            <w:pPr>
              <w:pStyle w:val="Tabletext"/>
              <w:jc w:val="center"/>
            </w:pPr>
            <w:r w:rsidRPr="001E0C6D">
              <w:t>-</w:t>
            </w:r>
          </w:p>
        </w:tc>
      </w:tr>
      <w:tr w:rsidR="009310B1" w14:paraId="6D2941B9" w14:textId="77777777" w:rsidTr="00BC0293">
        <w:trPr>
          <w:cantSplit/>
        </w:trPr>
        <w:tc>
          <w:tcPr>
            <w:tcW w:w="1701" w:type="dxa"/>
            <w:tcBorders>
              <w:top w:val="single" w:sz="4" w:space="0" w:color="auto"/>
              <w:left w:val="nil"/>
              <w:bottom w:val="single" w:sz="4" w:space="0" w:color="auto"/>
              <w:right w:val="nil"/>
            </w:tcBorders>
          </w:tcPr>
          <w:p w14:paraId="48E09A17" w14:textId="77777777" w:rsidR="009310B1" w:rsidRPr="001E0C6D" w:rsidRDefault="009310B1" w:rsidP="009310B1">
            <w:pPr>
              <w:pStyle w:val="Tabletext"/>
            </w:pPr>
            <w:r w:rsidRPr="001E0C6D">
              <w:t>2005–06</w:t>
            </w:r>
          </w:p>
        </w:tc>
        <w:tc>
          <w:tcPr>
            <w:tcW w:w="3615" w:type="dxa"/>
            <w:tcBorders>
              <w:top w:val="single" w:sz="4" w:space="0" w:color="auto"/>
              <w:left w:val="nil"/>
              <w:bottom w:val="single" w:sz="4" w:space="0" w:color="auto"/>
              <w:right w:val="nil"/>
            </w:tcBorders>
            <w:vAlign w:val="bottom"/>
          </w:tcPr>
          <w:p w14:paraId="6B844144" w14:textId="77777777" w:rsidR="009310B1" w:rsidRPr="001E0C6D" w:rsidRDefault="009310B1" w:rsidP="009310B1">
            <w:pPr>
              <w:pStyle w:val="Tabletext"/>
              <w:jc w:val="center"/>
            </w:pPr>
            <w:r w:rsidRPr="001E0C6D">
              <w:t>86.9</w:t>
            </w:r>
          </w:p>
        </w:tc>
        <w:tc>
          <w:tcPr>
            <w:tcW w:w="3615" w:type="dxa"/>
            <w:tcBorders>
              <w:top w:val="single" w:sz="4" w:space="0" w:color="auto"/>
              <w:left w:val="nil"/>
              <w:bottom w:val="single" w:sz="4" w:space="0" w:color="auto"/>
              <w:right w:val="nil"/>
            </w:tcBorders>
          </w:tcPr>
          <w:p w14:paraId="4BC8B088" w14:textId="77777777" w:rsidR="009310B1" w:rsidRPr="001E0C6D" w:rsidRDefault="009310B1" w:rsidP="009310B1">
            <w:pPr>
              <w:pStyle w:val="Tabletext"/>
              <w:jc w:val="center"/>
            </w:pPr>
            <w:r w:rsidRPr="001E0C6D">
              <w:t>-</w:t>
            </w:r>
          </w:p>
        </w:tc>
      </w:tr>
      <w:tr w:rsidR="009310B1" w14:paraId="5FC02C9C" w14:textId="77777777" w:rsidTr="00BC0293">
        <w:trPr>
          <w:cantSplit/>
        </w:trPr>
        <w:tc>
          <w:tcPr>
            <w:tcW w:w="1701" w:type="dxa"/>
            <w:tcBorders>
              <w:top w:val="single" w:sz="4" w:space="0" w:color="auto"/>
              <w:left w:val="nil"/>
              <w:bottom w:val="single" w:sz="4" w:space="0" w:color="auto"/>
              <w:right w:val="nil"/>
            </w:tcBorders>
          </w:tcPr>
          <w:p w14:paraId="62CB3AC2" w14:textId="77777777" w:rsidR="009310B1" w:rsidRPr="001E0C6D" w:rsidRDefault="009310B1" w:rsidP="009310B1">
            <w:pPr>
              <w:pStyle w:val="Tabletext"/>
            </w:pPr>
            <w:r w:rsidRPr="001E0C6D">
              <w:t>2006–07</w:t>
            </w:r>
          </w:p>
        </w:tc>
        <w:tc>
          <w:tcPr>
            <w:tcW w:w="3615" w:type="dxa"/>
            <w:tcBorders>
              <w:top w:val="single" w:sz="4" w:space="0" w:color="auto"/>
              <w:left w:val="nil"/>
              <w:bottom w:val="single" w:sz="4" w:space="0" w:color="auto"/>
              <w:right w:val="nil"/>
            </w:tcBorders>
            <w:vAlign w:val="bottom"/>
          </w:tcPr>
          <w:p w14:paraId="299A1BB0" w14:textId="77777777" w:rsidR="009310B1" w:rsidRPr="001E0C6D" w:rsidRDefault="009310B1" w:rsidP="009310B1">
            <w:pPr>
              <w:pStyle w:val="Tabletext"/>
              <w:jc w:val="center"/>
            </w:pPr>
            <w:r w:rsidRPr="001E0C6D">
              <w:t>86.6</w:t>
            </w:r>
          </w:p>
        </w:tc>
        <w:tc>
          <w:tcPr>
            <w:tcW w:w="3615" w:type="dxa"/>
            <w:tcBorders>
              <w:top w:val="single" w:sz="4" w:space="0" w:color="auto"/>
              <w:left w:val="nil"/>
              <w:bottom w:val="single" w:sz="4" w:space="0" w:color="auto"/>
              <w:right w:val="nil"/>
            </w:tcBorders>
          </w:tcPr>
          <w:p w14:paraId="18250868" w14:textId="77777777" w:rsidR="009310B1" w:rsidRPr="001E0C6D" w:rsidRDefault="009310B1" w:rsidP="009310B1">
            <w:pPr>
              <w:pStyle w:val="Tabletext"/>
              <w:jc w:val="center"/>
            </w:pPr>
            <w:r w:rsidRPr="001E0C6D">
              <w:t>-</w:t>
            </w:r>
          </w:p>
        </w:tc>
      </w:tr>
      <w:tr w:rsidR="009310B1" w14:paraId="7E59EAB3" w14:textId="77777777" w:rsidTr="00BC0293">
        <w:trPr>
          <w:cantSplit/>
        </w:trPr>
        <w:tc>
          <w:tcPr>
            <w:tcW w:w="1701" w:type="dxa"/>
            <w:tcBorders>
              <w:top w:val="single" w:sz="4" w:space="0" w:color="auto"/>
              <w:left w:val="nil"/>
              <w:bottom w:val="single" w:sz="4" w:space="0" w:color="auto"/>
              <w:right w:val="nil"/>
            </w:tcBorders>
          </w:tcPr>
          <w:p w14:paraId="6A7C4AAA" w14:textId="77777777" w:rsidR="009310B1" w:rsidRPr="001E0C6D" w:rsidRDefault="009310B1" w:rsidP="009310B1">
            <w:pPr>
              <w:pStyle w:val="Tabletext"/>
            </w:pPr>
            <w:r w:rsidRPr="001E0C6D">
              <w:t>2007–08</w:t>
            </w:r>
          </w:p>
        </w:tc>
        <w:tc>
          <w:tcPr>
            <w:tcW w:w="3615" w:type="dxa"/>
            <w:tcBorders>
              <w:top w:val="single" w:sz="4" w:space="0" w:color="auto"/>
              <w:left w:val="nil"/>
              <w:bottom w:val="single" w:sz="4" w:space="0" w:color="auto"/>
              <w:right w:val="nil"/>
            </w:tcBorders>
            <w:vAlign w:val="bottom"/>
          </w:tcPr>
          <w:p w14:paraId="3D494E79" w14:textId="77777777" w:rsidR="009310B1" w:rsidRPr="001E0C6D" w:rsidRDefault="009310B1" w:rsidP="009310B1">
            <w:pPr>
              <w:pStyle w:val="Tabletext"/>
              <w:jc w:val="center"/>
            </w:pPr>
            <w:r w:rsidRPr="001E0C6D">
              <w:t>104.9</w:t>
            </w:r>
          </w:p>
        </w:tc>
        <w:tc>
          <w:tcPr>
            <w:tcW w:w="3615" w:type="dxa"/>
            <w:tcBorders>
              <w:top w:val="single" w:sz="4" w:space="0" w:color="auto"/>
              <w:left w:val="nil"/>
              <w:bottom w:val="single" w:sz="4" w:space="0" w:color="auto"/>
              <w:right w:val="nil"/>
            </w:tcBorders>
          </w:tcPr>
          <w:p w14:paraId="40545551" w14:textId="77777777" w:rsidR="009310B1" w:rsidRPr="001E0C6D" w:rsidRDefault="009310B1" w:rsidP="009310B1">
            <w:pPr>
              <w:pStyle w:val="Tabletext"/>
              <w:jc w:val="center"/>
            </w:pPr>
            <w:r w:rsidRPr="001E0C6D">
              <w:t>-</w:t>
            </w:r>
          </w:p>
        </w:tc>
      </w:tr>
      <w:tr w:rsidR="009310B1" w14:paraId="06EBC778" w14:textId="77777777" w:rsidTr="00BC0293">
        <w:trPr>
          <w:cantSplit/>
        </w:trPr>
        <w:tc>
          <w:tcPr>
            <w:tcW w:w="1701" w:type="dxa"/>
            <w:tcBorders>
              <w:top w:val="single" w:sz="4" w:space="0" w:color="auto"/>
              <w:left w:val="nil"/>
              <w:bottom w:val="single" w:sz="4" w:space="0" w:color="auto"/>
              <w:right w:val="nil"/>
            </w:tcBorders>
          </w:tcPr>
          <w:p w14:paraId="5A8DD2E8" w14:textId="77777777" w:rsidR="009310B1" w:rsidRPr="001E0C6D" w:rsidRDefault="009310B1" w:rsidP="009310B1">
            <w:pPr>
              <w:pStyle w:val="Tabletext"/>
            </w:pPr>
            <w:r w:rsidRPr="001E0C6D">
              <w:t>2008–09</w:t>
            </w:r>
          </w:p>
        </w:tc>
        <w:tc>
          <w:tcPr>
            <w:tcW w:w="3615" w:type="dxa"/>
            <w:tcBorders>
              <w:top w:val="single" w:sz="4" w:space="0" w:color="auto"/>
              <w:left w:val="nil"/>
              <w:bottom w:val="single" w:sz="4" w:space="0" w:color="auto"/>
              <w:right w:val="nil"/>
            </w:tcBorders>
            <w:vAlign w:val="bottom"/>
          </w:tcPr>
          <w:p w14:paraId="0DE0EE1E" w14:textId="77777777" w:rsidR="009310B1" w:rsidRPr="001E0C6D" w:rsidRDefault="009310B1" w:rsidP="009310B1">
            <w:pPr>
              <w:pStyle w:val="Tabletext"/>
              <w:jc w:val="center"/>
            </w:pPr>
            <w:r w:rsidRPr="001E0C6D">
              <w:t>111.4</w:t>
            </w:r>
          </w:p>
        </w:tc>
        <w:tc>
          <w:tcPr>
            <w:tcW w:w="3615" w:type="dxa"/>
            <w:tcBorders>
              <w:top w:val="single" w:sz="4" w:space="0" w:color="auto"/>
              <w:left w:val="nil"/>
              <w:bottom w:val="single" w:sz="4" w:space="0" w:color="auto"/>
              <w:right w:val="nil"/>
            </w:tcBorders>
          </w:tcPr>
          <w:p w14:paraId="091BB497" w14:textId="77777777" w:rsidR="009310B1" w:rsidRPr="001E0C6D" w:rsidRDefault="009310B1" w:rsidP="009310B1">
            <w:pPr>
              <w:pStyle w:val="Tabletext"/>
              <w:jc w:val="center"/>
            </w:pPr>
            <w:r w:rsidRPr="001E0C6D">
              <w:t>-</w:t>
            </w:r>
          </w:p>
        </w:tc>
      </w:tr>
      <w:tr w:rsidR="009310B1" w14:paraId="05F9EFC8" w14:textId="77777777" w:rsidTr="00BC0293">
        <w:trPr>
          <w:cantSplit/>
        </w:trPr>
        <w:tc>
          <w:tcPr>
            <w:tcW w:w="1701" w:type="dxa"/>
            <w:tcBorders>
              <w:top w:val="single" w:sz="4" w:space="0" w:color="auto"/>
              <w:left w:val="nil"/>
              <w:bottom w:val="single" w:sz="4" w:space="0" w:color="auto"/>
              <w:right w:val="nil"/>
            </w:tcBorders>
          </w:tcPr>
          <w:p w14:paraId="1E500C6E" w14:textId="77777777" w:rsidR="009310B1" w:rsidRPr="001E0C6D" w:rsidRDefault="009310B1" w:rsidP="009310B1">
            <w:pPr>
              <w:pStyle w:val="Tabletext"/>
            </w:pPr>
            <w:r w:rsidRPr="001E0C6D">
              <w:t>2009–10</w:t>
            </w:r>
          </w:p>
        </w:tc>
        <w:tc>
          <w:tcPr>
            <w:tcW w:w="3615" w:type="dxa"/>
            <w:tcBorders>
              <w:top w:val="single" w:sz="4" w:space="0" w:color="auto"/>
              <w:left w:val="nil"/>
              <w:bottom w:val="single" w:sz="4" w:space="0" w:color="auto"/>
              <w:right w:val="nil"/>
            </w:tcBorders>
            <w:vAlign w:val="bottom"/>
          </w:tcPr>
          <w:p w14:paraId="7FF99686" w14:textId="77777777" w:rsidR="009310B1" w:rsidRPr="001E0C6D" w:rsidRDefault="009310B1" w:rsidP="009310B1">
            <w:pPr>
              <w:pStyle w:val="Tabletext"/>
              <w:jc w:val="center"/>
            </w:pPr>
            <w:r w:rsidRPr="001E0C6D">
              <w:t>123.1</w:t>
            </w:r>
          </w:p>
        </w:tc>
        <w:tc>
          <w:tcPr>
            <w:tcW w:w="3615" w:type="dxa"/>
            <w:tcBorders>
              <w:top w:val="single" w:sz="4" w:space="0" w:color="auto"/>
              <w:left w:val="nil"/>
              <w:bottom w:val="single" w:sz="4" w:space="0" w:color="auto"/>
              <w:right w:val="nil"/>
            </w:tcBorders>
          </w:tcPr>
          <w:p w14:paraId="25108639" w14:textId="77777777" w:rsidR="009310B1" w:rsidRPr="001E0C6D" w:rsidRDefault="009310B1" w:rsidP="009310B1">
            <w:pPr>
              <w:pStyle w:val="Tabletext"/>
              <w:jc w:val="center"/>
            </w:pPr>
            <w:r w:rsidRPr="001E0C6D">
              <w:t>-</w:t>
            </w:r>
          </w:p>
        </w:tc>
      </w:tr>
      <w:tr w:rsidR="009310B1" w14:paraId="52ED6BC8" w14:textId="77777777" w:rsidTr="00BC0293">
        <w:trPr>
          <w:cantSplit/>
        </w:trPr>
        <w:tc>
          <w:tcPr>
            <w:tcW w:w="1701" w:type="dxa"/>
            <w:tcBorders>
              <w:top w:val="single" w:sz="4" w:space="0" w:color="auto"/>
              <w:left w:val="nil"/>
              <w:bottom w:val="single" w:sz="4" w:space="0" w:color="auto"/>
              <w:right w:val="nil"/>
            </w:tcBorders>
          </w:tcPr>
          <w:p w14:paraId="60709289" w14:textId="77777777" w:rsidR="009310B1" w:rsidRPr="001E0C6D" w:rsidRDefault="009310B1" w:rsidP="009310B1">
            <w:pPr>
              <w:pStyle w:val="Tabletext"/>
            </w:pPr>
            <w:r w:rsidRPr="001E0C6D">
              <w:t>2010–11</w:t>
            </w:r>
          </w:p>
        </w:tc>
        <w:tc>
          <w:tcPr>
            <w:tcW w:w="3615" w:type="dxa"/>
            <w:tcBorders>
              <w:top w:val="single" w:sz="4" w:space="0" w:color="auto"/>
              <w:left w:val="nil"/>
              <w:bottom w:val="single" w:sz="4" w:space="0" w:color="auto"/>
              <w:right w:val="nil"/>
            </w:tcBorders>
          </w:tcPr>
          <w:p w14:paraId="59B28B87" w14:textId="77777777" w:rsidR="009310B1" w:rsidRPr="001E0C6D" w:rsidRDefault="009310B1" w:rsidP="009310B1">
            <w:pPr>
              <w:pStyle w:val="Tabletext"/>
              <w:jc w:val="center"/>
            </w:pPr>
            <w:r w:rsidRPr="001E0C6D">
              <w:t>-</w:t>
            </w:r>
          </w:p>
        </w:tc>
        <w:tc>
          <w:tcPr>
            <w:tcW w:w="3615" w:type="dxa"/>
            <w:tcBorders>
              <w:top w:val="single" w:sz="4" w:space="0" w:color="auto"/>
              <w:left w:val="nil"/>
              <w:bottom w:val="single" w:sz="4" w:space="0" w:color="auto"/>
              <w:right w:val="nil"/>
            </w:tcBorders>
            <w:vAlign w:val="bottom"/>
          </w:tcPr>
          <w:p w14:paraId="319F9A41" w14:textId="77777777" w:rsidR="009310B1" w:rsidRPr="001E0C6D" w:rsidRDefault="009310B1" w:rsidP="009310B1">
            <w:pPr>
              <w:pStyle w:val="Tabletext"/>
              <w:jc w:val="center"/>
            </w:pPr>
            <w:r w:rsidRPr="001E0C6D">
              <w:t>130.7</w:t>
            </w:r>
          </w:p>
        </w:tc>
      </w:tr>
      <w:tr w:rsidR="009310B1" w14:paraId="6E44EC26" w14:textId="77777777" w:rsidTr="00BC0293">
        <w:trPr>
          <w:cantSplit/>
        </w:trPr>
        <w:tc>
          <w:tcPr>
            <w:tcW w:w="1701" w:type="dxa"/>
            <w:tcBorders>
              <w:top w:val="single" w:sz="4" w:space="0" w:color="auto"/>
              <w:left w:val="nil"/>
              <w:bottom w:val="single" w:sz="4" w:space="0" w:color="auto"/>
              <w:right w:val="nil"/>
            </w:tcBorders>
          </w:tcPr>
          <w:p w14:paraId="794CAC06" w14:textId="77777777" w:rsidR="009310B1" w:rsidRPr="001E0C6D" w:rsidRDefault="009310B1" w:rsidP="009310B1">
            <w:pPr>
              <w:pStyle w:val="Tabletext"/>
            </w:pPr>
            <w:r w:rsidRPr="001E0C6D">
              <w:t>2011–12</w:t>
            </w:r>
          </w:p>
        </w:tc>
        <w:tc>
          <w:tcPr>
            <w:tcW w:w="3615" w:type="dxa"/>
            <w:tcBorders>
              <w:top w:val="single" w:sz="4" w:space="0" w:color="auto"/>
              <w:left w:val="nil"/>
              <w:bottom w:val="single" w:sz="4" w:space="0" w:color="auto"/>
              <w:right w:val="nil"/>
            </w:tcBorders>
          </w:tcPr>
          <w:p w14:paraId="0D705041" w14:textId="77777777" w:rsidR="009310B1" w:rsidRPr="001E0C6D" w:rsidRDefault="009310B1" w:rsidP="009310B1">
            <w:pPr>
              <w:pStyle w:val="Tabletext"/>
              <w:jc w:val="center"/>
            </w:pPr>
            <w:r w:rsidRPr="001E0C6D">
              <w:t>-</w:t>
            </w:r>
          </w:p>
        </w:tc>
        <w:tc>
          <w:tcPr>
            <w:tcW w:w="3615" w:type="dxa"/>
            <w:tcBorders>
              <w:top w:val="single" w:sz="4" w:space="0" w:color="auto"/>
              <w:left w:val="nil"/>
              <w:bottom w:val="single" w:sz="4" w:space="0" w:color="auto"/>
              <w:right w:val="nil"/>
            </w:tcBorders>
            <w:vAlign w:val="bottom"/>
          </w:tcPr>
          <w:p w14:paraId="28C37AA6" w14:textId="77777777" w:rsidR="009310B1" w:rsidRPr="001E0C6D" w:rsidRDefault="009310B1" w:rsidP="009310B1">
            <w:pPr>
              <w:pStyle w:val="Tabletext"/>
              <w:jc w:val="center"/>
            </w:pPr>
            <w:r w:rsidRPr="001E0C6D">
              <w:t>138.8</w:t>
            </w:r>
          </w:p>
        </w:tc>
      </w:tr>
      <w:tr w:rsidR="009310B1" w14:paraId="5DB54B3C" w14:textId="77777777" w:rsidTr="00BC0293">
        <w:trPr>
          <w:cantSplit/>
        </w:trPr>
        <w:tc>
          <w:tcPr>
            <w:tcW w:w="1701" w:type="dxa"/>
            <w:tcBorders>
              <w:top w:val="single" w:sz="4" w:space="0" w:color="auto"/>
              <w:left w:val="nil"/>
              <w:bottom w:val="single" w:sz="4" w:space="0" w:color="auto"/>
              <w:right w:val="nil"/>
            </w:tcBorders>
          </w:tcPr>
          <w:p w14:paraId="65245055" w14:textId="77777777" w:rsidR="009310B1" w:rsidRPr="001E0C6D" w:rsidRDefault="009310B1" w:rsidP="009310B1">
            <w:pPr>
              <w:pStyle w:val="Tabletext"/>
            </w:pPr>
            <w:r w:rsidRPr="001E0C6D">
              <w:t>2012–13</w:t>
            </w:r>
          </w:p>
        </w:tc>
        <w:tc>
          <w:tcPr>
            <w:tcW w:w="3615" w:type="dxa"/>
            <w:tcBorders>
              <w:top w:val="single" w:sz="4" w:space="0" w:color="auto"/>
              <w:left w:val="nil"/>
              <w:bottom w:val="single" w:sz="4" w:space="0" w:color="auto"/>
              <w:right w:val="nil"/>
            </w:tcBorders>
          </w:tcPr>
          <w:p w14:paraId="3D2AC7B0" w14:textId="77777777" w:rsidR="009310B1" w:rsidRPr="001E0C6D" w:rsidRDefault="009310B1" w:rsidP="009310B1">
            <w:pPr>
              <w:pStyle w:val="Tabletext"/>
              <w:jc w:val="center"/>
            </w:pPr>
            <w:r w:rsidRPr="001E0C6D">
              <w:t>-</w:t>
            </w:r>
          </w:p>
        </w:tc>
        <w:tc>
          <w:tcPr>
            <w:tcW w:w="3615" w:type="dxa"/>
            <w:tcBorders>
              <w:top w:val="single" w:sz="4" w:space="0" w:color="auto"/>
              <w:left w:val="nil"/>
              <w:bottom w:val="single" w:sz="4" w:space="0" w:color="auto"/>
              <w:right w:val="nil"/>
            </w:tcBorders>
            <w:vAlign w:val="bottom"/>
          </w:tcPr>
          <w:p w14:paraId="2D3B799D" w14:textId="77777777" w:rsidR="009310B1" w:rsidRPr="001E0C6D" w:rsidRDefault="009310B1" w:rsidP="009310B1">
            <w:pPr>
              <w:pStyle w:val="Tabletext"/>
              <w:jc w:val="center"/>
            </w:pPr>
            <w:r w:rsidRPr="001E0C6D">
              <w:t>147.4</w:t>
            </w:r>
          </w:p>
        </w:tc>
      </w:tr>
      <w:tr w:rsidR="009310B1" w14:paraId="15B5142E" w14:textId="77777777" w:rsidTr="00BC0293">
        <w:trPr>
          <w:cantSplit/>
        </w:trPr>
        <w:tc>
          <w:tcPr>
            <w:tcW w:w="1701" w:type="dxa"/>
            <w:tcBorders>
              <w:top w:val="single" w:sz="4" w:space="0" w:color="auto"/>
              <w:left w:val="nil"/>
              <w:bottom w:val="single" w:sz="4" w:space="0" w:color="auto"/>
              <w:right w:val="nil"/>
            </w:tcBorders>
          </w:tcPr>
          <w:p w14:paraId="0F14166A" w14:textId="77777777" w:rsidR="009310B1" w:rsidRPr="001E0C6D" w:rsidRDefault="009310B1" w:rsidP="009310B1">
            <w:pPr>
              <w:pStyle w:val="Tabletext"/>
            </w:pPr>
            <w:r w:rsidRPr="001E0C6D">
              <w:t>2013–14</w:t>
            </w:r>
          </w:p>
        </w:tc>
        <w:tc>
          <w:tcPr>
            <w:tcW w:w="3615" w:type="dxa"/>
            <w:tcBorders>
              <w:top w:val="single" w:sz="4" w:space="0" w:color="auto"/>
              <w:left w:val="nil"/>
              <w:bottom w:val="single" w:sz="4" w:space="0" w:color="auto"/>
              <w:right w:val="nil"/>
            </w:tcBorders>
          </w:tcPr>
          <w:p w14:paraId="10AC9D47" w14:textId="77777777" w:rsidR="009310B1" w:rsidRPr="001E0C6D" w:rsidRDefault="009310B1" w:rsidP="009310B1">
            <w:pPr>
              <w:pStyle w:val="Tabletext"/>
              <w:jc w:val="center"/>
            </w:pPr>
            <w:r w:rsidRPr="001E0C6D">
              <w:t>-</w:t>
            </w:r>
          </w:p>
        </w:tc>
        <w:tc>
          <w:tcPr>
            <w:tcW w:w="3615" w:type="dxa"/>
            <w:tcBorders>
              <w:top w:val="single" w:sz="4" w:space="0" w:color="auto"/>
              <w:left w:val="nil"/>
              <w:bottom w:val="single" w:sz="4" w:space="0" w:color="auto"/>
              <w:right w:val="nil"/>
            </w:tcBorders>
            <w:vAlign w:val="bottom"/>
          </w:tcPr>
          <w:p w14:paraId="491A6C2F" w14:textId="77777777" w:rsidR="009310B1" w:rsidRPr="001E0C6D" w:rsidRDefault="009310B1" w:rsidP="009310B1">
            <w:pPr>
              <w:pStyle w:val="Tabletext"/>
              <w:jc w:val="center"/>
            </w:pPr>
            <w:r w:rsidRPr="001E0C6D">
              <w:t>156.6</w:t>
            </w:r>
          </w:p>
        </w:tc>
      </w:tr>
      <w:tr w:rsidR="009310B1" w14:paraId="54E34F02" w14:textId="77777777" w:rsidTr="00BC0293">
        <w:trPr>
          <w:cantSplit/>
        </w:trPr>
        <w:tc>
          <w:tcPr>
            <w:tcW w:w="1701" w:type="dxa"/>
            <w:tcBorders>
              <w:top w:val="single" w:sz="4" w:space="0" w:color="auto"/>
              <w:left w:val="nil"/>
              <w:bottom w:val="single" w:sz="4" w:space="0" w:color="auto"/>
              <w:right w:val="nil"/>
            </w:tcBorders>
          </w:tcPr>
          <w:p w14:paraId="5ED3D8AA" w14:textId="77777777" w:rsidR="009310B1" w:rsidRPr="001E0C6D" w:rsidRDefault="009310B1" w:rsidP="009310B1">
            <w:pPr>
              <w:pStyle w:val="Tabletext"/>
            </w:pPr>
            <w:r w:rsidRPr="001E0C6D">
              <w:t>2014–15</w:t>
            </w:r>
          </w:p>
        </w:tc>
        <w:tc>
          <w:tcPr>
            <w:tcW w:w="3615" w:type="dxa"/>
            <w:tcBorders>
              <w:top w:val="single" w:sz="4" w:space="0" w:color="auto"/>
              <w:left w:val="nil"/>
              <w:bottom w:val="single" w:sz="4" w:space="0" w:color="auto"/>
              <w:right w:val="nil"/>
            </w:tcBorders>
          </w:tcPr>
          <w:p w14:paraId="002BD531" w14:textId="77777777" w:rsidR="009310B1" w:rsidRPr="001E0C6D" w:rsidRDefault="009310B1" w:rsidP="009310B1">
            <w:pPr>
              <w:pStyle w:val="Tabletext"/>
              <w:jc w:val="center"/>
            </w:pPr>
            <w:r w:rsidRPr="001E0C6D">
              <w:t>-</w:t>
            </w:r>
          </w:p>
        </w:tc>
        <w:tc>
          <w:tcPr>
            <w:tcW w:w="3615" w:type="dxa"/>
            <w:tcBorders>
              <w:top w:val="single" w:sz="4" w:space="0" w:color="auto"/>
              <w:left w:val="nil"/>
              <w:bottom w:val="single" w:sz="4" w:space="0" w:color="auto"/>
              <w:right w:val="nil"/>
            </w:tcBorders>
            <w:vAlign w:val="bottom"/>
          </w:tcPr>
          <w:p w14:paraId="2C9E6DB4" w14:textId="77777777" w:rsidR="009310B1" w:rsidRPr="001E0C6D" w:rsidRDefault="009310B1" w:rsidP="009310B1">
            <w:pPr>
              <w:pStyle w:val="Tabletext"/>
              <w:jc w:val="center"/>
            </w:pPr>
            <w:r w:rsidRPr="001E0C6D">
              <w:t>166.3</w:t>
            </w:r>
          </w:p>
        </w:tc>
      </w:tr>
      <w:tr w:rsidR="009310B1" w14:paraId="7B9F74E3" w14:textId="77777777" w:rsidTr="00BC0293">
        <w:trPr>
          <w:cantSplit/>
        </w:trPr>
        <w:tc>
          <w:tcPr>
            <w:tcW w:w="1701" w:type="dxa"/>
            <w:tcBorders>
              <w:top w:val="single" w:sz="4" w:space="0" w:color="auto"/>
              <w:left w:val="nil"/>
              <w:bottom w:val="single" w:sz="12" w:space="0" w:color="auto"/>
              <w:right w:val="nil"/>
            </w:tcBorders>
          </w:tcPr>
          <w:p w14:paraId="2F5AE5EE" w14:textId="77777777" w:rsidR="009310B1" w:rsidRPr="001E0C6D" w:rsidRDefault="009310B1" w:rsidP="009310B1">
            <w:pPr>
              <w:pStyle w:val="Tabletext"/>
            </w:pPr>
            <w:r w:rsidRPr="001E0C6D">
              <w:t>2015–16</w:t>
            </w:r>
          </w:p>
        </w:tc>
        <w:tc>
          <w:tcPr>
            <w:tcW w:w="3615" w:type="dxa"/>
            <w:tcBorders>
              <w:top w:val="single" w:sz="4" w:space="0" w:color="auto"/>
              <w:left w:val="nil"/>
              <w:bottom w:val="single" w:sz="12" w:space="0" w:color="auto"/>
              <w:right w:val="nil"/>
            </w:tcBorders>
          </w:tcPr>
          <w:p w14:paraId="4D33AC02" w14:textId="77777777" w:rsidR="009310B1" w:rsidRPr="001E0C6D" w:rsidRDefault="009310B1" w:rsidP="009310B1">
            <w:pPr>
              <w:pStyle w:val="Tabletext"/>
              <w:jc w:val="center"/>
            </w:pPr>
            <w:r w:rsidRPr="001E0C6D">
              <w:t>-</w:t>
            </w:r>
          </w:p>
        </w:tc>
        <w:tc>
          <w:tcPr>
            <w:tcW w:w="3615" w:type="dxa"/>
            <w:tcBorders>
              <w:top w:val="single" w:sz="4" w:space="0" w:color="auto"/>
              <w:left w:val="nil"/>
              <w:bottom w:val="single" w:sz="12" w:space="0" w:color="auto"/>
              <w:right w:val="nil"/>
            </w:tcBorders>
            <w:vAlign w:val="bottom"/>
          </w:tcPr>
          <w:p w14:paraId="525AACAE" w14:textId="77777777" w:rsidR="009310B1" w:rsidRPr="001E0C6D" w:rsidRDefault="009310B1" w:rsidP="009310B1">
            <w:pPr>
              <w:pStyle w:val="Tabletext"/>
              <w:jc w:val="center"/>
            </w:pPr>
            <w:r w:rsidRPr="001E0C6D">
              <w:t>176.6</w:t>
            </w:r>
          </w:p>
        </w:tc>
      </w:tr>
    </w:tbl>
    <w:p w14:paraId="2F5414F6" w14:textId="77777777" w:rsidR="009310B1" w:rsidRDefault="009310B1" w:rsidP="009310B1">
      <w:pPr>
        <w:spacing w:after="160" w:line="256" w:lineRule="auto"/>
      </w:pPr>
    </w:p>
    <w:p w14:paraId="7757C6A4" w14:textId="77777777" w:rsidR="005B4B7C" w:rsidRDefault="005B4B7C" w:rsidP="005B4B7C">
      <w:pPr>
        <w:rPr>
          <w:rFonts w:asciiTheme="majorHAnsi" w:eastAsiaTheme="majorEastAsia" w:hAnsiTheme="majorHAnsi" w:cstheme="majorBidi"/>
          <w:color w:val="113652"/>
          <w:sz w:val="30"/>
          <w:szCs w:val="24"/>
        </w:rPr>
      </w:pPr>
      <w:bookmarkStart w:id="60" w:name="_Toc468868238"/>
      <w:bookmarkStart w:id="61" w:name="_Toc486261307"/>
      <w:r>
        <w:br w:type="page"/>
      </w:r>
    </w:p>
    <w:p w14:paraId="47B4FBCE" w14:textId="674FB175" w:rsidR="005D1423" w:rsidRDefault="00E25A11" w:rsidP="009310B1">
      <w:pPr>
        <w:pStyle w:val="Heading3"/>
      </w:pPr>
      <w:bookmarkStart w:id="62" w:name="_Toc486319728"/>
      <w:r w:rsidRPr="001E0C6D">
        <w:t xml:space="preserve">Model 5. AMPAG donations data projections of </w:t>
      </w:r>
      <w:proofErr w:type="spellStart"/>
      <w:r w:rsidRPr="001E0C6D">
        <w:t>AbaF</w:t>
      </w:r>
      <w:proofErr w:type="spellEnd"/>
      <w:r w:rsidRPr="001E0C6D">
        <w:t xml:space="preserve"> donations estimates</w:t>
      </w:r>
      <w:bookmarkEnd w:id="60"/>
      <w:bookmarkEnd w:id="61"/>
      <w:bookmarkEnd w:id="62"/>
    </w:p>
    <w:p w14:paraId="052CF0E5" w14:textId="77777777" w:rsidR="005D1423" w:rsidRDefault="00E25A11" w:rsidP="00E25A11">
      <w:r w:rsidRPr="001E0C6D">
        <w:t xml:space="preserve">AMPAG donations data used as a predictor in a linear relationship model was found to be significant (p &lt; 0.001), with strong prediction levels (R2 adjusted = 0.9618) (see Appendix 7). This provided average donations estimates as outlined in </w:t>
      </w:r>
      <w:r w:rsidRPr="001E0C6D">
        <w:fldChar w:fldCharType="begin"/>
      </w:r>
      <w:r w:rsidRPr="001E0C6D">
        <w:instrText xml:space="preserve"> REF _Ref468882641 \h  \* MERGEFORMAT </w:instrText>
      </w:r>
      <w:r w:rsidRPr="001E0C6D">
        <w:fldChar w:fldCharType="separate"/>
      </w:r>
      <w:r w:rsidR="00ED08CC" w:rsidRPr="001E0C6D">
        <w:t xml:space="preserve">Table </w:t>
      </w:r>
      <w:r w:rsidR="00ED08CC">
        <w:t>6</w:t>
      </w:r>
      <w:r w:rsidRPr="001E0C6D">
        <w:fldChar w:fldCharType="end"/>
      </w:r>
      <w:r w:rsidRPr="001E0C6D">
        <w:t>.</w:t>
      </w:r>
    </w:p>
    <w:p w14:paraId="2822399D" w14:textId="77777777" w:rsidR="00E25A11" w:rsidRDefault="00E25A11" w:rsidP="009310B1">
      <w:pPr>
        <w:pStyle w:val="Tablefigureheading"/>
      </w:pPr>
      <w:bookmarkStart w:id="63" w:name="_Ref468882641"/>
      <w:bookmarkStart w:id="64" w:name="_Toc486587632"/>
      <w:r w:rsidRPr="001E0C6D">
        <w:t xml:space="preserve">Table </w:t>
      </w:r>
      <w:fldSimple w:instr=" SEQ Table \* ARABIC ">
        <w:r w:rsidR="00ED08CC">
          <w:rPr>
            <w:noProof/>
          </w:rPr>
          <w:t>6</w:t>
        </w:r>
      </w:fldSimple>
      <w:bookmarkEnd w:id="63"/>
      <w:r w:rsidRPr="001E0C6D">
        <w:t xml:space="preserve">. AMPAG donations data projections of </w:t>
      </w:r>
      <w:proofErr w:type="spellStart"/>
      <w:r w:rsidRPr="001E0C6D">
        <w:t>AbaF</w:t>
      </w:r>
      <w:proofErr w:type="spellEnd"/>
      <w:r w:rsidRPr="001E0C6D">
        <w:t xml:space="preserve"> donations estimates</w:t>
      </w:r>
      <w:bookmarkEnd w:id="64"/>
    </w:p>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CellMar>
          <w:top w:w="57" w:type="dxa"/>
          <w:bottom w:w="57" w:type="dxa"/>
        </w:tblCellMar>
        <w:tblLook w:val="04A0" w:firstRow="1" w:lastRow="0" w:firstColumn="1" w:lastColumn="0" w:noHBand="0" w:noVBand="1"/>
        <w:tblDescription w:val="Table 3. GOS data projections of AbaF estimates"/>
      </w:tblPr>
      <w:tblGrid>
        <w:gridCol w:w="1680"/>
        <w:gridCol w:w="2359"/>
        <w:gridCol w:w="2492"/>
        <w:gridCol w:w="2495"/>
      </w:tblGrid>
      <w:tr w:rsidR="009310B1" w14:paraId="054B8B24" w14:textId="77777777" w:rsidTr="00BC0293">
        <w:trPr>
          <w:cantSplit/>
          <w:tblHeader/>
        </w:trPr>
        <w:tc>
          <w:tcPr>
            <w:tcW w:w="1680" w:type="dxa"/>
            <w:tcBorders>
              <w:top w:val="nil"/>
              <w:left w:val="nil"/>
              <w:bottom w:val="thickThinLargeGap" w:sz="24" w:space="0" w:color="auto"/>
              <w:right w:val="nil"/>
            </w:tcBorders>
            <w:shd w:val="clear" w:color="auto" w:fill="113652"/>
          </w:tcPr>
          <w:p w14:paraId="44090D42" w14:textId="77777777" w:rsidR="009310B1" w:rsidRDefault="009310B1" w:rsidP="009310B1">
            <w:pPr>
              <w:pStyle w:val="Tableheading"/>
            </w:pPr>
            <w:r>
              <w:t>Financial year</w:t>
            </w:r>
          </w:p>
        </w:tc>
        <w:tc>
          <w:tcPr>
            <w:tcW w:w="2359" w:type="dxa"/>
            <w:tcBorders>
              <w:top w:val="nil"/>
              <w:left w:val="nil"/>
              <w:bottom w:val="thickThinLargeGap" w:sz="24" w:space="0" w:color="auto"/>
              <w:right w:val="nil"/>
            </w:tcBorders>
            <w:shd w:val="clear" w:color="auto" w:fill="113652"/>
          </w:tcPr>
          <w:p w14:paraId="2A4E72EC" w14:textId="77777777" w:rsidR="009310B1" w:rsidRPr="001E0C6D" w:rsidRDefault="009310B1" w:rsidP="009310B1">
            <w:pPr>
              <w:pStyle w:val="Tableheading"/>
              <w:jc w:val="center"/>
            </w:pPr>
            <w:proofErr w:type="spellStart"/>
            <w:r w:rsidRPr="001E0C6D">
              <w:t>AbaF</w:t>
            </w:r>
            <w:proofErr w:type="spellEnd"/>
            <w:r w:rsidRPr="001E0C6D">
              <w:t xml:space="preserve"> donations estimates ($ million)</w:t>
            </w:r>
          </w:p>
        </w:tc>
        <w:tc>
          <w:tcPr>
            <w:tcW w:w="2492" w:type="dxa"/>
            <w:tcBorders>
              <w:top w:val="nil"/>
              <w:left w:val="nil"/>
              <w:bottom w:val="thickThinLargeGap" w:sz="24" w:space="0" w:color="auto"/>
              <w:right w:val="nil"/>
            </w:tcBorders>
            <w:shd w:val="clear" w:color="auto" w:fill="113652"/>
          </w:tcPr>
          <w:p w14:paraId="1E9B8853" w14:textId="77777777" w:rsidR="009310B1" w:rsidRPr="001E0C6D" w:rsidRDefault="009310B1" w:rsidP="009310B1">
            <w:pPr>
              <w:pStyle w:val="Tableheading"/>
              <w:jc w:val="center"/>
            </w:pPr>
            <w:r w:rsidRPr="001E0C6D">
              <w:t xml:space="preserve">AMPAG donations </w:t>
            </w:r>
            <w:r w:rsidRPr="001E0C6D">
              <w:br/>
              <w:t>($ million)</w:t>
            </w:r>
          </w:p>
        </w:tc>
        <w:tc>
          <w:tcPr>
            <w:tcW w:w="2495" w:type="dxa"/>
            <w:tcBorders>
              <w:top w:val="nil"/>
              <w:left w:val="nil"/>
              <w:bottom w:val="thickThinLargeGap" w:sz="24" w:space="0" w:color="auto"/>
              <w:right w:val="nil"/>
            </w:tcBorders>
            <w:shd w:val="clear" w:color="auto" w:fill="113652"/>
          </w:tcPr>
          <w:p w14:paraId="4FC9A1A8" w14:textId="77777777" w:rsidR="009310B1" w:rsidRPr="001E0C6D" w:rsidRDefault="009310B1" w:rsidP="009310B1">
            <w:pPr>
              <w:pStyle w:val="Tableheading"/>
              <w:jc w:val="center"/>
            </w:pPr>
            <w:proofErr w:type="spellStart"/>
            <w:r w:rsidRPr="001E0C6D">
              <w:t>AbaF</w:t>
            </w:r>
            <w:proofErr w:type="spellEnd"/>
            <w:r w:rsidRPr="001E0C6D">
              <w:t xml:space="preserve"> donations average projections on AMPAG donations </w:t>
            </w:r>
            <w:r w:rsidRPr="001E0C6D">
              <w:br/>
              <w:t>($ million)</w:t>
            </w:r>
          </w:p>
        </w:tc>
      </w:tr>
      <w:tr w:rsidR="009310B1" w14:paraId="686E2860" w14:textId="77777777" w:rsidTr="009310B1">
        <w:trPr>
          <w:cantSplit/>
        </w:trPr>
        <w:tc>
          <w:tcPr>
            <w:tcW w:w="1680" w:type="dxa"/>
            <w:tcBorders>
              <w:top w:val="thickThinLargeGap" w:sz="24" w:space="0" w:color="auto"/>
              <w:left w:val="nil"/>
              <w:bottom w:val="single" w:sz="4" w:space="0" w:color="auto"/>
              <w:right w:val="nil"/>
            </w:tcBorders>
          </w:tcPr>
          <w:p w14:paraId="3E25A724" w14:textId="77777777" w:rsidR="009310B1" w:rsidRPr="001E0C6D" w:rsidRDefault="009310B1" w:rsidP="009310B1">
            <w:pPr>
              <w:pStyle w:val="Tabletext"/>
            </w:pPr>
            <w:r w:rsidRPr="001E0C6D">
              <w:t>2001–02</w:t>
            </w:r>
          </w:p>
        </w:tc>
        <w:tc>
          <w:tcPr>
            <w:tcW w:w="2359" w:type="dxa"/>
            <w:tcBorders>
              <w:top w:val="thickThinLargeGap" w:sz="24" w:space="0" w:color="auto"/>
              <w:left w:val="nil"/>
              <w:bottom w:val="single" w:sz="4" w:space="0" w:color="auto"/>
              <w:right w:val="nil"/>
            </w:tcBorders>
            <w:vAlign w:val="bottom"/>
          </w:tcPr>
          <w:p w14:paraId="4589D95C" w14:textId="77777777" w:rsidR="009310B1" w:rsidRPr="001E0C6D" w:rsidRDefault="009310B1" w:rsidP="009310B1">
            <w:pPr>
              <w:pStyle w:val="Tabletext"/>
              <w:jc w:val="center"/>
            </w:pPr>
            <w:r w:rsidRPr="001E0C6D">
              <w:t>47.1</w:t>
            </w:r>
          </w:p>
        </w:tc>
        <w:tc>
          <w:tcPr>
            <w:tcW w:w="2492" w:type="dxa"/>
            <w:tcBorders>
              <w:top w:val="thickThinLargeGap" w:sz="24" w:space="0" w:color="auto"/>
              <w:left w:val="nil"/>
              <w:bottom w:val="single" w:sz="4" w:space="0" w:color="auto"/>
              <w:right w:val="nil"/>
            </w:tcBorders>
            <w:vAlign w:val="bottom"/>
          </w:tcPr>
          <w:p w14:paraId="54646A9F" w14:textId="77777777" w:rsidR="009310B1" w:rsidRPr="001E0C6D" w:rsidRDefault="009310B1" w:rsidP="009310B1">
            <w:pPr>
              <w:pStyle w:val="Tabletext"/>
              <w:jc w:val="center"/>
            </w:pPr>
            <w:r w:rsidRPr="001E0C6D">
              <w:t>7.5</w:t>
            </w:r>
          </w:p>
        </w:tc>
        <w:tc>
          <w:tcPr>
            <w:tcW w:w="2495" w:type="dxa"/>
            <w:tcBorders>
              <w:top w:val="thickThinLargeGap" w:sz="24" w:space="0" w:color="auto"/>
              <w:left w:val="nil"/>
              <w:bottom w:val="single" w:sz="4" w:space="0" w:color="auto"/>
              <w:right w:val="nil"/>
            </w:tcBorders>
          </w:tcPr>
          <w:p w14:paraId="2B5B4B8D" w14:textId="77777777" w:rsidR="009310B1" w:rsidRPr="001E0C6D" w:rsidRDefault="009310B1" w:rsidP="009310B1">
            <w:pPr>
              <w:pStyle w:val="Tabletext"/>
              <w:jc w:val="center"/>
            </w:pPr>
            <w:r w:rsidRPr="001E0C6D">
              <w:t>-</w:t>
            </w:r>
          </w:p>
        </w:tc>
      </w:tr>
      <w:tr w:rsidR="009310B1" w14:paraId="46A5C7E6" w14:textId="77777777" w:rsidTr="00BC0293">
        <w:trPr>
          <w:cantSplit/>
        </w:trPr>
        <w:tc>
          <w:tcPr>
            <w:tcW w:w="1680" w:type="dxa"/>
            <w:tcBorders>
              <w:top w:val="single" w:sz="4" w:space="0" w:color="auto"/>
              <w:left w:val="nil"/>
              <w:bottom w:val="single" w:sz="4" w:space="0" w:color="auto"/>
              <w:right w:val="nil"/>
            </w:tcBorders>
          </w:tcPr>
          <w:p w14:paraId="650FE801" w14:textId="77777777" w:rsidR="009310B1" w:rsidRPr="001E0C6D" w:rsidRDefault="009310B1" w:rsidP="009310B1">
            <w:pPr>
              <w:pStyle w:val="Tabletext"/>
            </w:pPr>
            <w:r w:rsidRPr="001E0C6D">
              <w:t>2002–03</w:t>
            </w:r>
          </w:p>
        </w:tc>
        <w:tc>
          <w:tcPr>
            <w:tcW w:w="2359" w:type="dxa"/>
            <w:tcBorders>
              <w:top w:val="single" w:sz="4" w:space="0" w:color="auto"/>
              <w:left w:val="nil"/>
              <w:bottom w:val="single" w:sz="4" w:space="0" w:color="auto"/>
              <w:right w:val="nil"/>
            </w:tcBorders>
            <w:vAlign w:val="bottom"/>
          </w:tcPr>
          <w:p w14:paraId="2E44553E" w14:textId="77777777" w:rsidR="009310B1" w:rsidRPr="001E0C6D" w:rsidRDefault="009310B1" w:rsidP="009310B1">
            <w:pPr>
              <w:pStyle w:val="Tabletext"/>
              <w:jc w:val="center"/>
            </w:pPr>
            <w:r w:rsidRPr="001E0C6D">
              <w:t>57.0</w:t>
            </w:r>
          </w:p>
        </w:tc>
        <w:tc>
          <w:tcPr>
            <w:tcW w:w="2492" w:type="dxa"/>
            <w:tcBorders>
              <w:top w:val="single" w:sz="4" w:space="0" w:color="auto"/>
              <w:left w:val="nil"/>
              <w:bottom w:val="single" w:sz="4" w:space="0" w:color="auto"/>
              <w:right w:val="nil"/>
            </w:tcBorders>
            <w:vAlign w:val="bottom"/>
          </w:tcPr>
          <w:p w14:paraId="0E86EE10" w14:textId="77777777" w:rsidR="009310B1" w:rsidRPr="001E0C6D" w:rsidRDefault="009310B1" w:rsidP="009310B1">
            <w:pPr>
              <w:pStyle w:val="Tabletext"/>
              <w:jc w:val="center"/>
            </w:pPr>
            <w:r w:rsidRPr="001E0C6D">
              <w:t>7.8</w:t>
            </w:r>
          </w:p>
        </w:tc>
        <w:tc>
          <w:tcPr>
            <w:tcW w:w="2495" w:type="dxa"/>
            <w:tcBorders>
              <w:top w:val="single" w:sz="4" w:space="0" w:color="auto"/>
              <w:left w:val="nil"/>
              <w:bottom w:val="single" w:sz="4" w:space="0" w:color="auto"/>
              <w:right w:val="nil"/>
            </w:tcBorders>
          </w:tcPr>
          <w:p w14:paraId="69679AAD" w14:textId="77777777" w:rsidR="009310B1" w:rsidRPr="001E0C6D" w:rsidRDefault="009310B1" w:rsidP="009310B1">
            <w:pPr>
              <w:pStyle w:val="Tabletext"/>
              <w:jc w:val="center"/>
            </w:pPr>
            <w:r w:rsidRPr="001E0C6D">
              <w:t>-</w:t>
            </w:r>
          </w:p>
        </w:tc>
      </w:tr>
      <w:tr w:rsidR="009310B1" w14:paraId="19203DF4" w14:textId="77777777" w:rsidTr="00BC0293">
        <w:trPr>
          <w:cantSplit/>
        </w:trPr>
        <w:tc>
          <w:tcPr>
            <w:tcW w:w="1680" w:type="dxa"/>
            <w:tcBorders>
              <w:top w:val="single" w:sz="4" w:space="0" w:color="auto"/>
              <w:left w:val="nil"/>
              <w:bottom w:val="single" w:sz="4" w:space="0" w:color="auto"/>
              <w:right w:val="nil"/>
            </w:tcBorders>
          </w:tcPr>
          <w:p w14:paraId="60F28F5B" w14:textId="77777777" w:rsidR="009310B1" w:rsidRPr="001E0C6D" w:rsidRDefault="009310B1" w:rsidP="009310B1">
            <w:pPr>
              <w:pStyle w:val="Tabletext"/>
            </w:pPr>
            <w:r w:rsidRPr="001E0C6D">
              <w:t>2003–04</w:t>
            </w:r>
          </w:p>
        </w:tc>
        <w:tc>
          <w:tcPr>
            <w:tcW w:w="2359" w:type="dxa"/>
            <w:tcBorders>
              <w:top w:val="single" w:sz="4" w:space="0" w:color="auto"/>
              <w:left w:val="nil"/>
              <w:bottom w:val="single" w:sz="4" w:space="0" w:color="auto"/>
              <w:right w:val="nil"/>
            </w:tcBorders>
            <w:vAlign w:val="bottom"/>
          </w:tcPr>
          <w:p w14:paraId="547276DD" w14:textId="77777777" w:rsidR="009310B1" w:rsidRPr="001E0C6D" w:rsidRDefault="009310B1" w:rsidP="009310B1">
            <w:pPr>
              <w:pStyle w:val="Tabletext"/>
              <w:jc w:val="center"/>
            </w:pPr>
            <w:r w:rsidRPr="001E0C6D">
              <w:t>50.9</w:t>
            </w:r>
          </w:p>
        </w:tc>
        <w:tc>
          <w:tcPr>
            <w:tcW w:w="2492" w:type="dxa"/>
            <w:tcBorders>
              <w:top w:val="single" w:sz="4" w:space="0" w:color="auto"/>
              <w:left w:val="nil"/>
              <w:bottom w:val="single" w:sz="4" w:space="0" w:color="auto"/>
              <w:right w:val="nil"/>
            </w:tcBorders>
            <w:vAlign w:val="bottom"/>
          </w:tcPr>
          <w:p w14:paraId="4646F033" w14:textId="77777777" w:rsidR="009310B1" w:rsidRPr="001E0C6D" w:rsidRDefault="009310B1" w:rsidP="009310B1">
            <w:pPr>
              <w:pStyle w:val="Tabletext"/>
              <w:jc w:val="center"/>
            </w:pPr>
            <w:r w:rsidRPr="001E0C6D">
              <w:t>8.7</w:t>
            </w:r>
          </w:p>
        </w:tc>
        <w:tc>
          <w:tcPr>
            <w:tcW w:w="2495" w:type="dxa"/>
            <w:tcBorders>
              <w:top w:val="single" w:sz="4" w:space="0" w:color="auto"/>
              <w:left w:val="nil"/>
              <w:bottom w:val="single" w:sz="4" w:space="0" w:color="auto"/>
              <w:right w:val="nil"/>
            </w:tcBorders>
          </w:tcPr>
          <w:p w14:paraId="2A79AE4B" w14:textId="77777777" w:rsidR="009310B1" w:rsidRPr="001E0C6D" w:rsidRDefault="009310B1" w:rsidP="009310B1">
            <w:pPr>
              <w:pStyle w:val="Tabletext"/>
              <w:jc w:val="center"/>
            </w:pPr>
            <w:r w:rsidRPr="001E0C6D">
              <w:t>-</w:t>
            </w:r>
          </w:p>
        </w:tc>
      </w:tr>
      <w:tr w:rsidR="009310B1" w14:paraId="3322AF46" w14:textId="77777777" w:rsidTr="00BC0293">
        <w:trPr>
          <w:cantSplit/>
        </w:trPr>
        <w:tc>
          <w:tcPr>
            <w:tcW w:w="1680" w:type="dxa"/>
            <w:tcBorders>
              <w:top w:val="single" w:sz="4" w:space="0" w:color="auto"/>
              <w:left w:val="nil"/>
              <w:bottom w:val="single" w:sz="4" w:space="0" w:color="auto"/>
              <w:right w:val="nil"/>
            </w:tcBorders>
          </w:tcPr>
          <w:p w14:paraId="04F570CB" w14:textId="77777777" w:rsidR="009310B1" w:rsidRPr="001E0C6D" w:rsidRDefault="009310B1" w:rsidP="009310B1">
            <w:pPr>
              <w:pStyle w:val="Tabletext"/>
            </w:pPr>
            <w:r w:rsidRPr="001E0C6D">
              <w:t>2004–05</w:t>
            </w:r>
          </w:p>
        </w:tc>
        <w:tc>
          <w:tcPr>
            <w:tcW w:w="2359" w:type="dxa"/>
            <w:tcBorders>
              <w:top w:val="single" w:sz="4" w:space="0" w:color="auto"/>
              <w:left w:val="nil"/>
              <w:bottom w:val="single" w:sz="4" w:space="0" w:color="auto"/>
              <w:right w:val="nil"/>
            </w:tcBorders>
            <w:vAlign w:val="bottom"/>
          </w:tcPr>
          <w:p w14:paraId="56F4C33B" w14:textId="77777777" w:rsidR="009310B1" w:rsidRPr="001E0C6D" w:rsidRDefault="009310B1" w:rsidP="009310B1">
            <w:pPr>
              <w:pStyle w:val="Tabletext"/>
              <w:jc w:val="center"/>
            </w:pPr>
            <w:r w:rsidRPr="001E0C6D">
              <w:t>62.7</w:t>
            </w:r>
          </w:p>
        </w:tc>
        <w:tc>
          <w:tcPr>
            <w:tcW w:w="2492" w:type="dxa"/>
            <w:tcBorders>
              <w:top w:val="single" w:sz="4" w:space="0" w:color="auto"/>
              <w:left w:val="nil"/>
              <w:bottom w:val="single" w:sz="4" w:space="0" w:color="auto"/>
              <w:right w:val="nil"/>
            </w:tcBorders>
            <w:vAlign w:val="bottom"/>
          </w:tcPr>
          <w:p w14:paraId="06F2A413" w14:textId="77777777" w:rsidR="009310B1" w:rsidRPr="001E0C6D" w:rsidRDefault="009310B1" w:rsidP="009310B1">
            <w:pPr>
              <w:pStyle w:val="Tabletext"/>
              <w:jc w:val="center"/>
            </w:pPr>
            <w:r w:rsidRPr="001E0C6D">
              <w:t>11.1</w:t>
            </w:r>
          </w:p>
        </w:tc>
        <w:tc>
          <w:tcPr>
            <w:tcW w:w="2495" w:type="dxa"/>
            <w:tcBorders>
              <w:top w:val="single" w:sz="4" w:space="0" w:color="auto"/>
              <w:left w:val="nil"/>
              <w:bottom w:val="single" w:sz="4" w:space="0" w:color="auto"/>
              <w:right w:val="nil"/>
            </w:tcBorders>
          </w:tcPr>
          <w:p w14:paraId="258D2720" w14:textId="77777777" w:rsidR="009310B1" w:rsidRPr="001E0C6D" w:rsidRDefault="009310B1" w:rsidP="009310B1">
            <w:pPr>
              <w:pStyle w:val="Tabletext"/>
              <w:jc w:val="center"/>
            </w:pPr>
            <w:r w:rsidRPr="001E0C6D">
              <w:t>-</w:t>
            </w:r>
          </w:p>
        </w:tc>
      </w:tr>
      <w:tr w:rsidR="009310B1" w14:paraId="649A8F9E" w14:textId="77777777" w:rsidTr="00BC0293">
        <w:trPr>
          <w:cantSplit/>
        </w:trPr>
        <w:tc>
          <w:tcPr>
            <w:tcW w:w="1680" w:type="dxa"/>
            <w:tcBorders>
              <w:top w:val="single" w:sz="4" w:space="0" w:color="auto"/>
              <w:left w:val="nil"/>
              <w:bottom w:val="single" w:sz="4" w:space="0" w:color="auto"/>
              <w:right w:val="nil"/>
            </w:tcBorders>
          </w:tcPr>
          <w:p w14:paraId="54AAD031" w14:textId="77777777" w:rsidR="009310B1" w:rsidRPr="001E0C6D" w:rsidRDefault="009310B1" w:rsidP="009310B1">
            <w:pPr>
              <w:pStyle w:val="Tabletext"/>
            </w:pPr>
            <w:r w:rsidRPr="001E0C6D">
              <w:t>2005–06</w:t>
            </w:r>
          </w:p>
        </w:tc>
        <w:tc>
          <w:tcPr>
            <w:tcW w:w="2359" w:type="dxa"/>
            <w:tcBorders>
              <w:top w:val="single" w:sz="4" w:space="0" w:color="auto"/>
              <w:left w:val="nil"/>
              <w:bottom w:val="single" w:sz="4" w:space="0" w:color="auto"/>
              <w:right w:val="nil"/>
            </w:tcBorders>
            <w:vAlign w:val="bottom"/>
          </w:tcPr>
          <w:p w14:paraId="3801D7BF" w14:textId="77777777" w:rsidR="009310B1" w:rsidRPr="001E0C6D" w:rsidRDefault="009310B1" w:rsidP="009310B1">
            <w:pPr>
              <w:pStyle w:val="Tabletext"/>
              <w:jc w:val="center"/>
            </w:pPr>
            <w:r w:rsidRPr="001E0C6D">
              <w:t>86.9</w:t>
            </w:r>
          </w:p>
        </w:tc>
        <w:tc>
          <w:tcPr>
            <w:tcW w:w="2492" w:type="dxa"/>
            <w:tcBorders>
              <w:top w:val="single" w:sz="4" w:space="0" w:color="auto"/>
              <w:left w:val="nil"/>
              <w:bottom w:val="single" w:sz="4" w:space="0" w:color="auto"/>
              <w:right w:val="nil"/>
            </w:tcBorders>
            <w:vAlign w:val="bottom"/>
          </w:tcPr>
          <w:p w14:paraId="39BE7C19" w14:textId="77777777" w:rsidR="009310B1" w:rsidRPr="001E0C6D" w:rsidRDefault="009310B1" w:rsidP="009310B1">
            <w:pPr>
              <w:pStyle w:val="Tabletext"/>
              <w:jc w:val="center"/>
            </w:pPr>
            <w:r w:rsidRPr="001E0C6D">
              <w:t>12.9</w:t>
            </w:r>
          </w:p>
        </w:tc>
        <w:tc>
          <w:tcPr>
            <w:tcW w:w="2495" w:type="dxa"/>
            <w:tcBorders>
              <w:top w:val="single" w:sz="4" w:space="0" w:color="auto"/>
              <w:left w:val="nil"/>
              <w:bottom w:val="single" w:sz="4" w:space="0" w:color="auto"/>
              <w:right w:val="nil"/>
            </w:tcBorders>
          </w:tcPr>
          <w:p w14:paraId="5BABB062" w14:textId="77777777" w:rsidR="009310B1" w:rsidRPr="001E0C6D" w:rsidRDefault="009310B1" w:rsidP="009310B1">
            <w:pPr>
              <w:pStyle w:val="Tabletext"/>
              <w:jc w:val="center"/>
            </w:pPr>
            <w:r w:rsidRPr="001E0C6D">
              <w:t>-</w:t>
            </w:r>
          </w:p>
        </w:tc>
      </w:tr>
      <w:tr w:rsidR="009310B1" w14:paraId="6398BAEC" w14:textId="77777777" w:rsidTr="00BC0293">
        <w:trPr>
          <w:cantSplit/>
        </w:trPr>
        <w:tc>
          <w:tcPr>
            <w:tcW w:w="1680" w:type="dxa"/>
            <w:tcBorders>
              <w:top w:val="single" w:sz="4" w:space="0" w:color="auto"/>
              <w:left w:val="nil"/>
              <w:bottom w:val="single" w:sz="4" w:space="0" w:color="auto"/>
              <w:right w:val="nil"/>
            </w:tcBorders>
          </w:tcPr>
          <w:p w14:paraId="18848F72" w14:textId="77777777" w:rsidR="009310B1" w:rsidRPr="001E0C6D" w:rsidRDefault="009310B1" w:rsidP="009310B1">
            <w:pPr>
              <w:pStyle w:val="Tabletext"/>
            </w:pPr>
            <w:r w:rsidRPr="001E0C6D">
              <w:t>2006–07</w:t>
            </w:r>
          </w:p>
        </w:tc>
        <w:tc>
          <w:tcPr>
            <w:tcW w:w="2359" w:type="dxa"/>
            <w:tcBorders>
              <w:top w:val="single" w:sz="4" w:space="0" w:color="auto"/>
              <w:left w:val="nil"/>
              <w:bottom w:val="single" w:sz="4" w:space="0" w:color="auto"/>
              <w:right w:val="nil"/>
            </w:tcBorders>
            <w:vAlign w:val="bottom"/>
          </w:tcPr>
          <w:p w14:paraId="307FC33C" w14:textId="77777777" w:rsidR="009310B1" w:rsidRPr="001E0C6D" w:rsidRDefault="009310B1" w:rsidP="009310B1">
            <w:pPr>
              <w:pStyle w:val="Tabletext"/>
              <w:jc w:val="center"/>
            </w:pPr>
            <w:r w:rsidRPr="001E0C6D">
              <w:t>86.6</w:t>
            </w:r>
          </w:p>
        </w:tc>
        <w:tc>
          <w:tcPr>
            <w:tcW w:w="2492" w:type="dxa"/>
            <w:tcBorders>
              <w:top w:val="single" w:sz="4" w:space="0" w:color="auto"/>
              <w:left w:val="nil"/>
              <w:bottom w:val="single" w:sz="4" w:space="0" w:color="auto"/>
              <w:right w:val="nil"/>
            </w:tcBorders>
            <w:vAlign w:val="bottom"/>
          </w:tcPr>
          <w:p w14:paraId="30719ED4" w14:textId="77777777" w:rsidR="009310B1" w:rsidRPr="001E0C6D" w:rsidRDefault="009310B1" w:rsidP="009310B1">
            <w:pPr>
              <w:pStyle w:val="Tabletext"/>
              <w:jc w:val="center"/>
            </w:pPr>
            <w:r w:rsidRPr="001E0C6D">
              <w:t>15.5</w:t>
            </w:r>
          </w:p>
        </w:tc>
        <w:tc>
          <w:tcPr>
            <w:tcW w:w="2495" w:type="dxa"/>
            <w:tcBorders>
              <w:top w:val="single" w:sz="4" w:space="0" w:color="auto"/>
              <w:left w:val="nil"/>
              <w:bottom w:val="single" w:sz="4" w:space="0" w:color="auto"/>
              <w:right w:val="nil"/>
            </w:tcBorders>
          </w:tcPr>
          <w:p w14:paraId="11E6F02D" w14:textId="77777777" w:rsidR="009310B1" w:rsidRPr="001E0C6D" w:rsidRDefault="009310B1" w:rsidP="009310B1">
            <w:pPr>
              <w:pStyle w:val="Tabletext"/>
              <w:jc w:val="center"/>
            </w:pPr>
            <w:r w:rsidRPr="001E0C6D">
              <w:t>-</w:t>
            </w:r>
          </w:p>
        </w:tc>
      </w:tr>
      <w:tr w:rsidR="009310B1" w14:paraId="76BC4700" w14:textId="77777777" w:rsidTr="00BC0293">
        <w:trPr>
          <w:cantSplit/>
        </w:trPr>
        <w:tc>
          <w:tcPr>
            <w:tcW w:w="1680" w:type="dxa"/>
            <w:tcBorders>
              <w:top w:val="single" w:sz="4" w:space="0" w:color="auto"/>
              <w:left w:val="nil"/>
              <w:bottom w:val="single" w:sz="4" w:space="0" w:color="auto"/>
              <w:right w:val="nil"/>
            </w:tcBorders>
          </w:tcPr>
          <w:p w14:paraId="7547E1FF" w14:textId="77777777" w:rsidR="009310B1" w:rsidRPr="001E0C6D" w:rsidRDefault="009310B1" w:rsidP="009310B1">
            <w:pPr>
              <w:pStyle w:val="Tabletext"/>
            </w:pPr>
            <w:r w:rsidRPr="001E0C6D">
              <w:t>2007–08</w:t>
            </w:r>
          </w:p>
        </w:tc>
        <w:tc>
          <w:tcPr>
            <w:tcW w:w="2359" w:type="dxa"/>
            <w:tcBorders>
              <w:top w:val="single" w:sz="4" w:space="0" w:color="auto"/>
              <w:left w:val="nil"/>
              <w:bottom w:val="single" w:sz="4" w:space="0" w:color="auto"/>
              <w:right w:val="nil"/>
            </w:tcBorders>
            <w:vAlign w:val="bottom"/>
          </w:tcPr>
          <w:p w14:paraId="61B5F3EA" w14:textId="77777777" w:rsidR="009310B1" w:rsidRPr="001E0C6D" w:rsidRDefault="009310B1" w:rsidP="009310B1">
            <w:pPr>
              <w:pStyle w:val="Tabletext"/>
              <w:jc w:val="center"/>
            </w:pPr>
            <w:r w:rsidRPr="001E0C6D">
              <w:t>104.9</w:t>
            </w:r>
          </w:p>
        </w:tc>
        <w:tc>
          <w:tcPr>
            <w:tcW w:w="2492" w:type="dxa"/>
            <w:tcBorders>
              <w:top w:val="single" w:sz="4" w:space="0" w:color="auto"/>
              <w:left w:val="nil"/>
              <w:bottom w:val="single" w:sz="4" w:space="0" w:color="auto"/>
              <w:right w:val="nil"/>
            </w:tcBorders>
            <w:vAlign w:val="bottom"/>
          </w:tcPr>
          <w:p w14:paraId="1C5B30A7" w14:textId="77777777" w:rsidR="009310B1" w:rsidRPr="001E0C6D" w:rsidRDefault="009310B1" w:rsidP="009310B1">
            <w:pPr>
              <w:pStyle w:val="Tabletext"/>
              <w:jc w:val="center"/>
            </w:pPr>
            <w:r w:rsidRPr="001E0C6D">
              <w:t>19.2</w:t>
            </w:r>
          </w:p>
        </w:tc>
        <w:tc>
          <w:tcPr>
            <w:tcW w:w="2495" w:type="dxa"/>
            <w:tcBorders>
              <w:top w:val="single" w:sz="4" w:space="0" w:color="auto"/>
              <w:left w:val="nil"/>
              <w:bottom w:val="single" w:sz="4" w:space="0" w:color="auto"/>
              <w:right w:val="nil"/>
            </w:tcBorders>
          </w:tcPr>
          <w:p w14:paraId="71662592" w14:textId="77777777" w:rsidR="009310B1" w:rsidRPr="001E0C6D" w:rsidRDefault="009310B1" w:rsidP="009310B1">
            <w:pPr>
              <w:pStyle w:val="Tabletext"/>
              <w:jc w:val="center"/>
            </w:pPr>
            <w:r w:rsidRPr="001E0C6D">
              <w:t>-</w:t>
            </w:r>
          </w:p>
        </w:tc>
      </w:tr>
      <w:tr w:rsidR="009310B1" w14:paraId="583F9415" w14:textId="77777777" w:rsidTr="00BC0293">
        <w:trPr>
          <w:cantSplit/>
        </w:trPr>
        <w:tc>
          <w:tcPr>
            <w:tcW w:w="1680" w:type="dxa"/>
            <w:tcBorders>
              <w:top w:val="single" w:sz="4" w:space="0" w:color="auto"/>
              <w:left w:val="nil"/>
              <w:bottom w:val="single" w:sz="4" w:space="0" w:color="auto"/>
              <w:right w:val="nil"/>
            </w:tcBorders>
          </w:tcPr>
          <w:p w14:paraId="2FFCB9AC" w14:textId="77777777" w:rsidR="009310B1" w:rsidRPr="001E0C6D" w:rsidRDefault="009310B1" w:rsidP="009310B1">
            <w:pPr>
              <w:pStyle w:val="Tabletext"/>
            </w:pPr>
            <w:r w:rsidRPr="001E0C6D">
              <w:t>2008–09</w:t>
            </w:r>
          </w:p>
        </w:tc>
        <w:tc>
          <w:tcPr>
            <w:tcW w:w="2359" w:type="dxa"/>
            <w:tcBorders>
              <w:top w:val="single" w:sz="4" w:space="0" w:color="auto"/>
              <w:left w:val="nil"/>
              <w:bottom w:val="single" w:sz="4" w:space="0" w:color="auto"/>
              <w:right w:val="nil"/>
            </w:tcBorders>
            <w:vAlign w:val="bottom"/>
          </w:tcPr>
          <w:p w14:paraId="0D6BB9E7" w14:textId="77777777" w:rsidR="009310B1" w:rsidRPr="001E0C6D" w:rsidRDefault="009310B1" w:rsidP="009310B1">
            <w:pPr>
              <w:pStyle w:val="Tabletext"/>
              <w:jc w:val="center"/>
            </w:pPr>
            <w:r w:rsidRPr="001E0C6D">
              <w:t>111.4</w:t>
            </w:r>
          </w:p>
        </w:tc>
        <w:tc>
          <w:tcPr>
            <w:tcW w:w="2492" w:type="dxa"/>
            <w:tcBorders>
              <w:top w:val="single" w:sz="4" w:space="0" w:color="auto"/>
              <w:left w:val="nil"/>
              <w:bottom w:val="single" w:sz="4" w:space="0" w:color="auto"/>
              <w:right w:val="nil"/>
            </w:tcBorders>
            <w:vAlign w:val="bottom"/>
          </w:tcPr>
          <w:p w14:paraId="78C79228" w14:textId="77777777" w:rsidR="009310B1" w:rsidRPr="001E0C6D" w:rsidRDefault="009310B1" w:rsidP="009310B1">
            <w:pPr>
              <w:pStyle w:val="Tabletext"/>
              <w:jc w:val="center"/>
            </w:pPr>
            <w:r w:rsidRPr="001E0C6D">
              <w:t>19.9</w:t>
            </w:r>
          </w:p>
        </w:tc>
        <w:tc>
          <w:tcPr>
            <w:tcW w:w="2495" w:type="dxa"/>
            <w:tcBorders>
              <w:top w:val="single" w:sz="4" w:space="0" w:color="auto"/>
              <w:left w:val="nil"/>
              <w:bottom w:val="single" w:sz="4" w:space="0" w:color="auto"/>
              <w:right w:val="nil"/>
            </w:tcBorders>
          </w:tcPr>
          <w:p w14:paraId="1B3EEE10" w14:textId="77777777" w:rsidR="009310B1" w:rsidRPr="001E0C6D" w:rsidRDefault="009310B1" w:rsidP="009310B1">
            <w:pPr>
              <w:pStyle w:val="Tabletext"/>
              <w:jc w:val="center"/>
            </w:pPr>
            <w:r w:rsidRPr="001E0C6D">
              <w:t>-</w:t>
            </w:r>
          </w:p>
        </w:tc>
      </w:tr>
      <w:tr w:rsidR="009310B1" w14:paraId="054AAE87" w14:textId="77777777" w:rsidTr="00BC0293">
        <w:trPr>
          <w:cantSplit/>
        </w:trPr>
        <w:tc>
          <w:tcPr>
            <w:tcW w:w="1680" w:type="dxa"/>
            <w:tcBorders>
              <w:top w:val="single" w:sz="4" w:space="0" w:color="auto"/>
              <w:left w:val="nil"/>
              <w:bottom w:val="single" w:sz="4" w:space="0" w:color="auto"/>
              <w:right w:val="nil"/>
            </w:tcBorders>
          </w:tcPr>
          <w:p w14:paraId="1A20D348" w14:textId="77777777" w:rsidR="009310B1" w:rsidRPr="001E0C6D" w:rsidRDefault="009310B1" w:rsidP="009310B1">
            <w:pPr>
              <w:pStyle w:val="Tabletext"/>
            </w:pPr>
            <w:r w:rsidRPr="001E0C6D">
              <w:t>2009–10</w:t>
            </w:r>
          </w:p>
        </w:tc>
        <w:tc>
          <w:tcPr>
            <w:tcW w:w="2359" w:type="dxa"/>
            <w:tcBorders>
              <w:top w:val="single" w:sz="4" w:space="0" w:color="auto"/>
              <w:left w:val="nil"/>
              <w:bottom w:val="single" w:sz="4" w:space="0" w:color="auto"/>
              <w:right w:val="nil"/>
            </w:tcBorders>
            <w:vAlign w:val="bottom"/>
          </w:tcPr>
          <w:p w14:paraId="785628FA" w14:textId="77777777" w:rsidR="009310B1" w:rsidRPr="001E0C6D" w:rsidRDefault="009310B1" w:rsidP="009310B1">
            <w:pPr>
              <w:pStyle w:val="Tabletext"/>
              <w:jc w:val="center"/>
            </w:pPr>
            <w:r w:rsidRPr="001E0C6D">
              <w:t>123.1</w:t>
            </w:r>
          </w:p>
        </w:tc>
        <w:tc>
          <w:tcPr>
            <w:tcW w:w="2492" w:type="dxa"/>
            <w:tcBorders>
              <w:top w:val="single" w:sz="4" w:space="0" w:color="auto"/>
              <w:left w:val="nil"/>
              <w:bottom w:val="single" w:sz="4" w:space="0" w:color="auto"/>
              <w:right w:val="nil"/>
            </w:tcBorders>
            <w:vAlign w:val="bottom"/>
          </w:tcPr>
          <w:p w14:paraId="1C6EE506" w14:textId="77777777" w:rsidR="009310B1" w:rsidRPr="001E0C6D" w:rsidRDefault="009310B1" w:rsidP="009310B1">
            <w:pPr>
              <w:pStyle w:val="Tabletext"/>
              <w:jc w:val="center"/>
            </w:pPr>
            <w:r w:rsidRPr="001E0C6D">
              <w:t>22.3</w:t>
            </w:r>
          </w:p>
        </w:tc>
        <w:tc>
          <w:tcPr>
            <w:tcW w:w="2495" w:type="dxa"/>
            <w:tcBorders>
              <w:top w:val="single" w:sz="4" w:space="0" w:color="auto"/>
              <w:left w:val="nil"/>
              <w:bottom w:val="single" w:sz="4" w:space="0" w:color="auto"/>
              <w:right w:val="nil"/>
            </w:tcBorders>
          </w:tcPr>
          <w:p w14:paraId="6554E7BA" w14:textId="77777777" w:rsidR="009310B1" w:rsidRPr="001E0C6D" w:rsidRDefault="009310B1" w:rsidP="009310B1">
            <w:pPr>
              <w:pStyle w:val="Tabletext"/>
              <w:jc w:val="center"/>
            </w:pPr>
            <w:r w:rsidRPr="001E0C6D">
              <w:t>-</w:t>
            </w:r>
          </w:p>
        </w:tc>
      </w:tr>
      <w:tr w:rsidR="009310B1" w14:paraId="2A816E87" w14:textId="77777777" w:rsidTr="00BC0293">
        <w:trPr>
          <w:cantSplit/>
        </w:trPr>
        <w:tc>
          <w:tcPr>
            <w:tcW w:w="1680" w:type="dxa"/>
            <w:tcBorders>
              <w:top w:val="single" w:sz="4" w:space="0" w:color="auto"/>
              <w:left w:val="nil"/>
              <w:bottom w:val="single" w:sz="4" w:space="0" w:color="auto"/>
              <w:right w:val="nil"/>
            </w:tcBorders>
          </w:tcPr>
          <w:p w14:paraId="1D16305C" w14:textId="77777777" w:rsidR="009310B1" w:rsidRPr="001E0C6D" w:rsidRDefault="009310B1" w:rsidP="009310B1">
            <w:pPr>
              <w:pStyle w:val="Tabletext"/>
            </w:pPr>
            <w:r w:rsidRPr="001E0C6D">
              <w:t>2010–11</w:t>
            </w:r>
          </w:p>
        </w:tc>
        <w:tc>
          <w:tcPr>
            <w:tcW w:w="2359" w:type="dxa"/>
            <w:tcBorders>
              <w:top w:val="single" w:sz="4" w:space="0" w:color="auto"/>
              <w:left w:val="nil"/>
              <w:bottom w:val="single" w:sz="4" w:space="0" w:color="auto"/>
              <w:right w:val="nil"/>
            </w:tcBorders>
          </w:tcPr>
          <w:p w14:paraId="7749FF8D" w14:textId="77777777" w:rsidR="009310B1" w:rsidRPr="001E0C6D" w:rsidRDefault="009310B1" w:rsidP="009310B1">
            <w:pPr>
              <w:pStyle w:val="Tabletext"/>
              <w:jc w:val="center"/>
            </w:pPr>
            <w:r w:rsidRPr="001E0C6D">
              <w:t>-</w:t>
            </w:r>
          </w:p>
        </w:tc>
        <w:tc>
          <w:tcPr>
            <w:tcW w:w="2492" w:type="dxa"/>
            <w:tcBorders>
              <w:top w:val="single" w:sz="4" w:space="0" w:color="auto"/>
              <w:left w:val="nil"/>
              <w:bottom w:val="single" w:sz="4" w:space="0" w:color="auto"/>
              <w:right w:val="nil"/>
            </w:tcBorders>
            <w:vAlign w:val="bottom"/>
          </w:tcPr>
          <w:p w14:paraId="6CDDC506" w14:textId="77777777" w:rsidR="009310B1" w:rsidRPr="001E0C6D" w:rsidRDefault="009310B1" w:rsidP="009310B1">
            <w:pPr>
              <w:pStyle w:val="Tabletext"/>
              <w:jc w:val="center"/>
            </w:pPr>
            <w:r w:rsidRPr="001E0C6D">
              <w:t>30.1</w:t>
            </w:r>
          </w:p>
        </w:tc>
        <w:tc>
          <w:tcPr>
            <w:tcW w:w="2495" w:type="dxa"/>
            <w:tcBorders>
              <w:top w:val="single" w:sz="4" w:space="0" w:color="auto"/>
              <w:left w:val="nil"/>
              <w:bottom w:val="single" w:sz="4" w:space="0" w:color="auto"/>
              <w:right w:val="nil"/>
            </w:tcBorders>
            <w:vAlign w:val="bottom"/>
          </w:tcPr>
          <w:p w14:paraId="12DC5A50" w14:textId="77777777" w:rsidR="009310B1" w:rsidRPr="001E0C6D" w:rsidRDefault="009310B1" w:rsidP="009310B1">
            <w:pPr>
              <w:pStyle w:val="Tabletext"/>
              <w:jc w:val="center"/>
            </w:pPr>
            <w:r w:rsidRPr="001E0C6D">
              <w:t>160.8</w:t>
            </w:r>
          </w:p>
        </w:tc>
      </w:tr>
      <w:tr w:rsidR="009310B1" w14:paraId="7F3757DD" w14:textId="77777777" w:rsidTr="00BC0293">
        <w:trPr>
          <w:cantSplit/>
        </w:trPr>
        <w:tc>
          <w:tcPr>
            <w:tcW w:w="1680" w:type="dxa"/>
            <w:tcBorders>
              <w:top w:val="single" w:sz="4" w:space="0" w:color="auto"/>
              <w:left w:val="nil"/>
              <w:bottom w:val="single" w:sz="4" w:space="0" w:color="auto"/>
              <w:right w:val="nil"/>
            </w:tcBorders>
          </w:tcPr>
          <w:p w14:paraId="427A051D" w14:textId="77777777" w:rsidR="009310B1" w:rsidRPr="001E0C6D" w:rsidRDefault="009310B1" w:rsidP="009310B1">
            <w:pPr>
              <w:pStyle w:val="Tabletext"/>
            </w:pPr>
            <w:r w:rsidRPr="001E0C6D">
              <w:t>2011–12</w:t>
            </w:r>
          </w:p>
        </w:tc>
        <w:tc>
          <w:tcPr>
            <w:tcW w:w="2359" w:type="dxa"/>
            <w:tcBorders>
              <w:top w:val="single" w:sz="4" w:space="0" w:color="auto"/>
              <w:left w:val="nil"/>
              <w:bottom w:val="single" w:sz="4" w:space="0" w:color="auto"/>
              <w:right w:val="nil"/>
            </w:tcBorders>
          </w:tcPr>
          <w:p w14:paraId="5E22FBBB" w14:textId="77777777" w:rsidR="009310B1" w:rsidRPr="001E0C6D" w:rsidRDefault="009310B1" w:rsidP="009310B1">
            <w:pPr>
              <w:pStyle w:val="Tabletext"/>
              <w:jc w:val="center"/>
            </w:pPr>
            <w:r w:rsidRPr="001E0C6D">
              <w:t>-</w:t>
            </w:r>
          </w:p>
        </w:tc>
        <w:tc>
          <w:tcPr>
            <w:tcW w:w="2492" w:type="dxa"/>
            <w:tcBorders>
              <w:top w:val="single" w:sz="4" w:space="0" w:color="auto"/>
              <w:left w:val="nil"/>
              <w:bottom w:val="single" w:sz="4" w:space="0" w:color="auto"/>
              <w:right w:val="nil"/>
            </w:tcBorders>
            <w:vAlign w:val="bottom"/>
          </w:tcPr>
          <w:p w14:paraId="7F2018BC" w14:textId="77777777" w:rsidR="009310B1" w:rsidRPr="001E0C6D" w:rsidRDefault="009310B1" w:rsidP="009310B1">
            <w:pPr>
              <w:pStyle w:val="Tabletext"/>
              <w:jc w:val="center"/>
            </w:pPr>
            <w:r w:rsidRPr="001E0C6D">
              <w:t>33.2</w:t>
            </w:r>
          </w:p>
        </w:tc>
        <w:tc>
          <w:tcPr>
            <w:tcW w:w="2495" w:type="dxa"/>
            <w:tcBorders>
              <w:top w:val="single" w:sz="4" w:space="0" w:color="auto"/>
              <w:left w:val="nil"/>
              <w:bottom w:val="single" w:sz="4" w:space="0" w:color="auto"/>
              <w:right w:val="nil"/>
            </w:tcBorders>
            <w:vAlign w:val="bottom"/>
          </w:tcPr>
          <w:p w14:paraId="0D61E268" w14:textId="77777777" w:rsidR="009310B1" w:rsidRPr="001E0C6D" w:rsidRDefault="009310B1" w:rsidP="009310B1">
            <w:pPr>
              <w:pStyle w:val="Tabletext"/>
              <w:jc w:val="center"/>
            </w:pPr>
            <w:r w:rsidRPr="001E0C6D">
              <w:t>176.1</w:t>
            </w:r>
          </w:p>
        </w:tc>
      </w:tr>
      <w:tr w:rsidR="009310B1" w14:paraId="1349F77A" w14:textId="77777777" w:rsidTr="00BC0293">
        <w:trPr>
          <w:cantSplit/>
        </w:trPr>
        <w:tc>
          <w:tcPr>
            <w:tcW w:w="1680" w:type="dxa"/>
            <w:tcBorders>
              <w:top w:val="single" w:sz="4" w:space="0" w:color="auto"/>
              <w:left w:val="nil"/>
              <w:bottom w:val="single" w:sz="4" w:space="0" w:color="auto"/>
              <w:right w:val="nil"/>
            </w:tcBorders>
          </w:tcPr>
          <w:p w14:paraId="0932C04F" w14:textId="77777777" w:rsidR="009310B1" w:rsidRPr="001E0C6D" w:rsidRDefault="009310B1" w:rsidP="009310B1">
            <w:pPr>
              <w:pStyle w:val="Tabletext"/>
            </w:pPr>
            <w:r w:rsidRPr="001E0C6D">
              <w:t>2012–13</w:t>
            </w:r>
          </w:p>
        </w:tc>
        <w:tc>
          <w:tcPr>
            <w:tcW w:w="2359" w:type="dxa"/>
            <w:tcBorders>
              <w:top w:val="single" w:sz="4" w:space="0" w:color="auto"/>
              <w:left w:val="nil"/>
              <w:bottom w:val="single" w:sz="4" w:space="0" w:color="auto"/>
              <w:right w:val="nil"/>
            </w:tcBorders>
          </w:tcPr>
          <w:p w14:paraId="7B085676" w14:textId="77777777" w:rsidR="009310B1" w:rsidRPr="001E0C6D" w:rsidRDefault="009310B1" w:rsidP="009310B1">
            <w:pPr>
              <w:pStyle w:val="Tabletext"/>
              <w:jc w:val="center"/>
            </w:pPr>
            <w:r w:rsidRPr="001E0C6D">
              <w:t>-</w:t>
            </w:r>
          </w:p>
        </w:tc>
        <w:tc>
          <w:tcPr>
            <w:tcW w:w="2492" w:type="dxa"/>
            <w:tcBorders>
              <w:top w:val="single" w:sz="4" w:space="0" w:color="auto"/>
              <w:left w:val="nil"/>
              <w:bottom w:val="single" w:sz="4" w:space="0" w:color="auto"/>
              <w:right w:val="nil"/>
            </w:tcBorders>
            <w:vAlign w:val="bottom"/>
          </w:tcPr>
          <w:p w14:paraId="09E9DCD0" w14:textId="77777777" w:rsidR="009310B1" w:rsidRPr="001E0C6D" w:rsidRDefault="009310B1" w:rsidP="009310B1">
            <w:pPr>
              <w:pStyle w:val="Tabletext"/>
              <w:jc w:val="center"/>
            </w:pPr>
            <w:r w:rsidRPr="001E0C6D">
              <w:t>35.3</w:t>
            </w:r>
          </w:p>
        </w:tc>
        <w:tc>
          <w:tcPr>
            <w:tcW w:w="2495" w:type="dxa"/>
            <w:tcBorders>
              <w:top w:val="single" w:sz="4" w:space="0" w:color="auto"/>
              <w:left w:val="nil"/>
              <w:bottom w:val="single" w:sz="4" w:space="0" w:color="auto"/>
              <w:right w:val="nil"/>
            </w:tcBorders>
            <w:vAlign w:val="bottom"/>
          </w:tcPr>
          <w:p w14:paraId="6BC8D96C" w14:textId="77777777" w:rsidR="009310B1" w:rsidRPr="001E0C6D" w:rsidRDefault="009310B1" w:rsidP="009310B1">
            <w:pPr>
              <w:pStyle w:val="Tabletext"/>
              <w:jc w:val="center"/>
            </w:pPr>
            <w:r w:rsidRPr="001E0C6D">
              <w:t>186.6</w:t>
            </w:r>
          </w:p>
        </w:tc>
      </w:tr>
      <w:tr w:rsidR="009310B1" w14:paraId="286AC89E" w14:textId="77777777" w:rsidTr="00BC0293">
        <w:trPr>
          <w:cantSplit/>
        </w:trPr>
        <w:tc>
          <w:tcPr>
            <w:tcW w:w="1680" w:type="dxa"/>
            <w:tcBorders>
              <w:top w:val="single" w:sz="4" w:space="0" w:color="auto"/>
              <w:left w:val="nil"/>
              <w:bottom w:val="single" w:sz="4" w:space="0" w:color="auto"/>
              <w:right w:val="nil"/>
            </w:tcBorders>
          </w:tcPr>
          <w:p w14:paraId="17A7C4E3" w14:textId="77777777" w:rsidR="009310B1" w:rsidRPr="001E0C6D" w:rsidRDefault="009310B1" w:rsidP="009310B1">
            <w:pPr>
              <w:pStyle w:val="Tabletext"/>
            </w:pPr>
            <w:r w:rsidRPr="001E0C6D">
              <w:t>2013–14</w:t>
            </w:r>
          </w:p>
        </w:tc>
        <w:tc>
          <w:tcPr>
            <w:tcW w:w="2359" w:type="dxa"/>
            <w:tcBorders>
              <w:top w:val="single" w:sz="4" w:space="0" w:color="auto"/>
              <w:left w:val="nil"/>
              <w:bottom w:val="single" w:sz="4" w:space="0" w:color="auto"/>
              <w:right w:val="nil"/>
            </w:tcBorders>
          </w:tcPr>
          <w:p w14:paraId="1A38E978" w14:textId="77777777" w:rsidR="009310B1" w:rsidRPr="001E0C6D" w:rsidRDefault="009310B1" w:rsidP="009310B1">
            <w:pPr>
              <w:pStyle w:val="Tabletext"/>
              <w:jc w:val="center"/>
            </w:pPr>
            <w:r w:rsidRPr="001E0C6D">
              <w:t>-</w:t>
            </w:r>
          </w:p>
        </w:tc>
        <w:tc>
          <w:tcPr>
            <w:tcW w:w="2492" w:type="dxa"/>
            <w:tcBorders>
              <w:top w:val="single" w:sz="4" w:space="0" w:color="auto"/>
              <w:left w:val="nil"/>
              <w:bottom w:val="single" w:sz="4" w:space="0" w:color="auto"/>
              <w:right w:val="nil"/>
            </w:tcBorders>
            <w:vAlign w:val="bottom"/>
          </w:tcPr>
          <w:p w14:paraId="1461727E" w14:textId="77777777" w:rsidR="009310B1" w:rsidRPr="001E0C6D" w:rsidRDefault="009310B1" w:rsidP="009310B1">
            <w:pPr>
              <w:pStyle w:val="Tabletext"/>
              <w:jc w:val="center"/>
            </w:pPr>
            <w:r w:rsidRPr="001E0C6D">
              <w:t>40.7</w:t>
            </w:r>
          </w:p>
        </w:tc>
        <w:tc>
          <w:tcPr>
            <w:tcW w:w="2495" w:type="dxa"/>
            <w:tcBorders>
              <w:top w:val="single" w:sz="4" w:space="0" w:color="auto"/>
              <w:left w:val="nil"/>
              <w:bottom w:val="single" w:sz="4" w:space="0" w:color="auto"/>
              <w:right w:val="nil"/>
            </w:tcBorders>
            <w:vAlign w:val="bottom"/>
          </w:tcPr>
          <w:p w14:paraId="797213B4" w14:textId="77777777" w:rsidR="009310B1" w:rsidRPr="001E0C6D" w:rsidRDefault="009310B1" w:rsidP="009310B1">
            <w:pPr>
              <w:pStyle w:val="Tabletext"/>
              <w:jc w:val="center"/>
            </w:pPr>
            <w:r w:rsidRPr="001E0C6D">
              <w:t>213.2</w:t>
            </w:r>
          </w:p>
        </w:tc>
      </w:tr>
      <w:tr w:rsidR="009310B1" w14:paraId="0B5AB709" w14:textId="77777777" w:rsidTr="009310B1">
        <w:trPr>
          <w:cantSplit/>
        </w:trPr>
        <w:tc>
          <w:tcPr>
            <w:tcW w:w="1680" w:type="dxa"/>
            <w:tcBorders>
              <w:top w:val="single" w:sz="4" w:space="0" w:color="auto"/>
              <w:left w:val="nil"/>
              <w:bottom w:val="single" w:sz="12" w:space="0" w:color="auto"/>
              <w:right w:val="nil"/>
            </w:tcBorders>
          </w:tcPr>
          <w:p w14:paraId="239F225A" w14:textId="77777777" w:rsidR="009310B1" w:rsidRPr="001E0C6D" w:rsidRDefault="009310B1" w:rsidP="009310B1">
            <w:pPr>
              <w:pStyle w:val="Tabletext"/>
            </w:pPr>
            <w:r w:rsidRPr="001E0C6D">
              <w:t>2014–15</w:t>
            </w:r>
          </w:p>
        </w:tc>
        <w:tc>
          <w:tcPr>
            <w:tcW w:w="2359" w:type="dxa"/>
            <w:tcBorders>
              <w:top w:val="single" w:sz="4" w:space="0" w:color="auto"/>
              <w:left w:val="nil"/>
              <w:bottom w:val="single" w:sz="12" w:space="0" w:color="auto"/>
              <w:right w:val="nil"/>
            </w:tcBorders>
          </w:tcPr>
          <w:p w14:paraId="2AF59F14" w14:textId="77777777" w:rsidR="009310B1" w:rsidRPr="001E0C6D" w:rsidRDefault="009310B1" w:rsidP="009310B1">
            <w:pPr>
              <w:pStyle w:val="Tabletext"/>
              <w:jc w:val="center"/>
            </w:pPr>
            <w:r w:rsidRPr="001E0C6D">
              <w:t>-</w:t>
            </w:r>
          </w:p>
        </w:tc>
        <w:tc>
          <w:tcPr>
            <w:tcW w:w="2492" w:type="dxa"/>
            <w:tcBorders>
              <w:top w:val="single" w:sz="4" w:space="0" w:color="auto"/>
              <w:left w:val="nil"/>
              <w:bottom w:val="single" w:sz="12" w:space="0" w:color="auto"/>
              <w:right w:val="nil"/>
            </w:tcBorders>
            <w:vAlign w:val="bottom"/>
          </w:tcPr>
          <w:p w14:paraId="2BE48793" w14:textId="77777777" w:rsidR="009310B1" w:rsidRPr="001E0C6D" w:rsidRDefault="009310B1" w:rsidP="009310B1">
            <w:pPr>
              <w:pStyle w:val="Tabletext"/>
              <w:jc w:val="center"/>
            </w:pPr>
            <w:r w:rsidRPr="001E0C6D">
              <w:t>43.2</w:t>
            </w:r>
          </w:p>
        </w:tc>
        <w:tc>
          <w:tcPr>
            <w:tcW w:w="2495" w:type="dxa"/>
            <w:tcBorders>
              <w:top w:val="single" w:sz="4" w:space="0" w:color="auto"/>
              <w:left w:val="nil"/>
              <w:bottom w:val="single" w:sz="12" w:space="0" w:color="auto"/>
              <w:right w:val="nil"/>
            </w:tcBorders>
            <w:vAlign w:val="bottom"/>
          </w:tcPr>
          <w:p w14:paraId="7931ECEA" w14:textId="77777777" w:rsidR="009310B1" w:rsidRPr="001E0C6D" w:rsidRDefault="009310B1" w:rsidP="009310B1">
            <w:pPr>
              <w:pStyle w:val="Tabletext"/>
              <w:jc w:val="center"/>
            </w:pPr>
            <w:r w:rsidRPr="001E0C6D">
              <w:t>225.3</w:t>
            </w:r>
          </w:p>
        </w:tc>
      </w:tr>
    </w:tbl>
    <w:p w14:paraId="322C88A5" w14:textId="77777777" w:rsidR="009310B1" w:rsidRDefault="009310B1" w:rsidP="009310B1"/>
    <w:p w14:paraId="7182FA81" w14:textId="77777777" w:rsidR="00E25A11" w:rsidRPr="001E0C6D" w:rsidRDefault="00E25A11" w:rsidP="00E25A11">
      <w:r w:rsidRPr="001E0C6D">
        <w:fldChar w:fldCharType="begin"/>
      </w:r>
      <w:r w:rsidRPr="001E0C6D">
        <w:instrText xml:space="preserve"> REF _Ref481759097 \h  \* MERGEFORMAT </w:instrText>
      </w:r>
      <w:r w:rsidRPr="001E0C6D">
        <w:fldChar w:fldCharType="separate"/>
      </w:r>
      <w:r w:rsidR="00ED08CC" w:rsidRPr="001E0C6D">
        <w:t xml:space="preserve">Figure </w:t>
      </w:r>
      <w:r w:rsidR="00ED08CC">
        <w:t>4</w:t>
      </w:r>
      <w:r w:rsidRPr="001E0C6D">
        <w:fldChar w:fldCharType="end"/>
      </w:r>
      <w:r w:rsidRPr="001E0C6D">
        <w:t xml:space="preserve"> illustrates the relationship between AMPAG donations and </w:t>
      </w:r>
      <w:proofErr w:type="spellStart"/>
      <w:r w:rsidRPr="001E0C6D">
        <w:t>AbaF</w:t>
      </w:r>
      <w:proofErr w:type="spellEnd"/>
      <w:r w:rsidRPr="001E0C6D">
        <w:t xml:space="preserve"> donations values (red dots) and the linear model based on this relationship (dark blue line). The 95 per cent confidence and  prediction intervals (inner green dashed and outer orange dotted lines, respectively) fan out illustrating where the true results may lie with 95 per cent certainty.</w:t>
      </w:r>
    </w:p>
    <w:p w14:paraId="48D11B87" w14:textId="77777777" w:rsidR="00E25A11" w:rsidRPr="001E0C6D" w:rsidRDefault="00E25A11" w:rsidP="009310B1">
      <w:pPr>
        <w:pStyle w:val="Figureheading"/>
      </w:pPr>
      <w:bookmarkStart w:id="65" w:name="_Ref481759097"/>
      <w:bookmarkStart w:id="66" w:name="_Toc486587620"/>
      <w:r w:rsidRPr="001E0C6D">
        <w:t xml:space="preserve">Figure </w:t>
      </w:r>
      <w:fldSimple w:instr=" SEQ Figure \* ARABIC ">
        <w:r w:rsidR="00ED08CC">
          <w:rPr>
            <w:noProof/>
          </w:rPr>
          <w:t>4</w:t>
        </w:r>
      </w:fldSimple>
      <w:bookmarkEnd w:id="65"/>
      <w:r w:rsidRPr="001E0C6D">
        <w:t>. AMPAG donations—</w:t>
      </w:r>
      <w:proofErr w:type="spellStart"/>
      <w:r w:rsidRPr="001E0C6D">
        <w:t>AbaF</w:t>
      </w:r>
      <w:proofErr w:type="spellEnd"/>
      <w:r w:rsidRPr="001E0C6D">
        <w:t xml:space="preserve"> donations linear model with confidence and prediction intervals</w:t>
      </w:r>
      <w:bookmarkEnd w:id="66"/>
    </w:p>
    <w:p w14:paraId="1919DCD7" w14:textId="77777777" w:rsidR="00E25A11" w:rsidRPr="001E0C6D" w:rsidRDefault="00E25A11" w:rsidP="00E25A11">
      <w:r w:rsidRPr="001E0C6D">
        <w:rPr>
          <w:noProof/>
          <w:lang w:eastAsia="zh-TW" w:bidi="hi-IN"/>
        </w:rPr>
        <w:drawing>
          <wp:inline distT="0" distB="0" distL="0" distR="0" wp14:anchorId="1F6F6B96" wp14:editId="107F2745">
            <wp:extent cx="5731340" cy="3614882"/>
            <wp:effectExtent l="0" t="0" r="3175" b="5080"/>
            <wp:docPr id="41" name="Picture 41" descr="This is a regression line chart showing AbaF donations estimates rise as AMPAG donations rise. It is an illustration of figures presented in Table 6. The starting points are $47.1 million for AbaF and $7.5 million for AMPAG in financial year 2001–02; which then rise to donations estimates of $225.3 million for AbaF as AMPAG donations value reaches $43.2 million in financial year 2014–15. The measures are in millions of Australian dollars. The chart also presents upper and lower confidence and prediction intervals, which widen from 2010–11 financial year values onwards, illustrating that the accuracy of the predictions for each year are continuously reducing as the prediction years grow more distant from 2010–11. " title="Figure 4. AMPAG donations—AbaF donations linear model with confidence and prediction interva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Downloads\Figure 4 - AMPAG donations.jpeg"/>
                    <pic:cNvPicPr>
                      <a:picLocks noChangeAspect="1" noChangeArrowheads="1"/>
                    </pic:cNvPicPr>
                  </pic:nvPicPr>
                  <pic:blipFill rotWithShape="1">
                    <a:blip r:embed="rId26">
                      <a:extLst>
                        <a:ext uri="{28A0092B-C50C-407E-A947-70E740481C1C}">
                          <a14:useLocalDpi xmlns:a14="http://schemas.microsoft.com/office/drawing/2010/main" val="0"/>
                        </a:ext>
                      </a:extLst>
                    </a:blip>
                    <a:srcRect/>
                    <a:stretch/>
                  </pic:blipFill>
                  <pic:spPr bwMode="auto">
                    <a:xfrm>
                      <a:off x="0" y="0"/>
                      <a:ext cx="5731510" cy="3614989"/>
                    </a:xfrm>
                    <a:prstGeom prst="rect">
                      <a:avLst/>
                    </a:prstGeom>
                    <a:noFill/>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inline>
        </w:drawing>
      </w:r>
    </w:p>
    <w:p w14:paraId="1039F2EF" w14:textId="77777777" w:rsidR="00E25A11" w:rsidRPr="001E0C6D" w:rsidRDefault="00E25A11" w:rsidP="00E25A11">
      <w:r w:rsidRPr="001E0C6D">
        <w:br w:type="page"/>
      </w:r>
    </w:p>
    <w:p w14:paraId="1A297199" w14:textId="77777777" w:rsidR="005D1423" w:rsidRDefault="00E25A11" w:rsidP="009310B1">
      <w:pPr>
        <w:pStyle w:val="Heading3"/>
      </w:pPr>
      <w:bookmarkStart w:id="67" w:name="_Toc468868240"/>
      <w:bookmarkStart w:id="68" w:name="_Toc486261308"/>
      <w:bookmarkStart w:id="69" w:name="_Toc486319729"/>
      <w:r w:rsidRPr="001E0C6D">
        <w:t xml:space="preserve">Model 6. GOS data projections of </w:t>
      </w:r>
      <w:proofErr w:type="spellStart"/>
      <w:r w:rsidRPr="001E0C6D">
        <w:t>AbaF</w:t>
      </w:r>
      <w:proofErr w:type="spellEnd"/>
      <w:r w:rsidRPr="001E0C6D">
        <w:t xml:space="preserve"> donations estimates</w:t>
      </w:r>
      <w:bookmarkEnd w:id="67"/>
      <w:bookmarkEnd w:id="68"/>
      <w:bookmarkEnd w:id="69"/>
    </w:p>
    <w:p w14:paraId="42F7CBF4" w14:textId="77777777" w:rsidR="005D1423" w:rsidRDefault="00E25A11" w:rsidP="00E25A11">
      <w:r w:rsidRPr="001E0C6D">
        <w:t xml:space="preserve">GOS data used as a predictor in a linear relationship model was found to be significant (p &lt; 0.001), with strong prediction levels (R2 adjusted = 0.9451) (see Appendix 8). This provided average donations estimates as outlined in </w:t>
      </w:r>
      <w:r w:rsidRPr="001E0C6D">
        <w:fldChar w:fldCharType="begin"/>
      </w:r>
      <w:r w:rsidRPr="001E0C6D">
        <w:instrText xml:space="preserve"> REF _Ref468882736 \h  \* MERGEFORMAT </w:instrText>
      </w:r>
      <w:r w:rsidRPr="001E0C6D">
        <w:fldChar w:fldCharType="separate"/>
      </w:r>
      <w:r w:rsidR="00ED08CC" w:rsidRPr="001E0C6D">
        <w:t xml:space="preserve">Table </w:t>
      </w:r>
      <w:r w:rsidR="00ED08CC">
        <w:t>7</w:t>
      </w:r>
      <w:r w:rsidRPr="001E0C6D">
        <w:fldChar w:fldCharType="end"/>
      </w:r>
      <w:r w:rsidRPr="001E0C6D">
        <w:t>.</w:t>
      </w:r>
    </w:p>
    <w:p w14:paraId="37583385" w14:textId="77777777" w:rsidR="00E25A11" w:rsidRDefault="00E25A11" w:rsidP="009310B1">
      <w:pPr>
        <w:pStyle w:val="Tablefigureheading"/>
      </w:pPr>
      <w:bookmarkStart w:id="70" w:name="_Ref468882736"/>
      <w:bookmarkStart w:id="71" w:name="_Toc486587633"/>
      <w:r w:rsidRPr="001E0C6D">
        <w:t xml:space="preserve">Table </w:t>
      </w:r>
      <w:fldSimple w:instr=" SEQ Table \* ARABIC ">
        <w:r w:rsidR="00ED08CC">
          <w:rPr>
            <w:noProof/>
          </w:rPr>
          <w:t>7</w:t>
        </w:r>
      </w:fldSimple>
      <w:bookmarkEnd w:id="70"/>
      <w:r w:rsidRPr="001E0C6D">
        <w:t xml:space="preserve">. GOS data projections of </w:t>
      </w:r>
      <w:proofErr w:type="spellStart"/>
      <w:r w:rsidRPr="001E0C6D">
        <w:t>AbaF</w:t>
      </w:r>
      <w:proofErr w:type="spellEnd"/>
      <w:r w:rsidRPr="001E0C6D">
        <w:t xml:space="preserve"> donations estimates</w:t>
      </w:r>
      <w:bookmarkEnd w:id="71"/>
    </w:p>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CellMar>
          <w:top w:w="57" w:type="dxa"/>
          <w:bottom w:w="57" w:type="dxa"/>
        </w:tblCellMar>
        <w:tblLook w:val="04A0" w:firstRow="1" w:lastRow="0" w:firstColumn="1" w:lastColumn="0" w:noHBand="0" w:noVBand="1"/>
        <w:tblDescription w:val="Table 3. GOS data projections of AbaF estimates"/>
      </w:tblPr>
      <w:tblGrid>
        <w:gridCol w:w="1680"/>
        <w:gridCol w:w="2359"/>
        <w:gridCol w:w="2492"/>
        <w:gridCol w:w="2495"/>
      </w:tblGrid>
      <w:tr w:rsidR="009310B1" w14:paraId="2A977528" w14:textId="77777777" w:rsidTr="00BC0293">
        <w:trPr>
          <w:cantSplit/>
          <w:tblHeader/>
        </w:trPr>
        <w:tc>
          <w:tcPr>
            <w:tcW w:w="1680" w:type="dxa"/>
            <w:tcBorders>
              <w:top w:val="nil"/>
              <w:left w:val="nil"/>
              <w:bottom w:val="thickThinLargeGap" w:sz="24" w:space="0" w:color="auto"/>
              <w:right w:val="nil"/>
            </w:tcBorders>
            <w:shd w:val="clear" w:color="auto" w:fill="113652"/>
          </w:tcPr>
          <w:p w14:paraId="4DBD5406" w14:textId="77777777" w:rsidR="009310B1" w:rsidRDefault="009310B1" w:rsidP="009310B1">
            <w:pPr>
              <w:pStyle w:val="Tableheading"/>
            </w:pPr>
            <w:r>
              <w:t>Financial year</w:t>
            </w:r>
          </w:p>
        </w:tc>
        <w:tc>
          <w:tcPr>
            <w:tcW w:w="2359" w:type="dxa"/>
            <w:tcBorders>
              <w:top w:val="nil"/>
              <w:left w:val="nil"/>
              <w:bottom w:val="thickThinLargeGap" w:sz="24" w:space="0" w:color="auto"/>
              <w:right w:val="nil"/>
            </w:tcBorders>
            <w:shd w:val="clear" w:color="auto" w:fill="113652"/>
          </w:tcPr>
          <w:p w14:paraId="734D5ACB" w14:textId="77777777" w:rsidR="009310B1" w:rsidRPr="001E0C6D" w:rsidRDefault="009310B1" w:rsidP="009310B1">
            <w:pPr>
              <w:pStyle w:val="Tableheading"/>
              <w:jc w:val="center"/>
            </w:pPr>
            <w:proofErr w:type="spellStart"/>
            <w:r w:rsidRPr="001E0C6D">
              <w:t>AbaF</w:t>
            </w:r>
            <w:proofErr w:type="spellEnd"/>
            <w:r w:rsidRPr="001E0C6D">
              <w:t xml:space="preserve"> donations estimates ($ million)</w:t>
            </w:r>
          </w:p>
        </w:tc>
        <w:tc>
          <w:tcPr>
            <w:tcW w:w="2492" w:type="dxa"/>
            <w:tcBorders>
              <w:top w:val="nil"/>
              <w:left w:val="nil"/>
              <w:bottom w:val="thickThinLargeGap" w:sz="24" w:space="0" w:color="auto"/>
              <w:right w:val="nil"/>
            </w:tcBorders>
            <w:shd w:val="clear" w:color="auto" w:fill="113652"/>
          </w:tcPr>
          <w:p w14:paraId="79A11E2C" w14:textId="77777777" w:rsidR="009310B1" w:rsidRPr="001E0C6D" w:rsidRDefault="009310B1" w:rsidP="009310B1">
            <w:pPr>
              <w:pStyle w:val="Tableheading"/>
              <w:jc w:val="center"/>
            </w:pPr>
            <w:r w:rsidRPr="001E0C6D">
              <w:t>GOS ($ million)</w:t>
            </w:r>
          </w:p>
        </w:tc>
        <w:tc>
          <w:tcPr>
            <w:tcW w:w="2495" w:type="dxa"/>
            <w:tcBorders>
              <w:top w:val="nil"/>
              <w:left w:val="nil"/>
              <w:bottom w:val="thickThinLargeGap" w:sz="24" w:space="0" w:color="auto"/>
              <w:right w:val="nil"/>
            </w:tcBorders>
            <w:shd w:val="clear" w:color="auto" w:fill="113652"/>
          </w:tcPr>
          <w:p w14:paraId="7D6C8C6B" w14:textId="77777777" w:rsidR="005B4B7C" w:rsidRDefault="009310B1" w:rsidP="009310B1">
            <w:pPr>
              <w:pStyle w:val="Tableheadingcentred"/>
            </w:pPr>
            <w:proofErr w:type="spellStart"/>
            <w:r w:rsidRPr="001E0C6D">
              <w:t>AbaF</w:t>
            </w:r>
            <w:proofErr w:type="spellEnd"/>
            <w:r w:rsidRPr="001E0C6D">
              <w:t xml:space="preserve"> donations average projections on GOS </w:t>
            </w:r>
          </w:p>
          <w:p w14:paraId="350F64B6" w14:textId="4853D50A" w:rsidR="009310B1" w:rsidRPr="001E0C6D" w:rsidRDefault="009310B1" w:rsidP="009310B1">
            <w:pPr>
              <w:pStyle w:val="Tableheadingcentred"/>
            </w:pPr>
            <w:r w:rsidRPr="001E0C6D">
              <w:t>($ million)</w:t>
            </w:r>
          </w:p>
        </w:tc>
      </w:tr>
      <w:tr w:rsidR="009310B1" w14:paraId="10A46954" w14:textId="77777777" w:rsidTr="009310B1">
        <w:trPr>
          <w:cantSplit/>
        </w:trPr>
        <w:tc>
          <w:tcPr>
            <w:tcW w:w="1680" w:type="dxa"/>
            <w:tcBorders>
              <w:top w:val="thickThinLargeGap" w:sz="24" w:space="0" w:color="auto"/>
              <w:left w:val="nil"/>
              <w:bottom w:val="single" w:sz="4" w:space="0" w:color="auto"/>
              <w:right w:val="nil"/>
            </w:tcBorders>
          </w:tcPr>
          <w:p w14:paraId="0F764D9C" w14:textId="77777777" w:rsidR="009310B1" w:rsidRPr="001E0C6D" w:rsidRDefault="009310B1" w:rsidP="009310B1">
            <w:pPr>
              <w:pStyle w:val="Tabletext"/>
            </w:pPr>
            <w:r w:rsidRPr="001E0C6D">
              <w:t>2001–02</w:t>
            </w:r>
          </w:p>
        </w:tc>
        <w:tc>
          <w:tcPr>
            <w:tcW w:w="2359" w:type="dxa"/>
            <w:tcBorders>
              <w:top w:val="thickThinLargeGap" w:sz="24" w:space="0" w:color="auto"/>
              <w:left w:val="nil"/>
              <w:bottom w:val="single" w:sz="4" w:space="0" w:color="auto"/>
              <w:right w:val="nil"/>
            </w:tcBorders>
            <w:vAlign w:val="bottom"/>
          </w:tcPr>
          <w:p w14:paraId="488C177D" w14:textId="77777777" w:rsidR="009310B1" w:rsidRPr="001E0C6D" w:rsidRDefault="009310B1" w:rsidP="009310B1">
            <w:pPr>
              <w:pStyle w:val="Tabletext"/>
              <w:jc w:val="center"/>
            </w:pPr>
            <w:r w:rsidRPr="001E0C6D">
              <w:t>47.1</w:t>
            </w:r>
          </w:p>
        </w:tc>
        <w:tc>
          <w:tcPr>
            <w:tcW w:w="2492" w:type="dxa"/>
            <w:tcBorders>
              <w:top w:val="thickThinLargeGap" w:sz="24" w:space="0" w:color="auto"/>
              <w:left w:val="nil"/>
              <w:bottom w:val="single" w:sz="4" w:space="0" w:color="auto"/>
              <w:right w:val="nil"/>
            </w:tcBorders>
            <w:vAlign w:val="bottom"/>
          </w:tcPr>
          <w:p w14:paraId="416DEAA1" w14:textId="77777777" w:rsidR="009310B1" w:rsidRPr="001E0C6D" w:rsidRDefault="009310B1" w:rsidP="009310B1">
            <w:pPr>
              <w:pStyle w:val="Tabletext"/>
              <w:jc w:val="center"/>
            </w:pPr>
            <w:r w:rsidRPr="001E0C6D">
              <w:t>235,035</w:t>
            </w:r>
          </w:p>
        </w:tc>
        <w:tc>
          <w:tcPr>
            <w:tcW w:w="2495" w:type="dxa"/>
            <w:tcBorders>
              <w:top w:val="thickThinLargeGap" w:sz="24" w:space="0" w:color="auto"/>
              <w:left w:val="nil"/>
              <w:bottom w:val="single" w:sz="4" w:space="0" w:color="auto"/>
              <w:right w:val="nil"/>
            </w:tcBorders>
          </w:tcPr>
          <w:p w14:paraId="30CF029F" w14:textId="77777777" w:rsidR="009310B1" w:rsidRPr="001E0C6D" w:rsidRDefault="009310B1" w:rsidP="009310B1">
            <w:pPr>
              <w:pStyle w:val="Tabletext"/>
              <w:jc w:val="center"/>
            </w:pPr>
            <w:r w:rsidRPr="001E0C6D">
              <w:t>-</w:t>
            </w:r>
          </w:p>
        </w:tc>
      </w:tr>
      <w:tr w:rsidR="009310B1" w14:paraId="0783D94D" w14:textId="77777777" w:rsidTr="00BC0293">
        <w:trPr>
          <w:cantSplit/>
        </w:trPr>
        <w:tc>
          <w:tcPr>
            <w:tcW w:w="1680" w:type="dxa"/>
            <w:tcBorders>
              <w:top w:val="single" w:sz="4" w:space="0" w:color="auto"/>
              <w:left w:val="nil"/>
              <w:bottom w:val="single" w:sz="4" w:space="0" w:color="auto"/>
              <w:right w:val="nil"/>
            </w:tcBorders>
          </w:tcPr>
          <w:p w14:paraId="0E696DA5" w14:textId="77777777" w:rsidR="009310B1" w:rsidRPr="001E0C6D" w:rsidRDefault="009310B1" w:rsidP="009310B1">
            <w:pPr>
              <w:pStyle w:val="Tabletext"/>
            </w:pPr>
            <w:r w:rsidRPr="001E0C6D">
              <w:t>2002–03</w:t>
            </w:r>
          </w:p>
        </w:tc>
        <w:tc>
          <w:tcPr>
            <w:tcW w:w="2359" w:type="dxa"/>
            <w:tcBorders>
              <w:top w:val="single" w:sz="4" w:space="0" w:color="auto"/>
              <w:left w:val="nil"/>
              <w:bottom w:val="single" w:sz="4" w:space="0" w:color="auto"/>
              <w:right w:val="nil"/>
            </w:tcBorders>
            <w:vAlign w:val="bottom"/>
          </w:tcPr>
          <w:p w14:paraId="7DA01A45" w14:textId="77777777" w:rsidR="009310B1" w:rsidRPr="001E0C6D" w:rsidRDefault="009310B1" w:rsidP="009310B1">
            <w:pPr>
              <w:pStyle w:val="Tabletext"/>
              <w:jc w:val="center"/>
            </w:pPr>
            <w:r w:rsidRPr="001E0C6D">
              <w:t>57.0</w:t>
            </w:r>
          </w:p>
        </w:tc>
        <w:tc>
          <w:tcPr>
            <w:tcW w:w="2492" w:type="dxa"/>
            <w:tcBorders>
              <w:top w:val="single" w:sz="4" w:space="0" w:color="auto"/>
              <w:left w:val="nil"/>
              <w:bottom w:val="single" w:sz="4" w:space="0" w:color="auto"/>
              <w:right w:val="nil"/>
            </w:tcBorders>
            <w:vAlign w:val="bottom"/>
          </w:tcPr>
          <w:p w14:paraId="021CC647" w14:textId="77777777" w:rsidR="009310B1" w:rsidRPr="001E0C6D" w:rsidRDefault="009310B1" w:rsidP="009310B1">
            <w:pPr>
              <w:pStyle w:val="Tabletext"/>
              <w:jc w:val="center"/>
            </w:pPr>
            <w:r w:rsidRPr="001E0C6D">
              <w:t>257,010</w:t>
            </w:r>
          </w:p>
        </w:tc>
        <w:tc>
          <w:tcPr>
            <w:tcW w:w="2495" w:type="dxa"/>
            <w:tcBorders>
              <w:top w:val="single" w:sz="4" w:space="0" w:color="auto"/>
              <w:left w:val="nil"/>
              <w:bottom w:val="single" w:sz="4" w:space="0" w:color="auto"/>
              <w:right w:val="nil"/>
            </w:tcBorders>
          </w:tcPr>
          <w:p w14:paraId="24EF32FD" w14:textId="77777777" w:rsidR="009310B1" w:rsidRPr="001E0C6D" w:rsidRDefault="009310B1" w:rsidP="009310B1">
            <w:pPr>
              <w:pStyle w:val="Tabletext"/>
              <w:jc w:val="center"/>
            </w:pPr>
            <w:r w:rsidRPr="001E0C6D">
              <w:t>-</w:t>
            </w:r>
          </w:p>
        </w:tc>
      </w:tr>
      <w:tr w:rsidR="009310B1" w14:paraId="4B6CFC94" w14:textId="77777777" w:rsidTr="00BC0293">
        <w:trPr>
          <w:cantSplit/>
        </w:trPr>
        <w:tc>
          <w:tcPr>
            <w:tcW w:w="1680" w:type="dxa"/>
            <w:tcBorders>
              <w:top w:val="single" w:sz="4" w:space="0" w:color="auto"/>
              <w:left w:val="nil"/>
              <w:bottom w:val="single" w:sz="4" w:space="0" w:color="auto"/>
              <w:right w:val="nil"/>
            </w:tcBorders>
          </w:tcPr>
          <w:p w14:paraId="68340ABB" w14:textId="77777777" w:rsidR="009310B1" w:rsidRPr="001E0C6D" w:rsidRDefault="009310B1" w:rsidP="009310B1">
            <w:pPr>
              <w:pStyle w:val="Tabletext"/>
            </w:pPr>
            <w:r w:rsidRPr="001E0C6D">
              <w:t>2003–04</w:t>
            </w:r>
          </w:p>
        </w:tc>
        <w:tc>
          <w:tcPr>
            <w:tcW w:w="2359" w:type="dxa"/>
            <w:tcBorders>
              <w:top w:val="single" w:sz="4" w:space="0" w:color="auto"/>
              <w:left w:val="nil"/>
              <w:bottom w:val="single" w:sz="4" w:space="0" w:color="auto"/>
              <w:right w:val="nil"/>
            </w:tcBorders>
            <w:vAlign w:val="bottom"/>
          </w:tcPr>
          <w:p w14:paraId="2F8C84C5" w14:textId="77777777" w:rsidR="009310B1" w:rsidRPr="001E0C6D" w:rsidRDefault="009310B1" w:rsidP="009310B1">
            <w:pPr>
              <w:pStyle w:val="Tabletext"/>
              <w:jc w:val="center"/>
            </w:pPr>
            <w:r w:rsidRPr="001E0C6D">
              <w:t>50.9</w:t>
            </w:r>
          </w:p>
        </w:tc>
        <w:tc>
          <w:tcPr>
            <w:tcW w:w="2492" w:type="dxa"/>
            <w:tcBorders>
              <w:top w:val="single" w:sz="4" w:space="0" w:color="auto"/>
              <w:left w:val="nil"/>
              <w:bottom w:val="single" w:sz="4" w:space="0" w:color="auto"/>
              <w:right w:val="nil"/>
            </w:tcBorders>
            <w:vAlign w:val="bottom"/>
          </w:tcPr>
          <w:p w14:paraId="3CCE556E" w14:textId="77777777" w:rsidR="009310B1" w:rsidRPr="001E0C6D" w:rsidRDefault="009310B1" w:rsidP="009310B1">
            <w:pPr>
              <w:pStyle w:val="Tabletext"/>
              <w:jc w:val="center"/>
            </w:pPr>
            <w:r w:rsidRPr="001E0C6D">
              <w:t>274,911</w:t>
            </w:r>
          </w:p>
        </w:tc>
        <w:tc>
          <w:tcPr>
            <w:tcW w:w="2495" w:type="dxa"/>
            <w:tcBorders>
              <w:top w:val="single" w:sz="4" w:space="0" w:color="auto"/>
              <w:left w:val="nil"/>
              <w:bottom w:val="single" w:sz="4" w:space="0" w:color="auto"/>
              <w:right w:val="nil"/>
            </w:tcBorders>
          </w:tcPr>
          <w:p w14:paraId="52B02AF6" w14:textId="77777777" w:rsidR="009310B1" w:rsidRPr="001E0C6D" w:rsidRDefault="009310B1" w:rsidP="009310B1">
            <w:pPr>
              <w:pStyle w:val="Tabletext"/>
              <w:jc w:val="center"/>
            </w:pPr>
            <w:r w:rsidRPr="001E0C6D">
              <w:t>-</w:t>
            </w:r>
          </w:p>
        </w:tc>
      </w:tr>
      <w:tr w:rsidR="009310B1" w14:paraId="494159DC" w14:textId="77777777" w:rsidTr="00BC0293">
        <w:trPr>
          <w:cantSplit/>
        </w:trPr>
        <w:tc>
          <w:tcPr>
            <w:tcW w:w="1680" w:type="dxa"/>
            <w:tcBorders>
              <w:top w:val="single" w:sz="4" w:space="0" w:color="auto"/>
              <w:left w:val="nil"/>
              <w:bottom w:val="single" w:sz="4" w:space="0" w:color="auto"/>
              <w:right w:val="nil"/>
            </w:tcBorders>
          </w:tcPr>
          <w:p w14:paraId="2F22921C" w14:textId="77777777" w:rsidR="009310B1" w:rsidRPr="001E0C6D" w:rsidRDefault="009310B1" w:rsidP="009310B1">
            <w:pPr>
              <w:pStyle w:val="Tabletext"/>
            </w:pPr>
            <w:r w:rsidRPr="001E0C6D">
              <w:t>2004–05</w:t>
            </w:r>
          </w:p>
        </w:tc>
        <w:tc>
          <w:tcPr>
            <w:tcW w:w="2359" w:type="dxa"/>
            <w:tcBorders>
              <w:top w:val="single" w:sz="4" w:space="0" w:color="auto"/>
              <w:left w:val="nil"/>
              <w:bottom w:val="single" w:sz="4" w:space="0" w:color="auto"/>
              <w:right w:val="nil"/>
            </w:tcBorders>
            <w:vAlign w:val="bottom"/>
          </w:tcPr>
          <w:p w14:paraId="5C4BF591" w14:textId="77777777" w:rsidR="009310B1" w:rsidRPr="001E0C6D" w:rsidRDefault="009310B1" w:rsidP="009310B1">
            <w:pPr>
              <w:pStyle w:val="Tabletext"/>
              <w:jc w:val="center"/>
            </w:pPr>
            <w:r w:rsidRPr="001E0C6D">
              <w:t>62.7</w:t>
            </w:r>
          </w:p>
        </w:tc>
        <w:tc>
          <w:tcPr>
            <w:tcW w:w="2492" w:type="dxa"/>
            <w:tcBorders>
              <w:top w:val="single" w:sz="4" w:space="0" w:color="auto"/>
              <w:left w:val="nil"/>
              <w:bottom w:val="single" w:sz="4" w:space="0" w:color="auto"/>
              <w:right w:val="nil"/>
            </w:tcBorders>
            <w:vAlign w:val="bottom"/>
          </w:tcPr>
          <w:p w14:paraId="69189AC2" w14:textId="77777777" w:rsidR="009310B1" w:rsidRPr="001E0C6D" w:rsidRDefault="009310B1" w:rsidP="009310B1">
            <w:pPr>
              <w:pStyle w:val="Tabletext"/>
              <w:jc w:val="center"/>
            </w:pPr>
            <w:r w:rsidRPr="001E0C6D">
              <w:t>292,590</w:t>
            </w:r>
          </w:p>
        </w:tc>
        <w:tc>
          <w:tcPr>
            <w:tcW w:w="2495" w:type="dxa"/>
            <w:tcBorders>
              <w:top w:val="single" w:sz="4" w:space="0" w:color="auto"/>
              <w:left w:val="nil"/>
              <w:bottom w:val="single" w:sz="4" w:space="0" w:color="auto"/>
              <w:right w:val="nil"/>
            </w:tcBorders>
          </w:tcPr>
          <w:p w14:paraId="6FF5F192" w14:textId="77777777" w:rsidR="009310B1" w:rsidRPr="001E0C6D" w:rsidRDefault="009310B1" w:rsidP="009310B1">
            <w:pPr>
              <w:pStyle w:val="Tabletext"/>
              <w:jc w:val="center"/>
            </w:pPr>
            <w:r w:rsidRPr="001E0C6D">
              <w:t>-</w:t>
            </w:r>
          </w:p>
        </w:tc>
      </w:tr>
      <w:tr w:rsidR="009310B1" w14:paraId="5E9200DF" w14:textId="77777777" w:rsidTr="00BC0293">
        <w:trPr>
          <w:cantSplit/>
        </w:trPr>
        <w:tc>
          <w:tcPr>
            <w:tcW w:w="1680" w:type="dxa"/>
            <w:tcBorders>
              <w:top w:val="single" w:sz="4" w:space="0" w:color="auto"/>
              <w:left w:val="nil"/>
              <w:bottom w:val="single" w:sz="4" w:space="0" w:color="auto"/>
              <w:right w:val="nil"/>
            </w:tcBorders>
          </w:tcPr>
          <w:p w14:paraId="6B213572" w14:textId="77777777" w:rsidR="009310B1" w:rsidRPr="001E0C6D" w:rsidRDefault="009310B1" w:rsidP="009310B1">
            <w:pPr>
              <w:pStyle w:val="Tabletext"/>
            </w:pPr>
            <w:r w:rsidRPr="001E0C6D">
              <w:t>2005–06</w:t>
            </w:r>
          </w:p>
        </w:tc>
        <w:tc>
          <w:tcPr>
            <w:tcW w:w="2359" w:type="dxa"/>
            <w:tcBorders>
              <w:top w:val="single" w:sz="4" w:space="0" w:color="auto"/>
              <w:left w:val="nil"/>
              <w:bottom w:val="single" w:sz="4" w:space="0" w:color="auto"/>
              <w:right w:val="nil"/>
            </w:tcBorders>
            <w:vAlign w:val="bottom"/>
          </w:tcPr>
          <w:p w14:paraId="740C3F29" w14:textId="77777777" w:rsidR="009310B1" w:rsidRPr="001E0C6D" w:rsidRDefault="009310B1" w:rsidP="009310B1">
            <w:pPr>
              <w:pStyle w:val="Tabletext"/>
              <w:jc w:val="center"/>
            </w:pPr>
            <w:r w:rsidRPr="001E0C6D">
              <w:t>86.9</w:t>
            </w:r>
          </w:p>
        </w:tc>
        <w:tc>
          <w:tcPr>
            <w:tcW w:w="2492" w:type="dxa"/>
            <w:tcBorders>
              <w:top w:val="single" w:sz="4" w:space="0" w:color="auto"/>
              <w:left w:val="nil"/>
              <w:bottom w:val="single" w:sz="4" w:space="0" w:color="auto"/>
              <w:right w:val="nil"/>
            </w:tcBorders>
            <w:vAlign w:val="bottom"/>
          </w:tcPr>
          <w:p w14:paraId="14E005B4" w14:textId="77777777" w:rsidR="009310B1" w:rsidRPr="001E0C6D" w:rsidRDefault="009310B1" w:rsidP="009310B1">
            <w:pPr>
              <w:pStyle w:val="Tabletext"/>
              <w:jc w:val="center"/>
            </w:pPr>
            <w:r w:rsidRPr="001E0C6D">
              <w:t>328,520</w:t>
            </w:r>
          </w:p>
        </w:tc>
        <w:tc>
          <w:tcPr>
            <w:tcW w:w="2495" w:type="dxa"/>
            <w:tcBorders>
              <w:top w:val="single" w:sz="4" w:space="0" w:color="auto"/>
              <w:left w:val="nil"/>
              <w:bottom w:val="single" w:sz="4" w:space="0" w:color="auto"/>
              <w:right w:val="nil"/>
            </w:tcBorders>
          </w:tcPr>
          <w:p w14:paraId="71477CF7" w14:textId="77777777" w:rsidR="009310B1" w:rsidRPr="001E0C6D" w:rsidRDefault="009310B1" w:rsidP="009310B1">
            <w:pPr>
              <w:pStyle w:val="Tabletext"/>
              <w:jc w:val="center"/>
            </w:pPr>
            <w:r w:rsidRPr="001E0C6D">
              <w:t>-</w:t>
            </w:r>
          </w:p>
        </w:tc>
      </w:tr>
      <w:tr w:rsidR="009310B1" w14:paraId="66B15FCF" w14:textId="77777777" w:rsidTr="00BC0293">
        <w:trPr>
          <w:cantSplit/>
        </w:trPr>
        <w:tc>
          <w:tcPr>
            <w:tcW w:w="1680" w:type="dxa"/>
            <w:tcBorders>
              <w:top w:val="single" w:sz="4" w:space="0" w:color="auto"/>
              <w:left w:val="nil"/>
              <w:bottom w:val="single" w:sz="4" w:space="0" w:color="auto"/>
              <w:right w:val="nil"/>
            </w:tcBorders>
          </w:tcPr>
          <w:p w14:paraId="22384FA4" w14:textId="77777777" w:rsidR="009310B1" w:rsidRPr="001E0C6D" w:rsidRDefault="009310B1" w:rsidP="009310B1">
            <w:pPr>
              <w:pStyle w:val="Tabletext"/>
            </w:pPr>
            <w:r w:rsidRPr="001E0C6D">
              <w:t>2006–07</w:t>
            </w:r>
          </w:p>
        </w:tc>
        <w:tc>
          <w:tcPr>
            <w:tcW w:w="2359" w:type="dxa"/>
            <w:tcBorders>
              <w:top w:val="single" w:sz="4" w:space="0" w:color="auto"/>
              <w:left w:val="nil"/>
              <w:bottom w:val="single" w:sz="4" w:space="0" w:color="auto"/>
              <w:right w:val="nil"/>
            </w:tcBorders>
            <w:vAlign w:val="bottom"/>
          </w:tcPr>
          <w:p w14:paraId="65541E3E" w14:textId="77777777" w:rsidR="009310B1" w:rsidRPr="001E0C6D" w:rsidRDefault="009310B1" w:rsidP="009310B1">
            <w:pPr>
              <w:pStyle w:val="Tabletext"/>
              <w:jc w:val="center"/>
            </w:pPr>
            <w:r w:rsidRPr="001E0C6D">
              <w:t>86.6</w:t>
            </w:r>
          </w:p>
        </w:tc>
        <w:tc>
          <w:tcPr>
            <w:tcW w:w="2492" w:type="dxa"/>
            <w:tcBorders>
              <w:top w:val="single" w:sz="4" w:space="0" w:color="auto"/>
              <w:left w:val="nil"/>
              <w:bottom w:val="single" w:sz="4" w:space="0" w:color="auto"/>
              <w:right w:val="nil"/>
            </w:tcBorders>
            <w:vAlign w:val="bottom"/>
          </w:tcPr>
          <w:p w14:paraId="67191E4B" w14:textId="77777777" w:rsidR="009310B1" w:rsidRPr="001E0C6D" w:rsidRDefault="009310B1" w:rsidP="009310B1">
            <w:pPr>
              <w:pStyle w:val="Tabletext"/>
              <w:jc w:val="center"/>
            </w:pPr>
            <w:r w:rsidRPr="001E0C6D">
              <w:t>366,058</w:t>
            </w:r>
          </w:p>
        </w:tc>
        <w:tc>
          <w:tcPr>
            <w:tcW w:w="2495" w:type="dxa"/>
            <w:tcBorders>
              <w:top w:val="single" w:sz="4" w:space="0" w:color="auto"/>
              <w:left w:val="nil"/>
              <w:bottom w:val="single" w:sz="4" w:space="0" w:color="auto"/>
              <w:right w:val="nil"/>
            </w:tcBorders>
          </w:tcPr>
          <w:p w14:paraId="49AC010E" w14:textId="77777777" w:rsidR="009310B1" w:rsidRPr="001E0C6D" w:rsidRDefault="009310B1" w:rsidP="009310B1">
            <w:pPr>
              <w:pStyle w:val="Tabletext"/>
              <w:jc w:val="center"/>
            </w:pPr>
            <w:r w:rsidRPr="001E0C6D">
              <w:t>-</w:t>
            </w:r>
          </w:p>
        </w:tc>
      </w:tr>
      <w:tr w:rsidR="009310B1" w14:paraId="1AFA6795" w14:textId="77777777" w:rsidTr="00BC0293">
        <w:trPr>
          <w:cantSplit/>
        </w:trPr>
        <w:tc>
          <w:tcPr>
            <w:tcW w:w="1680" w:type="dxa"/>
            <w:tcBorders>
              <w:top w:val="single" w:sz="4" w:space="0" w:color="auto"/>
              <w:left w:val="nil"/>
              <w:bottom w:val="single" w:sz="4" w:space="0" w:color="auto"/>
              <w:right w:val="nil"/>
            </w:tcBorders>
          </w:tcPr>
          <w:p w14:paraId="3DB56D5A" w14:textId="77777777" w:rsidR="009310B1" w:rsidRPr="001E0C6D" w:rsidRDefault="009310B1" w:rsidP="009310B1">
            <w:pPr>
              <w:pStyle w:val="Tabletext"/>
            </w:pPr>
            <w:r w:rsidRPr="001E0C6D">
              <w:t>2007–08</w:t>
            </w:r>
          </w:p>
        </w:tc>
        <w:tc>
          <w:tcPr>
            <w:tcW w:w="2359" w:type="dxa"/>
            <w:tcBorders>
              <w:top w:val="single" w:sz="4" w:space="0" w:color="auto"/>
              <w:left w:val="nil"/>
              <w:bottom w:val="single" w:sz="4" w:space="0" w:color="auto"/>
              <w:right w:val="nil"/>
            </w:tcBorders>
            <w:vAlign w:val="bottom"/>
          </w:tcPr>
          <w:p w14:paraId="7430F7C6" w14:textId="77777777" w:rsidR="009310B1" w:rsidRPr="001E0C6D" w:rsidRDefault="009310B1" w:rsidP="009310B1">
            <w:pPr>
              <w:pStyle w:val="Tabletext"/>
              <w:jc w:val="center"/>
            </w:pPr>
            <w:r w:rsidRPr="001E0C6D">
              <w:t>104.9</w:t>
            </w:r>
          </w:p>
        </w:tc>
        <w:tc>
          <w:tcPr>
            <w:tcW w:w="2492" w:type="dxa"/>
            <w:tcBorders>
              <w:top w:val="single" w:sz="4" w:space="0" w:color="auto"/>
              <w:left w:val="nil"/>
              <w:bottom w:val="single" w:sz="4" w:space="0" w:color="auto"/>
              <w:right w:val="nil"/>
            </w:tcBorders>
            <w:vAlign w:val="bottom"/>
          </w:tcPr>
          <w:p w14:paraId="159E5E38" w14:textId="77777777" w:rsidR="009310B1" w:rsidRPr="001E0C6D" w:rsidRDefault="009310B1" w:rsidP="009310B1">
            <w:pPr>
              <w:pStyle w:val="Tabletext"/>
              <w:jc w:val="center"/>
            </w:pPr>
            <w:r w:rsidRPr="001E0C6D">
              <w:t>388,857</w:t>
            </w:r>
          </w:p>
        </w:tc>
        <w:tc>
          <w:tcPr>
            <w:tcW w:w="2495" w:type="dxa"/>
            <w:tcBorders>
              <w:top w:val="single" w:sz="4" w:space="0" w:color="auto"/>
              <w:left w:val="nil"/>
              <w:bottom w:val="single" w:sz="4" w:space="0" w:color="auto"/>
              <w:right w:val="nil"/>
            </w:tcBorders>
          </w:tcPr>
          <w:p w14:paraId="77914469" w14:textId="77777777" w:rsidR="009310B1" w:rsidRPr="001E0C6D" w:rsidRDefault="009310B1" w:rsidP="009310B1">
            <w:pPr>
              <w:pStyle w:val="Tabletext"/>
              <w:jc w:val="center"/>
            </w:pPr>
            <w:r w:rsidRPr="001E0C6D">
              <w:t>-</w:t>
            </w:r>
          </w:p>
        </w:tc>
      </w:tr>
      <w:tr w:rsidR="009310B1" w14:paraId="2DBA6E16" w14:textId="77777777" w:rsidTr="00BC0293">
        <w:trPr>
          <w:cantSplit/>
        </w:trPr>
        <w:tc>
          <w:tcPr>
            <w:tcW w:w="1680" w:type="dxa"/>
            <w:tcBorders>
              <w:top w:val="single" w:sz="4" w:space="0" w:color="auto"/>
              <w:left w:val="nil"/>
              <w:bottom w:val="single" w:sz="4" w:space="0" w:color="auto"/>
              <w:right w:val="nil"/>
            </w:tcBorders>
          </w:tcPr>
          <w:p w14:paraId="1364874A" w14:textId="77777777" w:rsidR="009310B1" w:rsidRPr="001E0C6D" w:rsidRDefault="009310B1" w:rsidP="009310B1">
            <w:pPr>
              <w:pStyle w:val="Tabletext"/>
            </w:pPr>
            <w:r w:rsidRPr="001E0C6D">
              <w:t>2008–09</w:t>
            </w:r>
          </w:p>
        </w:tc>
        <w:tc>
          <w:tcPr>
            <w:tcW w:w="2359" w:type="dxa"/>
            <w:tcBorders>
              <w:top w:val="single" w:sz="4" w:space="0" w:color="auto"/>
              <w:left w:val="nil"/>
              <w:bottom w:val="single" w:sz="4" w:space="0" w:color="auto"/>
              <w:right w:val="nil"/>
            </w:tcBorders>
            <w:vAlign w:val="bottom"/>
          </w:tcPr>
          <w:p w14:paraId="12A6D24A" w14:textId="77777777" w:rsidR="009310B1" w:rsidRPr="001E0C6D" w:rsidRDefault="009310B1" w:rsidP="009310B1">
            <w:pPr>
              <w:pStyle w:val="Tabletext"/>
              <w:jc w:val="center"/>
            </w:pPr>
            <w:r w:rsidRPr="001E0C6D">
              <w:t>111.4</w:t>
            </w:r>
          </w:p>
        </w:tc>
        <w:tc>
          <w:tcPr>
            <w:tcW w:w="2492" w:type="dxa"/>
            <w:tcBorders>
              <w:top w:val="single" w:sz="4" w:space="0" w:color="auto"/>
              <w:left w:val="nil"/>
              <w:bottom w:val="single" w:sz="4" w:space="0" w:color="auto"/>
              <w:right w:val="nil"/>
            </w:tcBorders>
            <w:vAlign w:val="bottom"/>
          </w:tcPr>
          <w:p w14:paraId="24DE2166" w14:textId="77777777" w:rsidR="009310B1" w:rsidRPr="001E0C6D" w:rsidRDefault="009310B1" w:rsidP="009310B1">
            <w:pPr>
              <w:pStyle w:val="Tabletext"/>
              <w:jc w:val="center"/>
            </w:pPr>
            <w:r w:rsidRPr="001E0C6D">
              <w:t>446,531</w:t>
            </w:r>
          </w:p>
        </w:tc>
        <w:tc>
          <w:tcPr>
            <w:tcW w:w="2495" w:type="dxa"/>
            <w:tcBorders>
              <w:top w:val="single" w:sz="4" w:space="0" w:color="auto"/>
              <w:left w:val="nil"/>
              <w:bottom w:val="single" w:sz="4" w:space="0" w:color="auto"/>
              <w:right w:val="nil"/>
            </w:tcBorders>
          </w:tcPr>
          <w:p w14:paraId="78B40896" w14:textId="77777777" w:rsidR="009310B1" w:rsidRPr="001E0C6D" w:rsidRDefault="009310B1" w:rsidP="009310B1">
            <w:pPr>
              <w:pStyle w:val="Tabletext"/>
              <w:jc w:val="center"/>
            </w:pPr>
            <w:r w:rsidRPr="001E0C6D">
              <w:t>-</w:t>
            </w:r>
          </w:p>
        </w:tc>
      </w:tr>
      <w:tr w:rsidR="009310B1" w14:paraId="5DBB7CE3" w14:textId="77777777" w:rsidTr="00BC0293">
        <w:trPr>
          <w:cantSplit/>
        </w:trPr>
        <w:tc>
          <w:tcPr>
            <w:tcW w:w="1680" w:type="dxa"/>
            <w:tcBorders>
              <w:top w:val="single" w:sz="4" w:space="0" w:color="auto"/>
              <w:left w:val="nil"/>
              <w:bottom w:val="single" w:sz="4" w:space="0" w:color="auto"/>
              <w:right w:val="nil"/>
            </w:tcBorders>
          </w:tcPr>
          <w:p w14:paraId="641E04C0" w14:textId="77777777" w:rsidR="009310B1" w:rsidRPr="001E0C6D" w:rsidRDefault="009310B1" w:rsidP="009310B1">
            <w:pPr>
              <w:pStyle w:val="Tabletext"/>
            </w:pPr>
            <w:r w:rsidRPr="001E0C6D">
              <w:t>2009–10</w:t>
            </w:r>
          </w:p>
        </w:tc>
        <w:tc>
          <w:tcPr>
            <w:tcW w:w="2359" w:type="dxa"/>
            <w:tcBorders>
              <w:top w:val="single" w:sz="4" w:space="0" w:color="auto"/>
              <w:left w:val="nil"/>
              <w:bottom w:val="single" w:sz="4" w:space="0" w:color="auto"/>
              <w:right w:val="nil"/>
            </w:tcBorders>
            <w:vAlign w:val="bottom"/>
          </w:tcPr>
          <w:p w14:paraId="6EA933E1" w14:textId="77777777" w:rsidR="009310B1" w:rsidRPr="001E0C6D" w:rsidRDefault="009310B1" w:rsidP="009310B1">
            <w:pPr>
              <w:pStyle w:val="Tabletext"/>
              <w:jc w:val="center"/>
            </w:pPr>
            <w:r w:rsidRPr="001E0C6D">
              <w:t>123.1</w:t>
            </w:r>
          </w:p>
        </w:tc>
        <w:tc>
          <w:tcPr>
            <w:tcW w:w="2492" w:type="dxa"/>
            <w:tcBorders>
              <w:top w:val="single" w:sz="4" w:space="0" w:color="auto"/>
              <w:left w:val="nil"/>
              <w:bottom w:val="single" w:sz="4" w:space="0" w:color="auto"/>
              <w:right w:val="nil"/>
            </w:tcBorders>
            <w:vAlign w:val="bottom"/>
          </w:tcPr>
          <w:p w14:paraId="6C3841C9" w14:textId="77777777" w:rsidR="009310B1" w:rsidRPr="001E0C6D" w:rsidRDefault="009310B1" w:rsidP="009310B1">
            <w:pPr>
              <w:pStyle w:val="Tabletext"/>
              <w:jc w:val="center"/>
            </w:pPr>
            <w:r w:rsidRPr="001E0C6D">
              <w:t>447,590</w:t>
            </w:r>
          </w:p>
        </w:tc>
        <w:tc>
          <w:tcPr>
            <w:tcW w:w="2495" w:type="dxa"/>
            <w:tcBorders>
              <w:top w:val="single" w:sz="4" w:space="0" w:color="auto"/>
              <w:left w:val="nil"/>
              <w:bottom w:val="single" w:sz="4" w:space="0" w:color="auto"/>
              <w:right w:val="nil"/>
            </w:tcBorders>
          </w:tcPr>
          <w:p w14:paraId="4540B062" w14:textId="77777777" w:rsidR="009310B1" w:rsidRPr="001E0C6D" w:rsidRDefault="009310B1" w:rsidP="009310B1">
            <w:pPr>
              <w:pStyle w:val="Tabletext"/>
              <w:jc w:val="center"/>
            </w:pPr>
            <w:r w:rsidRPr="001E0C6D">
              <w:t>-</w:t>
            </w:r>
          </w:p>
        </w:tc>
      </w:tr>
      <w:tr w:rsidR="009310B1" w14:paraId="7D91AE12" w14:textId="77777777" w:rsidTr="00BC0293">
        <w:trPr>
          <w:cantSplit/>
        </w:trPr>
        <w:tc>
          <w:tcPr>
            <w:tcW w:w="1680" w:type="dxa"/>
            <w:tcBorders>
              <w:top w:val="single" w:sz="4" w:space="0" w:color="auto"/>
              <w:left w:val="nil"/>
              <w:bottom w:val="single" w:sz="4" w:space="0" w:color="auto"/>
              <w:right w:val="nil"/>
            </w:tcBorders>
          </w:tcPr>
          <w:p w14:paraId="7CB2EFC5" w14:textId="77777777" w:rsidR="009310B1" w:rsidRPr="001E0C6D" w:rsidRDefault="009310B1" w:rsidP="009310B1">
            <w:pPr>
              <w:pStyle w:val="Tabletext"/>
            </w:pPr>
            <w:r w:rsidRPr="001E0C6D">
              <w:t>2010–11</w:t>
            </w:r>
          </w:p>
        </w:tc>
        <w:tc>
          <w:tcPr>
            <w:tcW w:w="2359" w:type="dxa"/>
            <w:tcBorders>
              <w:top w:val="single" w:sz="4" w:space="0" w:color="auto"/>
              <w:left w:val="nil"/>
              <w:bottom w:val="single" w:sz="4" w:space="0" w:color="auto"/>
              <w:right w:val="nil"/>
            </w:tcBorders>
          </w:tcPr>
          <w:p w14:paraId="77A55A90" w14:textId="77777777" w:rsidR="009310B1" w:rsidRPr="001E0C6D" w:rsidRDefault="009310B1" w:rsidP="009310B1">
            <w:pPr>
              <w:pStyle w:val="Tabletext"/>
              <w:jc w:val="center"/>
            </w:pPr>
            <w:r w:rsidRPr="001E0C6D">
              <w:t>-</w:t>
            </w:r>
          </w:p>
        </w:tc>
        <w:tc>
          <w:tcPr>
            <w:tcW w:w="2492" w:type="dxa"/>
            <w:tcBorders>
              <w:top w:val="single" w:sz="4" w:space="0" w:color="auto"/>
              <w:left w:val="nil"/>
              <w:bottom w:val="single" w:sz="4" w:space="0" w:color="auto"/>
              <w:right w:val="nil"/>
            </w:tcBorders>
            <w:vAlign w:val="bottom"/>
          </w:tcPr>
          <w:p w14:paraId="1D904C36" w14:textId="77777777" w:rsidR="009310B1" w:rsidRPr="001E0C6D" w:rsidRDefault="009310B1" w:rsidP="009310B1">
            <w:pPr>
              <w:pStyle w:val="Tabletext"/>
              <w:jc w:val="center"/>
            </w:pPr>
            <w:r w:rsidRPr="001E0C6D">
              <w:t>490,748</w:t>
            </w:r>
          </w:p>
        </w:tc>
        <w:tc>
          <w:tcPr>
            <w:tcW w:w="2495" w:type="dxa"/>
            <w:tcBorders>
              <w:top w:val="single" w:sz="4" w:space="0" w:color="auto"/>
              <w:left w:val="nil"/>
              <w:bottom w:val="single" w:sz="4" w:space="0" w:color="auto"/>
              <w:right w:val="nil"/>
            </w:tcBorders>
            <w:vAlign w:val="bottom"/>
          </w:tcPr>
          <w:p w14:paraId="43C87DDF" w14:textId="77777777" w:rsidR="009310B1" w:rsidRPr="001E0C6D" w:rsidRDefault="009310B1" w:rsidP="009310B1">
            <w:pPr>
              <w:pStyle w:val="Tabletext"/>
              <w:jc w:val="center"/>
            </w:pPr>
            <w:r w:rsidRPr="001E0C6D">
              <w:t>134.0</w:t>
            </w:r>
          </w:p>
        </w:tc>
      </w:tr>
      <w:tr w:rsidR="009310B1" w14:paraId="799118BE" w14:textId="77777777" w:rsidTr="00BC0293">
        <w:trPr>
          <w:cantSplit/>
        </w:trPr>
        <w:tc>
          <w:tcPr>
            <w:tcW w:w="1680" w:type="dxa"/>
            <w:tcBorders>
              <w:top w:val="single" w:sz="4" w:space="0" w:color="auto"/>
              <w:left w:val="nil"/>
              <w:bottom w:val="single" w:sz="4" w:space="0" w:color="auto"/>
              <w:right w:val="nil"/>
            </w:tcBorders>
          </w:tcPr>
          <w:p w14:paraId="58CFF57A" w14:textId="77777777" w:rsidR="009310B1" w:rsidRPr="001E0C6D" w:rsidRDefault="009310B1" w:rsidP="009310B1">
            <w:pPr>
              <w:pStyle w:val="Tabletext"/>
            </w:pPr>
            <w:r w:rsidRPr="001E0C6D">
              <w:t>2011–12</w:t>
            </w:r>
          </w:p>
        </w:tc>
        <w:tc>
          <w:tcPr>
            <w:tcW w:w="2359" w:type="dxa"/>
            <w:tcBorders>
              <w:top w:val="single" w:sz="4" w:space="0" w:color="auto"/>
              <w:left w:val="nil"/>
              <w:bottom w:val="single" w:sz="4" w:space="0" w:color="auto"/>
              <w:right w:val="nil"/>
            </w:tcBorders>
          </w:tcPr>
          <w:p w14:paraId="3D093CC9" w14:textId="77777777" w:rsidR="009310B1" w:rsidRPr="001E0C6D" w:rsidRDefault="009310B1" w:rsidP="009310B1">
            <w:pPr>
              <w:pStyle w:val="Tabletext"/>
              <w:jc w:val="center"/>
            </w:pPr>
            <w:r w:rsidRPr="001E0C6D">
              <w:t>-</w:t>
            </w:r>
          </w:p>
        </w:tc>
        <w:tc>
          <w:tcPr>
            <w:tcW w:w="2492" w:type="dxa"/>
            <w:tcBorders>
              <w:top w:val="single" w:sz="4" w:space="0" w:color="auto"/>
              <w:left w:val="nil"/>
              <w:bottom w:val="single" w:sz="4" w:space="0" w:color="auto"/>
              <w:right w:val="nil"/>
            </w:tcBorders>
            <w:vAlign w:val="bottom"/>
          </w:tcPr>
          <w:p w14:paraId="266DC157" w14:textId="77777777" w:rsidR="009310B1" w:rsidRPr="001E0C6D" w:rsidRDefault="009310B1" w:rsidP="009310B1">
            <w:pPr>
              <w:pStyle w:val="Tabletext"/>
              <w:jc w:val="center"/>
            </w:pPr>
            <w:r w:rsidRPr="001E0C6D">
              <w:t>519,067</w:t>
            </w:r>
          </w:p>
        </w:tc>
        <w:tc>
          <w:tcPr>
            <w:tcW w:w="2495" w:type="dxa"/>
            <w:tcBorders>
              <w:top w:val="single" w:sz="4" w:space="0" w:color="auto"/>
              <w:left w:val="nil"/>
              <w:bottom w:val="single" w:sz="4" w:space="0" w:color="auto"/>
              <w:right w:val="nil"/>
            </w:tcBorders>
            <w:vAlign w:val="bottom"/>
          </w:tcPr>
          <w:p w14:paraId="5B9EE3AC" w14:textId="77777777" w:rsidR="009310B1" w:rsidRPr="001E0C6D" w:rsidRDefault="009310B1" w:rsidP="009310B1">
            <w:pPr>
              <w:pStyle w:val="Tabletext"/>
              <w:jc w:val="center"/>
            </w:pPr>
            <w:r w:rsidRPr="001E0C6D">
              <w:t>143.8</w:t>
            </w:r>
          </w:p>
        </w:tc>
      </w:tr>
      <w:tr w:rsidR="009310B1" w14:paraId="461CC858" w14:textId="77777777" w:rsidTr="00BC0293">
        <w:trPr>
          <w:cantSplit/>
        </w:trPr>
        <w:tc>
          <w:tcPr>
            <w:tcW w:w="1680" w:type="dxa"/>
            <w:tcBorders>
              <w:top w:val="single" w:sz="4" w:space="0" w:color="auto"/>
              <w:left w:val="nil"/>
              <w:bottom w:val="single" w:sz="4" w:space="0" w:color="auto"/>
              <w:right w:val="nil"/>
            </w:tcBorders>
          </w:tcPr>
          <w:p w14:paraId="4E6F3A5E" w14:textId="77777777" w:rsidR="009310B1" w:rsidRPr="001E0C6D" w:rsidRDefault="009310B1" w:rsidP="009310B1">
            <w:pPr>
              <w:pStyle w:val="Tabletext"/>
            </w:pPr>
            <w:r w:rsidRPr="001E0C6D">
              <w:t>2012–13</w:t>
            </w:r>
          </w:p>
        </w:tc>
        <w:tc>
          <w:tcPr>
            <w:tcW w:w="2359" w:type="dxa"/>
            <w:tcBorders>
              <w:top w:val="single" w:sz="4" w:space="0" w:color="auto"/>
              <w:left w:val="nil"/>
              <w:bottom w:val="single" w:sz="4" w:space="0" w:color="auto"/>
              <w:right w:val="nil"/>
            </w:tcBorders>
          </w:tcPr>
          <w:p w14:paraId="1C1F000B" w14:textId="77777777" w:rsidR="009310B1" w:rsidRPr="001E0C6D" w:rsidRDefault="009310B1" w:rsidP="009310B1">
            <w:pPr>
              <w:pStyle w:val="Tabletext"/>
              <w:jc w:val="center"/>
            </w:pPr>
            <w:r w:rsidRPr="001E0C6D">
              <w:t>-</w:t>
            </w:r>
          </w:p>
        </w:tc>
        <w:tc>
          <w:tcPr>
            <w:tcW w:w="2492" w:type="dxa"/>
            <w:tcBorders>
              <w:top w:val="single" w:sz="4" w:space="0" w:color="auto"/>
              <w:left w:val="nil"/>
              <w:bottom w:val="single" w:sz="4" w:space="0" w:color="auto"/>
              <w:right w:val="nil"/>
            </w:tcBorders>
            <w:vAlign w:val="bottom"/>
          </w:tcPr>
          <w:p w14:paraId="6C515BF1" w14:textId="77777777" w:rsidR="009310B1" w:rsidRPr="001E0C6D" w:rsidRDefault="009310B1" w:rsidP="009310B1">
            <w:pPr>
              <w:pStyle w:val="Tabletext"/>
              <w:jc w:val="center"/>
            </w:pPr>
            <w:r w:rsidRPr="001E0C6D">
              <w:t>521,165</w:t>
            </w:r>
          </w:p>
        </w:tc>
        <w:tc>
          <w:tcPr>
            <w:tcW w:w="2495" w:type="dxa"/>
            <w:tcBorders>
              <w:top w:val="single" w:sz="4" w:space="0" w:color="auto"/>
              <w:left w:val="nil"/>
              <w:bottom w:val="single" w:sz="4" w:space="0" w:color="auto"/>
              <w:right w:val="nil"/>
            </w:tcBorders>
            <w:vAlign w:val="bottom"/>
          </w:tcPr>
          <w:p w14:paraId="0841245D" w14:textId="77777777" w:rsidR="009310B1" w:rsidRPr="001E0C6D" w:rsidRDefault="009310B1" w:rsidP="009310B1">
            <w:pPr>
              <w:pStyle w:val="Tabletext"/>
              <w:jc w:val="center"/>
            </w:pPr>
            <w:r w:rsidRPr="001E0C6D">
              <w:t>144.5</w:t>
            </w:r>
          </w:p>
        </w:tc>
      </w:tr>
      <w:tr w:rsidR="009310B1" w14:paraId="6A2468B3" w14:textId="77777777" w:rsidTr="00BC0293">
        <w:trPr>
          <w:cantSplit/>
        </w:trPr>
        <w:tc>
          <w:tcPr>
            <w:tcW w:w="1680" w:type="dxa"/>
            <w:tcBorders>
              <w:top w:val="single" w:sz="4" w:space="0" w:color="auto"/>
              <w:left w:val="nil"/>
              <w:bottom w:val="single" w:sz="4" w:space="0" w:color="auto"/>
              <w:right w:val="nil"/>
            </w:tcBorders>
          </w:tcPr>
          <w:p w14:paraId="593EB986" w14:textId="77777777" w:rsidR="009310B1" w:rsidRPr="001E0C6D" w:rsidRDefault="009310B1" w:rsidP="009310B1">
            <w:pPr>
              <w:pStyle w:val="Tabletext"/>
            </w:pPr>
            <w:r w:rsidRPr="001E0C6D">
              <w:t>2013–14</w:t>
            </w:r>
          </w:p>
        </w:tc>
        <w:tc>
          <w:tcPr>
            <w:tcW w:w="2359" w:type="dxa"/>
            <w:tcBorders>
              <w:top w:val="single" w:sz="4" w:space="0" w:color="auto"/>
              <w:left w:val="nil"/>
              <w:bottom w:val="single" w:sz="4" w:space="0" w:color="auto"/>
              <w:right w:val="nil"/>
            </w:tcBorders>
          </w:tcPr>
          <w:p w14:paraId="5660368D" w14:textId="77777777" w:rsidR="009310B1" w:rsidRPr="001E0C6D" w:rsidRDefault="009310B1" w:rsidP="009310B1">
            <w:pPr>
              <w:pStyle w:val="Tabletext"/>
              <w:jc w:val="center"/>
            </w:pPr>
            <w:r w:rsidRPr="001E0C6D">
              <w:t>-</w:t>
            </w:r>
          </w:p>
        </w:tc>
        <w:tc>
          <w:tcPr>
            <w:tcW w:w="2492" w:type="dxa"/>
            <w:tcBorders>
              <w:top w:val="single" w:sz="4" w:space="0" w:color="auto"/>
              <w:left w:val="nil"/>
              <w:bottom w:val="single" w:sz="4" w:space="0" w:color="auto"/>
              <w:right w:val="nil"/>
            </w:tcBorders>
            <w:vAlign w:val="bottom"/>
          </w:tcPr>
          <w:p w14:paraId="44199624" w14:textId="77777777" w:rsidR="009310B1" w:rsidRPr="001E0C6D" w:rsidRDefault="009310B1" w:rsidP="009310B1">
            <w:pPr>
              <w:pStyle w:val="Tabletext"/>
              <w:jc w:val="center"/>
            </w:pPr>
            <w:r w:rsidRPr="001E0C6D">
              <w:t>542,112</w:t>
            </w:r>
          </w:p>
        </w:tc>
        <w:tc>
          <w:tcPr>
            <w:tcW w:w="2495" w:type="dxa"/>
            <w:tcBorders>
              <w:top w:val="single" w:sz="4" w:space="0" w:color="auto"/>
              <w:left w:val="nil"/>
              <w:bottom w:val="single" w:sz="4" w:space="0" w:color="auto"/>
              <w:right w:val="nil"/>
            </w:tcBorders>
            <w:vAlign w:val="bottom"/>
          </w:tcPr>
          <w:p w14:paraId="24A1B188" w14:textId="77777777" w:rsidR="009310B1" w:rsidRPr="001E0C6D" w:rsidRDefault="009310B1" w:rsidP="009310B1">
            <w:pPr>
              <w:pStyle w:val="Tabletext"/>
              <w:jc w:val="center"/>
            </w:pPr>
            <w:r w:rsidRPr="001E0C6D">
              <w:t>151.8</w:t>
            </w:r>
          </w:p>
        </w:tc>
      </w:tr>
      <w:tr w:rsidR="009310B1" w14:paraId="7EE253B7" w14:textId="77777777" w:rsidTr="00BC0293">
        <w:trPr>
          <w:cantSplit/>
        </w:trPr>
        <w:tc>
          <w:tcPr>
            <w:tcW w:w="1680" w:type="dxa"/>
            <w:tcBorders>
              <w:top w:val="single" w:sz="4" w:space="0" w:color="auto"/>
              <w:left w:val="nil"/>
              <w:bottom w:val="single" w:sz="4" w:space="0" w:color="auto"/>
              <w:right w:val="nil"/>
            </w:tcBorders>
          </w:tcPr>
          <w:p w14:paraId="11D18102" w14:textId="77777777" w:rsidR="009310B1" w:rsidRPr="001E0C6D" w:rsidRDefault="009310B1" w:rsidP="009310B1">
            <w:pPr>
              <w:pStyle w:val="Tabletext"/>
            </w:pPr>
            <w:r w:rsidRPr="001E0C6D">
              <w:t>2014–15</w:t>
            </w:r>
          </w:p>
        </w:tc>
        <w:tc>
          <w:tcPr>
            <w:tcW w:w="2359" w:type="dxa"/>
            <w:tcBorders>
              <w:top w:val="single" w:sz="4" w:space="0" w:color="auto"/>
              <w:left w:val="nil"/>
              <w:bottom w:val="single" w:sz="4" w:space="0" w:color="auto"/>
              <w:right w:val="nil"/>
            </w:tcBorders>
          </w:tcPr>
          <w:p w14:paraId="2D4EE55F" w14:textId="77777777" w:rsidR="009310B1" w:rsidRPr="001E0C6D" w:rsidRDefault="009310B1" w:rsidP="009310B1">
            <w:pPr>
              <w:pStyle w:val="Tabletext"/>
              <w:jc w:val="center"/>
            </w:pPr>
            <w:r w:rsidRPr="001E0C6D">
              <w:t>-</w:t>
            </w:r>
          </w:p>
        </w:tc>
        <w:tc>
          <w:tcPr>
            <w:tcW w:w="2492" w:type="dxa"/>
            <w:tcBorders>
              <w:top w:val="single" w:sz="4" w:space="0" w:color="auto"/>
              <w:left w:val="nil"/>
              <w:bottom w:val="single" w:sz="4" w:space="0" w:color="auto"/>
              <w:right w:val="nil"/>
            </w:tcBorders>
            <w:vAlign w:val="bottom"/>
          </w:tcPr>
          <w:p w14:paraId="46C23777" w14:textId="77777777" w:rsidR="009310B1" w:rsidRPr="001E0C6D" w:rsidRDefault="009310B1" w:rsidP="009310B1">
            <w:pPr>
              <w:pStyle w:val="Tabletext"/>
              <w:jc w:val="center"/>
            </w:pPr>
            <w:r w:rsidRPr="001E0C6D">
              <w:t>536,862</w:t>
            </w:r>
          </w:p>
        </w:tc>
        <w:tc>
          <w:tcPr>
            <w:tcW w:w="2495" w:type="dxa"/>
            <w:tcBorders>
              <w:top w:val="single" w:sz="4" w:space="0" w:color="auto"/>
              <w:left w:val="nil"/>
              <w:bottom w:val="single" w:sz="4" w:space="0" w:color="auto"/>
              <w:right w:val="nil"/>
            </w:tcBorders>
            <w:vAlign w:val="bottom"/>
          </w:tcPr>
          <w:p w14:paraId="23D6B4C9" w14:textId="77777777" w:rsidR="009310B1" w:rsidRPr="001E0C6D" w:rsidRDefault="009310B1" w:rsidP="009310B1">
            <w:pPr>
              <w:pStyle w:val="Tabletext"/>
              <w:jc w:val="center"/>
            </w:pPr>
            <w:r w:rsidRPr="001E0C6D">
              <w:t>149.9</w:t>
            </w:r>
          </w:p>
        </w:tc>
      </w:tr>
      <w:tr w:rsidR="009310B1" w14:paraId="09E99A2B" w14:textId="77777777" w:rsidTr="009310B1">
        <w:trPr>
          <w:cantSplit/>
        </w:trPr>
        <w:tc>
          <w:tcPr>
            <w:tcW w:w="1680" w:type="dxa"/>
            <w:tcBorders>
              <w:top w:val="single" w:sz="4" w:space="0" w:color="auto"/>
              <w:left w:val="nil"/>
              <w:bottom w:val="single" w:sz="12" w:space="0" w:color="auto"/>
              <w:right w:val="nil"/>
            </w:tcBorders>
          </w:tcPr>
          <w:p w14:paraId="4BB2855F" w14:textId="77777777" w:rsidR="009310B1" w:rsidRPr="001E0C6D" w:rsidRDefault="009310B1" w:rsidP="009310B1">
            <w:pPr>
              <w:pStyle w:val="Tabletext"/>
            </w:pPr>
            <w:r w:rsidRPr="001E0C6D">
              <w:t>2015–16</w:t>
            </w:r>
          </w:p>
        </w:tc>
        <w:tc>
          <w:tcPr>
            <w:tcW w:w="2359" w:type="dxa"/>
            <w:tcBorders>
              <w:top w:val="single" w:sz="4" w:space="0" w:color="auto"/>
              <w:left w:val="nil"/>
              <w:bottom w:val="single" w:sz="12" w:space="0" w:color="auto"/>
              <w:right w:val="nil"/>
            </w:tcBorders>
          </w:tcPr>
          <w:p w14:paraId="1AB36AF3" w14:textId="77777777" w:rsidR="009310B1" w:rsidRPr="001E0C6D" w:rsidRDefault="009310B1" w:rsidP="009310B1">
            <w:pPr>
              <w:pStyle w:val="Tabletext"/>
              <w:jc w:val="center"/>
            </w:pPr>
            <w:r w:rsidRPr="001E0C6D">
              <w:t>-</w:t>
            </w:r>
          </w:p>
        </w:tc>
        <w:tc>
          <w:tcPr>
            <w:tcW w:w="2492" w:type="dxa"/>
            <w:tcBorders>
              <w:top w:val="single" w:sz="4" w:space="0" w:color="auto"/>
              <w:left w:val="nil"/>
              <w:bottom w:val="single" w:sz="12" w:space="0" w:color="auto"/>
              <w:right w:val="nil"/>
            </w:tcBorders>
            <w:vAlign w:val="bottom"/>
          </w:tcPr>
          <w:p w14:paraId="701AB328" w14:textId="77777777" w:rsidR="009310B1" w:rsidRPr="001E0C6D" w:rsidRDefault="009310B1" w:rsidP="009310B1">
            <w:pPr>
              <w:pStyle w:val="Tabletext"/>
              <w:jc w:val="center"/>
            </w:pPr>
            <w:r w:rsidRPr="001E0C6D">
              <w:t>536,695</w:t>
            </w:r>
          </w:p>
        </w:tc>
        <w:tc>
          <w:tcPr>
            <w:tcW w:w="2495" w:type="dxa"/>
            <w:tcBorders>
              <w:top w:val="single" w:sz="4" w:space="0" w:color="auto"/>
              <w:left w:val="nil"/>
              <w:bottom w:val="single" w:sz="12" w:space="0" w:color="auto"/>
              <w:right w:val="nil"/>
            </w:tcBorders>
            <w:vAlign w:val="bottom"/>
          </w:tcPr>
          <w:p w14:paraId="4B57FF4A" w14:textId="77777777" w:rsidR="009310B1" w:rsidRPr="001E0C6D" w:rsidRDefault="009310B1" w:rsidP="009310B1">
            <w:pPr>
              <w:pStyle w:val="Tabletext"/>
              <w:jc w:val="center"/>
            </w:pPr>
            <w:r w:rsidRPr="001E0C6D">
              <w:t>149.9</w:t>
            </w:r>
          </w:p>
        </w:tc>
      </w:tr>
    </w:tbl>
    <w:p w14:paraId="61CC26C1" w14:textId="77777777" w:rsidR="009310B1" w:rsidRDefault="009310B1" w:rsidP="009310B1"/>
    <w:p w14:paraId="6FF7B0B9" w14:textId="77777777" w:rsidR="00E25A11" w:rsidRPr="001E0C6D" w:rsidRDefault="00E25A11" w:rsidP="00E25A11">
      <w:r w:rsidRPr="001E0C6D">
        <w:fldChar w:fldCharType="begin"/>
      </w:r>
      <w:r w:rsidRPr="001E0C6D">
        <w:instrText xml:space="preserve"> REF _Ref481759138 \h  \* MERGEFORMAT </w:instrText>
      </w:r>
      <w:r w:rsidRPr="001E0C6D">
        <w:fldChar w:fldCharType="separate"/>
      </w:r>
      <w:r w:rsidR="00ED08CC" w:rsidRPr="001E0C6D">
        <w:t xml:space="preserve">Figure </w:t>
      </w:r>
      <w:r w:rsidR="00ED08CC">
        <w:t>5</w:t>
      </w:r>
      <w:r w:rsidRPr="001E0C6D">
        <w:fldChar w:fldCharType="end"/>
      </w:r>
      <w:r w:rsidRPr="001E0C6D">
        <w:t xml:space="preserve"> illustrates the relationship between GOS and </w:t>
      </w:r>
      <w:proofErr w:type="spellStart"/>
      <w:r w:rsidRPr="001E0C6D">
        <w:t>AbaF</w:t>
      </w:r>
      <w:proofErr w:type="spellEnd"/>
      <w:r w:rsidRPr="001E0C6D">
        <w:t xml:space="preserve"> donations values (red dots) and the linear model based on this relationship (grey line). The 95 per cent confidence and prediction intervals (inner green dashed and outer orange dotted lines, respectively) show where the true results may lie with 95 per cent certainty.</w:t>
      </w:r>
    </w:p>
    <w:p w14:paraId="0C4397A8" w14:textId="77777777" w:rsidR="00E25A11" w:rsidRPr="001E0C6D" w:rsidRDefault="00E25A11" w:rsidP="009310B1">
      <w:pPr>
        <w:pStyle w:val="Figureheading"/>
      </w:pPr>
      <w:bookmarkStart w:id="72" w:name="_Ref481759138"/>
      <w:bookmarkStart w:id="73" w:name="_Toc486587621"/>
      <w:r w:rsidRPr="001E0C6D">
        <w:t xml:space="preserve">Figure </w:t>
      </w:r>
      <w:fldSimple w:instr=" SEQ Figure \* ARABIC ">
        <w:r w:rsidR="00ED08CC">
          <w:rPr>
            <w:noProof/>
          </w:rPr>
          <w:t>5</w:t>
        </w:r>
      </w:fldSimple>
      <w:bookmarkEnd w:id="72"/>
      <w:r w:rsidRPr="001E0C6D">
        <w:t>. GOS—</w:t>
      </w:r>
      <w:proofErr w:type="spellStart"/>
      <w:r w:rsidRPr="001E0C6D">
        <w:t>AbaF</w:t>
      </w:r>
      <w:proofErr w:type="spellEnd"/>
      <w:r w:rsidRPr="001E0C6D">
        <w:t xml:space="preserve"> donations linear model with confidence and prediction interval</w:t>
      </w:r>
      <w:bookmarkEnd w:id="73"/>
    </w:p>
    <w:p w14:paraId="181DB19F" w14:textId="77777777" w:rsidR="00E25A11" w:rsidRPr="001E0C6D" w:rsidRDefault="00E25A11" w:rsidP="00E25A11">
      <w:r w:rsidRPr="001E0C6D">
        <w:rPr>
          <w:noProof/>
          <w:lang w:eastAsia="zh-TW" w:bidi="hi-IN"/>
        </w:rPr>
        <w:drawing>
          <wp:inline distT="0" distB="0" distL="0" distR="0" wp14:anchorId="79124A5E" wp14:editId="4DBC0337">
            <wp:extent cx="5731340" cy="3598257"/>
            <wp:effectExtent l="0" t="0" r="3175" b="2540"/>
            <wp:docPr id="43" name="Picture 43" descr="This is a regression line chart showing AbaF donations estimates rise as GOS rises. It is an illustration of figures presented in Table 7. The starting points are $47.1 million for AbaF and $235.0 billion for GOS in financial year 2001–02; which then rise to estimates of $149.9 million for AbaF as GOS value reaches $536.7 billion in financial year 2015–16. The measures are in millions of Australian dollars. The chart also presents upper and lower confidence and prediction intervals, which widen from 2010–11 financial year values onwards, illustrating that the accuracy of the predictions for each year are continuously reducing as the prediction years grow more distant from 2010–11. " title="Figure 5. GOS—AbaF donations linear model with confidence and prediction interva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Downloads\Figure 5. GOS donations.jpeg"/>
                    <pic:cNvPicPr>
                      <a:picLocks noChangeAspect="1" noChangeArrowheads="1"/>
                    </pic:cNvPicPr>
                  </pic:nvPicPr>
                  <pic:blipFill rotWithShape="1">
                    <a:blip r:embed="rId27">
                      <a:extLst>
                        <a:ext uri="{28A0092B-C50C-407E-A947-70E740481C1C}">
                          <a14:useLocalDpi xmlns:a14="http://schemas.microsoft.com/office/drawing/2010/main" val="0"/>
                        </a:ext>
                      </a:extLst>
                    </a:blip>
                    <a:srcRect/>
                    <a:stretch/>
                  </pic:blipFill>
                  <pic:spPr bwMode="auto">
                    <a:xfrm>
                      <a:off x="0" y="0"/>
                      <a:ext cx="5731510" cy="3598364"/>
                    </a:xfrm>
                    <a:prstGeom prst="rect">
                      <a:avLst/>
                    </a:prstGeom>
                    <a:noFill/>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inline>
        </w:drawing>
      </w:r>
    </w:p>
    <w:p w14:paraId="4633CCF8" w14:textId="77777777" w:rsidR="00E25A11" w:rsidRPr="001E0C6D" w:rsidRDefault="00E25A11" w:rsidP="00E25A11">
      <w:r w:rsidRPr="001E0C6D">
        <w:br w:type="page"/>
      </w:r>
    </w:p>
    <w:p w14:paraId="4C4B2660" w14:textId="77777777" w:rsidR="00E25A11" w:rsidRPr="001E0C6D" w:rsidRDefault="00E25A11" w:rsidP="009310B1">
      <w:pPr>
        <w:pStyle w:val="Heading3"/>
      </w:pPr>
      <w:bookmarkStart w:id="74" w:name="_Toc486261309"/>
      <w:bookmarkStart w:id="75" w:name="_Toc486319730"/>
      <w:r w:rsidRPr="001E0C6D">
        <w:t>Models 4–6. Contrasting donations estimates</w:t>
      </w:r>
      <w:bookmarkEnd w:id="74"/>
      <w:bookmarkEnd w:id="75"/>
    </w:p>
    <w:p w14:paraId="7A0C1A5F" w14:textId="77777777" w:rsidR="00E25A11" w:rsidRPr="001E0C6D" w:rsidRDefault="00E25A11" w:rsidP="00E25A11">
      <w:r w:rsidRPr="001E0C6D">
        <w:t>Overall private sector donations to the arts in Australia are estimated to have grown over a period of six years, from $123.1 million in 2009-10 to between $149.9 million and $176.6 million in 2015–16.</w:t>
      </w:r>
    </w:p>
    <w:p w14:paraId="3D5CA520" w14:textId="77777777" w:rsidR="00E25A11" w:rsidRPr="001E0C6D" w:rsidRDefault="00E25A11" w:rsidP="00E25A11">
      <w:r w:rsidRPr="001E0C6D">
        <w:t xml:space="preserve">The estimates produced by the three models for the private sector donations component are outlined in </w:t>
      </w:r>
      <w:r w:rsidR="00ED08CC">
        <w:fldChar w:fldCharType="begin"/>
      </w:r>
      <w:r w:rsidR="00ED08CC">
        <w:instrText xml:space="preserve"> REF _Ref482083253  \* MERGEFORMAT </w:instrText>
      </w:r>
      <w:r w:rsidR="00ED08CC">
        <w:fldChar w:fldCharType="separate"/>
      </w:r>
      <w:r w:rsidR="00ED08CC" w:rsidRPr="001E0C6D">
        <w:t xml:space="preserve">Table </w:t>
      </w:r>
      <w:r w:rsidR="00ED08CC">
        <w:t>8</w:t>
      </w:r>
      <w:r w:rsidR="00ED08CC">
        <w:fldChar w:fldCharType="end"/>
      </w:r>
      <w:r w:rsidRPr="001E0C6D">
        <w:t>.</w:t>
      </w:r>
    </w:p>
    <w:p w14:paraId="263784C8" w14:textId="77777777" w:rsidR="00E25A11" w:rsidRPr="001E0C6D" w:rsidRDefault="00E25A11" w:rsidP="00E25A11">
      <w:r w:rsidRPr="001E0C6D">
        <w:t>While the two linear models have significant good fit and strong prediction levels, the variation in the representativeness of the data means no single estimate is comprehensive.</w:t>
      </w:r>
    </w:p>
    <w:p w14:paraId="3AEDC36D" w14:textId="77777777" w:rsidR="00E25A11" w:rsidRDefault="00E25A11" w:rsidP="009310B1">
      <w:pPr>
        <w:pStyle w:val="Tablefigureheading"/>
      </w:pPr>
      <w:bookmarkStart w:id="76" w:name="_Ref482083253"/>
      <w:bookmarkStart w:id="77" w:name="_Toc486587634"/>
      <w:r w:rsidRPr="001E0C6D">
        <w:t xml:space="preserve">Table </w:t>
      </w:r>
      <w:fldSimple w:instr=" SEQ Table \* ARABIC ">
        <w:r w:rsidR="00ED08CC">
          <w:rPr>
            <w:noProof/>
          </w:rPr>
          <w:t>8</w:t>
        </w:r>
      </w:fldSimple>
      <w:bookmarkEnd w:id="76"/>
      <w:r w:rsidRPr="001E0C6D">
        <w:t>. Summary of estimated private sector donations to the arts in Australia</w:t>
      </w:r>
      <w:bookmarkEnd w:id="77"/>
    </w:p>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CellMar>
          <w:top w:w="57" w:type="dxa"/>
          <w:bottom w:w="57" w:type="dxa"/>
        </w:tblCellMar>
        <w:tblLook w:val="04A0" w:firstRow="1" w:lastRow="0" w:firstColumn="1" w:lastColumn="0" w:noHBand="0" w:noVBand="1"/>
        <w:tblDescription w:val="Table 3. GOS data projections of AbaF estimates"/>
      </w:tblPr>
      <w:tblGrid>
        <w:gridCol w:w="1680"/>
        <w:gridCol w:w="2359"/>
        <w:gridCol w:w="2492"/>
        <w:gridCol w:w="2495"/>
      </w:tblGrid>
      <w:tr w:rsidR="009310B1" w14:paraId="0BFDBAB4" w14:textId="77777777" w:rsidTr="00BC0293">
        <w:trPr>
          <w:cantSplit/>
          <w:tblHeader/>
        </w:trPr>
        <w:tc>
          <w:tcPr>
            <w:tcW w:w="1680" w:type="dxa"/>
            <w:tcBorders>
              <w:top w:val="nil"/>
              <w:left w:val="nil"/>
              <w:bottom w:val="thickThinLargeGap" w:sz="24" w:space="0" w:color="auto"/>
              <w:right w:val="nil"/>
            </w:tcBorders>
            <w:shd w:val="clear" w:color="auto" w:fill="113652"/>
          </w:tcPr>
          <w:p w14:paraId="4E6EED1C" w14:textId="77777777" w:rsidR="009310B1" w:rsidRDefault="009310B1" w:rsidP="009310B1">
            <w:pPr>
              <w:pStyle w:val="Tableheading"/>
            </w:pPr>
            <w:r>
              <w:t>Financial year</w:t>
            </w:r>
          </w:p>
        </w:tc>
        <w:tc>
          <w:tcPr>
            <w:tcW w:w="2359" w:type="dxa"/>
            <w:tcBorders>
              <w:top w:val="nil"/>
              <w:left w:val="nil"/>
              <w:bottom w:val="thickThinLargeGap" w:sz="24" w:space="0" w:color="auto"/>
              <w:right w:val="nil"/>
            </w:tcBorders>
            <w:shd w:val="clear" w:color="auto" w:fill="113652"/>
          </w:tcPr>
          <w:p w14:paraId="108B3413" w14:textId="77777777" w:rsidR="005D1423" w:rsidRDefault="009310B1" w:rsidP="009310B1">
            <w:pPr>
              <w:pStyle w:val="Tableheadingcentred"/>
            </w:pPr>
            <w:r w:rsidRPr="001E0C6D">
              <w:t>Model 4:</w:t>
            </w:r>
          </w:p>
          <w:p w14:paraId="47597BC4" w14:textId="77777777" w:rsidR="005D1423" w:rsidRDefault="009310B1" w:rsidP="009310B1">
            <w:pPr>
              <w:pStyle w:val="Tableheadingcentred"/>
            </w:pPr>
            <w:proofErr w:type="spellStart"/>
            <w:r w:rsidRPr="001E0C6D">
              <w:t>AbaF</w:t>
            </w:r>
            <w:proofErr w:type="spellEnd"/>
            <w:r w:rsidRPr="001E0C6D">
              <w:t xml:space="preserve"> 6.2%</w:t>
            </w:r>
          </w:p>
          <w:p w14:paraId="4EEDF741" w14:textId="77777777" w:rsidR="009310B1" w:rsidRPr="001E0C6D" w:rsidRDefault="009310B1" w:rsidP="009310B1">
            <w:pPr>
              <w:pStyle w:val="Tableheadingcentred"/>
            </w:pPr>
            <w:r w:rsidRPr="001E0C6D">
              <w:t>($ million)</w:t>
            </w:r>
          </w:p>
        </w:tc>
        <w:tc>
          <w:tcPr>
            <w:tcW w:w="2492" w:type="dxa"/>
            <w:tcBorders>
              <w:top w:val="nil"/>
              <w:left w:val="nil"/>
              <w:bottom w:val="thickThinLargeGap" w:sz="24" w:space="0" w:color="auto"/>
              <w:right w:val="nil"/>
            </w:tcBorders>
            <w:shd w:val="clear" w:color="auto" w:fill="113652"/>
          </w:tcPr>
          <w:p w14:paraId="1A33456B" w14:textId="77777777" w:rsidR="005D1423" w:rsidRDefault="009310B1" w:rsidP="009310B1">
            <w:pPr>
              <w:pStyle w:val="Tableheadingcentred"/>
            </w:pPr>
            <w:r w:rsidRPr="001E0C6D">
              <w:t>Model 5:</w:t>
            </w:r>
          </w:p>
          <w:p w14:paraId="3BFAD451" w14:textId="77777777" w:rsidR="005D1423" w:rsidRDefault="009310B1" w:rsidP="009310B1">
            <w:pPr>
              <w:pStyle w:val="Tableheadingcentred"/>
            </w:pPr>
            <w:r w:rsidRPr="001E0C6D">
              <w:t>AMPAG donations</w:t>
            </w:r>
          </w:p>
          <w:p w14:paraId="20AFF4FB" w14:textId="77777777" w:rsidR="009310B1" w:rsidRPr="001E0C6D" w:rsidRDefault="009310B1" w:rsidP="009310B1">
            <w:pPr>
              <w:pStyle w:val="Tableheadingcentred"/>
            </w:pPr>
            <w:r w:rsidRPr="001E0C6D">
              <w:t>($ million)</w:t>
            </w:r>
          </w:p>
        </w:tc>
        <w:tc>
          <w:tcPr>
            <w:tcW w:w="2495" w:type="dxa"/>
            <w:tcBorders>
              <w:top w:val="nil"/>
              <w:left w:val="nil"/>
              <w:bottom w:val="thickThinLargeGap" w:sz="24" w:space="0" w:color="auto"/>
              <w:right w:val="nil"/>
            </w:tcBorders>
            <w:shd w:val="clear" w:color="auto" w:fill="113652"/>
          </w:tcPr>
          <w:p w14:paraId="1955F496" w14:textId="77777777" w:rsidR="005D1423" w:rsidRDefault="009310B1" w:rsidP="009310B1">
            <w:pPr>
              <w:pStyle w:val="Tableheadingcentred"/>
            </w:pPr>
            <w:r w:rsidRPr="001E0C6D">
              <w:t>Model 6:</w:t>
            </w:r>
          </w:p>
          <w:p w14:paraId="1194E933" w14:textId="77777777" w:rsidR="009310B1" w:rsidRPr="001E0C6D" w:rsidRDefault="009310B1" w:rsidP="009310B1">
            <w:pPr>
              <w:pStyle w:val="Tableheadingcentred"/>
            </w:pPr>
            <w:r w:rsidRPr="001E0C6D">
              <w:t>GOS</w:t>
            </w:r>
          </w:p>
          <w:p w14:paraId="18C300AD" w14:textId="77777777" w:rsidR="009310B1" w:rsidRPr="001E0C6D" w:rsidRDefault="009310B1" w:rsidP="009310B1">
            <w:pPr>
              <w:pStyle w:val="Tableheadingcentred"/>
            </w:pPr>
            <w:r w:rsidRPr="001E0C6D">
              <w:t>($ million)</w:t>
            </w:r>
          </w:p>
        </w:tc>
      </w:tr>
      <w:tr w:rsidR="009310B1" w14:paraId="50EC54E9" w14:textId="77777777" w:rsidTr="009310B1">
        <w:trPr>
          <w:cantSplit/>
        </w:trPr>
        <w:tc>
          <w:tcPr>
            <w:tcW w:w="1680" w:type="dxa"/>
            <w:tcBorders>
              <w:top w:val="thickThinLargeGap" w:sz="24" w:space="0" w:color="auto"/>
              <w:left w:val="nil"/>
              <w:bottom w:val="single" w:sz="4" w:space="0" w:color="auto"/>
              <w:right w:val="nil"/>
            </w:tcBorders>
          </w:tcPr>
          <w:p w14:paraId="1FF0344E" w14:textId="77777777" w:rsidR="009310B1" w:rsidRPr="001E0C6D" w:rsidRDefault="009310B1" w:rsidP="009310B1">
            <w:pPr>
              <w:pStyle w:val="Tabletext"/>
            </w:pPr>
            <w:r w:rsidRPr="001E0C6D">
              <w:t>2010–11</w:t>
            </w:r>
          </w:p>
        </w:tc>
        <w:tc>
          <w:tcPr>
            <w:tcW w:w="2359" w:type="dxa"/>
            <w:tcBorders>
              <w:top w:val="thickThinLargeGap" w:sz="24" w:space="0" w:color="auto"/>
              <w:left w:val="nil"/>
              <w:bottom w:val="single" w:sz="4" w:space="0" w:color="auto"/>
              <w:right w:val="nil"/>
            </w:tcBorders>
            <w:vAlign w:val="bottom"/>
          </w:tcPr>
          <w:p w14:paraId="5D134E8E" w14:textId="77777777" w:rsidR="009310B1" w:rsidRPr="001E0C6D" w:rsidRDefault="009310B1" w:rsidP="009310B1">
            <w:pPr>
              <w:pStyle w:val="Tabletext"/>
              <w:jc w:val="center"/>
            </w:pPr>
            <w:r w:rsidRPr="001E0C6D">
              <w:t>130.7</w:t>
            </w:r>
          </w:p>
        </w:tc>
        <w:tc>
          <w:tcPr>
            <w:tcW w:w="2492" w:type="dxa"/>
            <w:tcBorders>
              <w:top w:val="thickThinLargeGap" w:sz="24" w:space="0" w:color="auto"/>
              <w:left w:val="nil"/>
              <w:bottom w:val="single" w:sz="4" w:space="0" w:color="auto"/>
              <w:right w:val="nil"/>
            </w:tcBorders>
            <w:vAlign w:val="bottom"/>
          </w:tcPr>
          <w:p w14:paraId="48B97C98" w14:textId="77777777" w:rsidR="009310B1" w:rsidRPr="001E0C6D" w:rsidRDefault="009310B1" w:rsidP="009310B1">
            <w:pPr>
              <w:pStyle w:val="Tabletext"/>
              <w:jc w:val="center"/>
            </w:pPr>
            <w:r w:rsidRPr="001E0C6D">
              <w:t>160.8</w:t>
            </w:r>
          </w:p>
        </w:tc>
        <w:tc>
          <w:tcPr>
            <w:tcW w:w="2495" w:type="dxa"/>
            <w:tcBorders>
              <w:top w:val="thickThinLargeGap" w:sz="24" w:space="0" w:color="auto"/>
              <w:left w:val="nil"/>
              <w:bottom w:val="single" w:sz="4" w:space="0" w:color="auto"/>
              <w:right w:val="nil"/>
            </w:tcBorders>
            <w:vAlign w:val="bottom"/>
          </w:tcPr>
          <w:p w14:paraId="0EEDB959" w14:textId="77777777" w:rsidR="009310B1" w:rsidRPr="001E0C6D" w:rsidRDefault="009310B1" w:rsidP="009310B1">
            <w:pPr>
              <w:pStyle w:val="Tabletext"/>
              <w:jc w:val="center"/>
            </w:pPr>
            <w:r w:rsidRPr="001E0C6D">
              <w:t>134.0</w:t>
            </w:r>
          </w:p>
        </w:tc>
      </w:tr>
      <w:tr w:rsidR="009310B1" w14:paraId="73BB380A" w14:textId="77777777" w:rsidTr="00BC0293">
        <w:trPr>
          <w:cantSplit/>
        </w:trPr>
        <w:tc>
          <w:tcPr>
            <w:tcW w:w="1680" w:type="dxa"/>
            <w:tcBorders>
              <w:top w:val="single" w:sz="4" w:space="0" w:color="auto"/>
              <w:left w:val="nil"/>
              <w:bottom w:val="single" w:sz="4" w:space="0" w:color="auto"/>
              <w:right w:val="nil"/>
            </w:tcBorders>
          </w:tcPr>
          <w:p w14:paraId="158256B9" w14:textId="77777777" w:rsidR="009310B1" w:rsidRPr="001E0C6D" w:rsidRDefault="009310B1" w:rsidP="009310B1">
            <w:pPr>
              <w:pStyle w:val="Tabletext"/>
            </w:pPr>
            <w:r w:rsidRPr="001E0C6D">
              <w:t>2011–12</w:t>
            </w:r>
          </w:p>
        </w:tc>
        <w:tc>
          <w:tcPr>
            <w:tcW w:w="2359" w:type="dxa"/>
            <w:tcBorders>
              <w:top w:val="single" w:sz="4" w:space="0" w:color="auto"/>
              <w:left w:val="nil"/>
              <w:bottom w:val="single" w:sz="4" w:space="0" w:color="auto"/>
              <w:right w:val="nil"/>
            </w:tcBorders>
            <w:vAlign w:val="bottom"/>
          </w:tcPr>
          <w:p w14:paraId="4445B626" w14:textId="77777777" w:rsidR="009310B1" w:rsidRPr="001E0C6D" w:rsidRDefault="009310B1" w:rsidP="009310B1">
            <w:pPr>
              <w:pStyle w:val="Tabletext"/>
              <w:jc w:val="center"/>
            </w:pPr>
            <w:r w:rsidRPr="001E0C6D">
              <w:t>138.8</w:t>
            </w:r>
          </w:p>
        </w:tc>
        <w:tc>
          <w:tcPr>
            <w:tcW w:w="2492" w:type="dxa"/>
            <w:tcBorders>
              <w:top w:val="single" w:sz="4" w:space="0" w:color="auto"/>
              <w:left w:val="nil"/>
              <w:bottom w:val="single" w:sz="4" w:space="0" w:color="auto"/>
              <w:right w:val="nil"/>
            </w:tcBorders>
            <w:vAlign w:val="bottom"/>
          </w:tcPr>
          <w:p w14:paraId="41699976" w14:textId="77777777" w:rsidR="009310B1" w:rsidRPr="001E0C6D" w:rsidRDefault="009310B1" w:rsidP="009310B1">
            <w:pPr>
              <w:pStyle w:val="Tabletext"/>
              <w:jc w:val="center"/>
            </w:pPr>
            <w:r w:rsidRPr="001E0C6D">
              <w:t>176.1</w:t>
            </w:r>
          </w:p>
        </w:tc>
        <w:tc>
          <w:tcPr>
            <w:tcW w:w="2495" w:type="dxa"/>
            <w:tcBorders>
              <w:top w:val="single" w:sz="4" w:space="0" w:color="auto"/>
              <w:left w:val="nil"/>
              <w:bottom w:val="single" w:sz="4" w:space="0" w:color="auto"/>
              <w:right w:val="nil"/>
            </w:tcBorders>
            <w:vAlign w:val="bottom"/>
          </w:tcPr>
          <w:p w14:paraId="0B310C8D" w14:textId="77777777" w:rsidR="009310B1" w:rsidRPr="001E0C6D" w:rsidRDefault="009310B1" w:rsidP="009310B1">
            <w:pPr>
              <w:pStyle w:val="Tabletext"/>
              <w:jc w:val="center"/>
            </w:pPr>
            <w:r w:rsidRPr="001E0C6D">
              <w:t>143.8</w:t>
            </w:r>
          </w:p>
        </w:tc>
      </w:tr>
      <w:tr w:rsidR="009310B1" w14:paraId="2B846550" w14:textId="77777777" w:rsidTr="00BC0293">
        <w:trPr>
          <w:cantSplit/>
        </w:trPr>
        <w:tc>
          <w:tcPr>
            <w:tcW w:w="1680" w:type="dxa"/>
            <w:tcBorders>
              <w:top w:val="single" w:sz="4" w:space="0" w:color="auto"/>
              <w:left w:val="nil"/>
              <w:bottom w:val="single" w:sz="4" w:space="0" w:color="auto"/>
              <w:right w:val="nil"/>
            </w:tcBorders>
          </w:tcPr>
          <w:p w14:paraId="7061C806" w14:textId="77777777" w:rsidR="009310B1" w:rsidRPr="001E0C6D" w:rsidRDefault="009310B1" w:rsidP="009310B1">
            <w:pPr>
              <w:pStyle w:val="Tabletext"/>
            </w:pPr>
            <w:r w:rsidRPr="001E0C6D">
              <w:t>2012–13</w:t>
            </w:r>
          </w:p>
        </w:tc>
        <w:tc>
          <w:tcPr>
            <w:tcW w:w="2359" w:type="dxa"/>
            <w:tcBorders>
              <w:top w:val="single" w:sz="4" w:space="0" w:color="auto"/>
              <w:left w:val="nil"/>
              <w:bottom w:val="single" w:sz="4" w:space="0" w:color="auto"/>
              <w:right w:val="nil"/>
            </w:tcBorders>
            <w:vAlign w:val="bottom"/>
          </w:tcPr>
          <w:p w14:paraId="724379B3" w14:textId="77777777" w:rsidR="009310B1" w:rsidRPr="001E0C6D" w:rsidRDefault="009310B1" w:rsidP="009310B1">
            <w:pPr>
              <w:pStyle w:val="Tabletext"/>
              <w:jc w:val="center"/>
            </w:pPr>
            <w:r w:rsidRPr="001E0C6D">
              <w:t>147.4</w:t>
            </w:r>
          </w:p>
        </w:tc>
        <w:tc>
          <w:tcPr>
            <w:tcW w:w="2492" w:type="dxa"/>
            <w:tcBorders>
              <w:top w:val="single" w:sz="4" w:space="0" w:color="auto"/>
              <w:left w:val="nil"/>
              <w:bottom w:val="single" w:sz="4" w:space="0" w:color="auto"/>
              <w:right w:val="nil"/>
            </w:tcBorders>
            <w:vAlign w:val="bottom"/>
          </w:tcPr>
          <w:p w14:paraId="21A0BB0B" w14:textId="77777777" w:rsidR="009310B1" w:rsidRPr="001E0C6D" w:rsidRDefault="009310B1" w:rsidP="009310B1">
            <w:pPr>
              <w:pStyle w:val="Tabletext"/>
              <w:jc w:val="center"/>
            </w:pPr>
            <w:r w:rsidRPr="001E0C6D">
              <w:t>186.6</w:t>
            </w:r>
          </w:p>
        </w:tc>
        <w:tc>
          <w:tcPr>
            <w:tcW w:w="2495" w:type="dxa"/>
            <w:tcBorders>
              <w:top w:val="single" w:sz="4" w:space="0" w:color="auto"/>
              <w:left w:val="nil"/>
              <w:bottom w:val="single" w:sz="4" w:space="0" w:color="auto"/>
              <w:right w:val="nil"/>
            </w:tcBorders>
            <w:vAlign w:val="bottom"/>
          </w:tcPr>
          <w:p w14:paraId="2E3467F1" w14:textId="77777777" w:rsidR="009310B1" w:rsidRPr="001E0C6D" w:rsidRDefault="009310B1" w:rsidP="009310B1">
            <w:pPr>
              <w:pStyle w:val="Tabletext"/>
              <w:jc w:val="center"/>
            </w:pPr>
            <w:r w:rsidRPr="001E0C6D">
              <w:t>144.5</w:t>
            </w:r>
          </w:p>
        </w:tc>
      </w:tr>
      <w:tr w:rsidR="009310B1" w14:paraId="2AB8ACF0" w14:textId="77777777" w:rsidTr="00BC0293">
        <w:trPr>
          <w:cantSplit/>
        </w:trPr>
        <w:tc>
          <w:tcPr>
            <w:tcW w:w="1680" w:type="dxa"/>
            <w:tcBorders>
              <w:top w:val="single" w:sz="4" w:space="0" w:color="auto"/>
              <w:left w:val="nil"/>
              <w:bottom w:val="single" w:sz="4" w:space="0" w:color="auto"/>
              <w:right w:val="nil"/>
            </w:tcBorders>
          </w:tcPr>
          <w:p w14:paraId="112F82F6" w14:textId="77777777" w:rsidR="009310B1" w:rsidRPr="001E0C6D" w:rsidRDefault="009310B1" w:rsidP="009310B1">
            <w:pPr>
              <w:pStyle w:val="Tabletext"/>
            </w:pPr>
            <w:r w:rsidRPr="001E0C6D">
              <w:t>2013–14</w:t>
            </w:r>
          </w:p>
        </w:tc>
        <w:tc>
          <w:tcPr>
            <w:tcW w:w="2359" w:type="dxa"/>
            <w:tcBorders>
              <w:top w:val="single" w:sz="4" w:space="0" w:color="auto"/>
              <w:left w:val="nil"/>
              <w:bottom w:val="single" w:sz="4" w:space="0" w:color="auto"/>
              <w:right w:val="nil"/>
            </w:tcBorders>
            <w:vAlign w:val="bottom"/>
          </w:tcPr>
          <w:p w14:paraId="66BFC320" w14:textId="77777777" w:rsidR="009310B1" w:rsidRPr="001E0C6D" w:rsidRDefault="009310B1" w:rsidP="009310B1">
            <w:pPr>
              <w:pStyle w:val="Tabletext"/>
              <w:jc w:val="center"/>
            </w:pPr>
            <w:r w:rsidRPr="001E0C6D">
              <w:t>156.6</w:t>
            </w:r>
          </w:p>
        </w:tc>
        <w:tc>
          <w:tcPr>
            <w:tcW w:w="2492" w:type="dxa"/>
            <w:tcBorders>
              <w:top w:val="single" w:sz="4" w:space="0" w:color="auto"/>
              <w:left w:val="nil"/>
              <w:bottom w:val="single" w:sz="4" w:space="0" w:color="auto"/>
              <w:right w:val="nil"/>
            </w:tcBorders>
            <w:vAlign w:val="bottom"/>
          </w:tcPr>
          <w:p w14:paraId="65AD7F76" w14:textId="77777777" w:rsidR="009310B1" w:rsidRPr="001E0C6D" w:rsidRDefault="009310B1" w:rsidP="009310B1">
            <w:pPr>
              <w:pStyle w:val="Tabletext"/>
              <w:jc w:val="center"/>
            </w:pPr>
            <w:r w:rsidRPr="001E0C6D">
              <w:t>213.2</w:t>
            </w:r>
          </w:p>
        </w:tc>
        <w:tc>
          <w:tcPr>
            <w:tcW w:w="2495" w:type="dxa"/>
            <w:tcBorders>
              <w:top w:val="single" w:sz="4" w:space="0" w:color="auto"/>
              <w:left w:val="nil"/>
              <w:bottom w:val="single" w:sz="4" w:space="0" w:color="auto"/>
              <w:right w:val="nil"/>
            </w:tcBorders>
            <w:vAlign w:val="bottom"/>
          </w:tcPr>
          <w:p w14:paraId="4BFFADBB" w14:textId="77777777" w:rsidR="009310B1" w:rsidRPr="001E0C6D" w:rsidRDefault="009310B1" w:rsidP="009310B1">
            <w:pPr>
              <w:pStyle w:val="Tabletext"/>
              <w:jc w:val="center"/>
            </w:pPr>
            <w:r w:rsidRPr="001E0C6D">
              <w:t>151.8</w:t>
            </w:r>
          </w:p>
        </w:tc>
      </w:tr>
      <w:tr w:rsidR="009310B1" w14:paraId="3F8CE0D5" w14:textId="77777777" w:rsidTr="00BC0293">
        <w:trPr>
          <w:cantSplit/>
        </w:trPr>
        <w:tc>
          <w:tcPr>
            <w:tcW w:w="1680" w:type="dxa"/>
            <w:tcBorders>
              <w:top w:val="single" w:sz="4" w:space="0" w:color="auto"/>
              <w:left w:val="nil"/>
              <w:bottom w:val="single" w:sz="4" w:space="0" w:color="auto"/>
              <w:right w:val="nil"/>
            </w:tcBorders>
          </w:tcPr>
          <w:p w14:paraId="09CF2A0A" w14:textId="77777777" w:rsidR="009310B1" w:rsidRPr="001E0C6D" w:rsidRDefault="009310B1" w:rsidP="009310B1">
            <w:pPr>
              <w:pStyle w:val="Tabletext"/>
            </w:pPr>
            <w:r w:rsidRPr="001E0C6D">
              <w:t>2014–15</w:t>
            </w:r>
          </w:p>
        </w:tc>
        <w:tc>
          <w:tcPr>
            <w:tcW w:w="2359" w:type="dxa"/>
            <w:tcBorders>
              <w:top w:val="single" w:sz="4" w:space="0" w:color="auto"/>
              <w:left w:val="nil"/>
              <w:bottom w:val="single" w:sz="4" w:space="0" w:color="auto"/>
              <w:right w:val="nil"/>
            </w:tcBorders>
            <w:vAlign w:val="bottom"/>
          </w:tcPr>
          <w:p w14:paraId="6B8C739C" w14:textId="77777777" w:rsidR="009310B1" w:rsidRPr="001E0C6D" w:rsidRDefault="009310B1" w:rsidP="009310B1">
            <w:pPr>
              <w:pStyle w:val="Tabletext"/>
              <w:jc w:val="center"/>
            </w:pPr>
            <w:r w:rsidRPr="001E0C6D">
              <w:t>166.3</w:t>
            </w:r>
          </w:p>
        </w:tc>
        <w:tc>
          <w:tcPr>
            <w:tcW w:w="2492" w:type="dxa"/>
            <w:tcBorders>
              <w:top w:val="single" w:sz="4" w:space="0" w:color="auto"/>
              <w:left w:val="nil"/>
              <w:bottom w:val="single" w:sz="4" w:space="0" w:color="auto"/>
              <w:right w:val="nil"/>
            </w:tcBorders>
            <w:vAlign w:val="bottom"/>
          </w:tcPr>
          <w:p w14:paraId="063C076F" w14:textId="77777777" w:rsidR="009310B1" w:rsidRPr="001E0C6D" w:rsidRDefault="009310B1" w:rsidP="009310B1">
            <w:pPr>
              <w:pStyle w:val="Tabletext"/>
              <w:jc w:val="center"/>
            </w:pPr>
            <w:r w:rsidRPr="001E0C6D">
              <w:t>225.3</w:t>
            </w:r>
          </w:p>
        </w:tc>
        <w:tc>
          <w:tcPr>
            <w:tcW w:w="2495" w:type="dxa"/>
            <w:tcBorders>
              <w:top w:val="single" w:sz="4" w:space="0" w:color="auto"/>
              <w:left w:val="nil"/>
              <w:bottom w:val="single" w:sz="4" w:space="0" w:color="auto"/>
              <w:right w:val="nil"/>
            </w:tcBorders>
            <w:vAlign w:val="bottom"/>
          </w:tcPr>
          <w:p w14:paraId="47F5E632" w14:textId="77777777" w:rsidR="009310B1" w:rsidRPr="001E0C6D" w:rsidRDefault="009310B1" w:rsidP="009310B1">
            <w:pPr>
              <w:pStyle w:val="Tabletext"/>
              <w:jc w:val="center"/>
            </w:pPr>
            <w:r w:rsidRPr="001E0C6D">
              <w:t>149.9</w:t>
            </w:r>
          </w:p>
        </w:tc>
      </w:tr>
      <w:tr w:rsidR="009310B1" w14:paraId="3DD39763" w14:textId="77777777" w:rsidTr="009310B1">
        <w:trPr>
          <w:cantSplit/>
        </w:trPr>
        <w:tc>
          <w:tcPr>
            <w:tcW w:w="1680" w:type="dxa"/>
            <w:tcBorders>
              <w:top w:val="single" w:sz="4" w:space="0" w:color="auto"/>
              <w:left w:val="nil"/>
              <w:bottom w:val="single" w:sz="12" w:space="0" w:color="auto"/>
              <w:right w:val="nil"/>
            </w:tcBorders>
          </w:tcPr>
          <w:p w14:paraId="1A9A2EF6" w14:textId="77777777" w:rsidR="009310B1" w:rsidRPr="001E0C6D" w:rsidRDefault="009310B1" w:rsidP="009310B1">
            <w:pPr>
              <w:pStyle w:val="Tabletext"/>
            </w:pPr>
            <w:r w:rsidRPr="001E0C6D">
              <w:t>2015–16</w:t>
            </w:r>
          </w:p>
        </w:tc>
        <w:tc>
          <w:tcPr>
            <w:tcW w:w="2359" w:type="dxa"/>
            <w:tcBorders>
              <w:top w:val="single" w:sz="4" w:space="0" w:color="auto"/>
              <w:left w:val="nil"/>
              <w:bottom w:val="single" w:sz="12" w:space="0" w:color="auto"/>
              <w:right w:val="nil"/>
            </w:tcBorders>
            <w:vAlign w:val="bottom"/>
          </w:tcPr>
          <w:p w14:paraId="28085634" w14:textId="77777777" w:rsidR="009310B1" w:rsidRPr="001E0C6D" w:rsidRDefault="009310B1" w:rsidP="009310B1">
            <w:pPr>
              <w:pStyle w:val="Tabletext"/>
              <w:jc w:val="center"/>
            </w:pPr>
            <w:r w:rsidRPr="001E0C6D">
              <w:t>176.6</w:t>
            </w:r>
          </w:p>
        </w:tc>
        <w:tc>
          <w:tcPr>
            <w:tcW w:w="2492" w:type="dxa"/>
            <w:tcBorders>
              <w:top w:val="single" w:sz="4" w:space="0" w:color="auto"/>
              <w:left w:val="nil"/>
              <w:bottom w:val="single" w:sz="12" w:space="0" w:color="auto"/>
              <w:right w:val="nil"/>
            </w:tcBorders>
          </w:tcPr>
          <w:p w14:paraId="62DFE3A1" w14:textId="77777777" w:rsidR="009310B1" w:rsidRPr="001E0C6D" w:rsidRDefault="009310B1" w:rsidP="009310B1">
            <w:pPr>
              <w:pStyle w:val="Tabletext"/>
              <w:jc w:val="center"/>
            </w:pPr>
            <w:r w:rsidRPr="001E0C6D">
              <w:t>-</w:t>
            </w:r>
          </w:p>
        </w:tc>
        <w:tc>
          <w:tcPr>
            <w:tcW w:w="2495" w:type="dxa"/>
            <w:tcBorders>
              <w:top w:val="single" w:sz="4" w:space="0" w:color="auto"/>
              <w:left w:val="nil"/>
              <w:bottom w:val="single" w:sz="12" w:space="0" w:color="auto"/>
              <w:right w:val="nil"/>
            </w:tcBorders>
            <w:vAlign w:val="bottom"/>
          </w:tcPr>
          <w:p w14:paraId="422C700E" w14:textId="77777777" w:rsidR="009310B1" w:rsidRPr="001E0C6D" w:rsidRDefault="009310B1" w:rsidP="009310B1">
            <w:pPr>
              <w:pStyle w:val="Tabletext"/>
              <w:jc w:val="center"/>
            </w:pPr>
            <w:r w:rsidRPr="001E0C6D">
              <w:t>149.9</w:t>
            </w:r>
          </w:p>
        </w:tc>
      </w:tr>
    </w:tbl>
    <w:p w14:paraId="796383AF" w14:textId="77777777" w:rsidR="009310B1" w:rsidRDefault="009310B1" w:rsidP="009310B1"/>
    <w:p w14:paraId="79BFBECA" w14:textId="77777777" w:rsidR="00E25A11" w:rsidRPr="001E0C6D" w:rsidRDefault="00ED08CC" w:rsidP="00E25A11">
      <w:r>
        <w:fldChar w:fldCharType="begin"/>
      </w:r>
      <w:r>
        <w:instrText xml:space="preserve"> REF _Ref482083313  \* MERGEFORMAT </w:instrText>
      </w:r>
      <w:r>
        <w:fldChar w:fldCharType="separate"/>
      </w:r>
      <w:r w:rsidRPr="001E0C6D">
        <w:t xml:space="preserve">Figure </w:t>
      </w:r>
      <w:r>
        <w:t>6</w:t>
      </w:r>
      <w:r>
        <w:fldChar w:fldCharType="end"/>
      </w:r>
      <w:r w:rsidR="00E25A11" w:rsidRPr="001E0C6D">
        <w:t xml:space="preserve"> shows movements of each of the three models’ predictions. The AMPAG model, which is based on donations made to Australia’s 28 major performing arts companies, had the greatest divergence.</w:t>
      </w:r>
    </w:p>
    <w:p w14:paraId="4C075314" w14:textId="77777777" w:rsidR="00E25A11" w:rsidRPr="001E0C6D" w:rsidRDefault="00E25A11" w:rsidP="009310B1">
      <w:pPr>
        <w:pStyle w:val="Figureheading"/>
      </w:pPr>
      <w:bookmarkStart w:id="78" w:name="_Ref482083313"/>
      <w:bookmarkStart w:id="79" w:name="_Toc486587622"/>
      <w:r w:rsidRPr="001E0C6D">
        <w:t xml:space="preserve">Figure </w:t>
      </w:r>
      <w:fldSimple w:instr=" SEQ Figure \* ARABIC ">
        <w:r w:rsidR="00ED08CC">
          <w:rPr>
            <w:noProof/>
          </w:rPr>
          <w:t>6</w:t>
        </w:r>
      </w:fldSimple>
      <w:bookmarkEnd w:id="78"/>
      <w:r w:rsidRPr="001E0C6D">
        <w:t>. Private sector estimated donations for arts in Australia</w:t>
      </w:r>
      <w:bookmarkEnd w:id="79"/>
    </w:p>
    <w:p w14:paraId="500AFE4E" w14:textId="77777777" w:rsidR="00E25A11" w:rsidRPr="001E0C6D" w:rsidRDefault="00E25A11" w:rsidP="00E25A11">
      <w:r w:rsidRPr="001E0C6D">
        <w:rPr>
          <w:noProof/>
          <w:lang w:eastAsia="zh-TW" w:bidi="hi-IN"/>
        </w:rPr>
        <w:drawing>
          <wp:inline distT="0" distB="0" distL="0" distR="0" wp14:anchorId="40D4339D" wp14:editId="27CCF7B0">
            <wp:extent cx="5111280" cy="3581400"/>
            <wp:effectExtent l="0" t="0" r="0" b="0"/>
            <wp:docPr id="10" name="Picture 10" descr="This is a line chart encompassing all the data points presented in all the tables that relate to the private sector arts donations, which are tables 5, 6 and 7. It provides a comparison of growth projections of private sector donations as modelled on AbaF separately with AMPAG, GOS, and a 6.2 per cent conservative growth of AbaF. The chart shows donations at around $50 million in 2001–02 for all variables, but predictions start to diverge from financial year 2009–10.  The chart shows that AMPAG predictions diverge significantly from 2009–10, growing faster than the rest and finishing at around $230 million in 2014–15. While GOS and 6.2 per cent growth start to diverge later as GOS growth predictions stall from 2013–14. GOS finishes at around $150 million in 2015–16 and 6.2 per cent AbaF growth finishes at around $180 million in 2015–16." title="Figure 6. Private sector estimated donations for arts in Austral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112930" cy="3582556"/>
                    </a:xfrm>
                    <a:prstGeom prst="rect">
                      <a:avLst/>
                    </a:prstGeom>
                    <a:noFill/>
                  </pic:spPr>
                </pic:pic>
              </a:graphicData>
            </a:graphic>
          </wp:inline>
        </w:drawing>
      </w:r>
    </w:p>
    <w:p w14:paraId="50CAE095" w14:textId="77777777" w:rsidR="00E25A11" w:rsidRPr="001E0C6D" w:rsidRDefault="009310B1" w:rsidP="005B4B7C">
      <w:pPr>
        <w:pStyle w:val="Heading2"/>
        <w:tabs>
          <w:tab w:val="clear" w:pos="2268"/>
          <w:tab w:val="left" w:pos="1701"/>
        </w:tabs>
      </w:pPr>
      <w:bookmarkStart w:id="80" w:name="_Toc486261310"/>
      <w:bookmarkStart w:id="81" w:name="_Toc486319731"/>
      <w:r w:rsidRPr="009310B1">
        <w:rPr>
          <w:color w:val="auto"/>
        </w:rPr>
        <w:t>Chapter 3.</w:t>
      </w:r>
      <w:r>
        <w:tab/>
      </w:r>
      <w:r w:rsidR="00E25A11" w:rsidRPr="001E0C6D">
        <w:t>Sponsorship estimates: results and findings</w:t>
      </w:r>
      <w:bookmarkEnd w:id="80"/>
      <w:bookmarkEnd w:id="81"/>
    </w:p>
    <w:p w14:paraId="1216A3B3" w14:textId="77777777" w:rsidR="00E25A11" w:rsidRPr="001E0C6D" w:rsidRDefault="00E25A11" w:rsidP="009310B1">
      <w:pPr>
        <w:pStyle w:val="Heading3"/>
      </w:pPr>
      <w:bookmarkStart w:id="82" w:name="_Toc468868242"/>
      <w:bookmarkStart w:id="83" w:name="_Toc486261311"/>
      <w:bookmarkStart w:id="84" w:name="_Toc486319732"/>
      <w:r w:rsidRPr="001E0C6D">
        <w:t xml:space="preserve">Model 7. </w:t>
      </w:r>
      <w:proofErr w:type="spellStart"/>
      <w:r w:rsidRPr="001E0C6D">
        <w:t>AbaF</w:t>
      </w:r>
      <w:proofErr w:type="spellEnd"/>
      <w:r w:rsidRPr="001E0C6D">
        <w:t xml:space="preserve"> sponsorship lowest positive historical growth of 1.6 per cent</w:t>
      </w:r>
      <w:bookmarkEnd w:id="82"/>
      <w:bookmarkEnd w:id="83"/>
      <w:bookmarkEnd w:id="84"/>
    </w:p>
    <w:p w14:paraId="0992CF44" w14:textId="77777777" w:rsidR="005D1423" w:rsidRDefault="00E25A11" w:rsidP="00E25A11">
      <w:r w:rsidRPr="001E0C6D">
        <w:t xml:space="preserve">Private sector sponsorship data was provided by </w:t>
      </w:r>
      <w:proofErr w:type="spellStart"/>
      <w:r w:rsidRPr="001E0C6D">
        <w:t>AbaF</w:t>
      </w:r>
      <w:proofErr w:type="spellEnd"/>
      <w:r w:rsidRPr="001E0C6D">
        <w:t xml:space="preserve"> survey-based estimates, in relation to the period covering 2001–02 and 2009–10. In that time, year-to-year growth estimates were volatile, with growth rates that ranged from -2.7 per cent (2009–10) to 19.5 per cent (2003–04). For the final two surveys, estimated growth was 1.6 and -2.7 per cent, respectively. With such variation in the growth rates, the estimates presented in Table 9 should be treated with caution.</w:t>
      </w:r>
    </w:p>
    <w:p w14:paraId="602610E2" w14:textId="77777777" w:rsidR="005D1423" w:rsidRDefault="00E25A11" w:rsidP="00E25A11">
      <w:r w:rsidRPr="001E0C6D">
        <w:t xml:space="preserve">For the purpose of obtaining a conservative projection rate, this model is based on the </w:t>
      </w:r>
      <w:proofErr w:type="spellStart"/>
      <w:r w:rsidRPr="001E0C6D">
        <w:t>AbaF</w:t>
      </w:r>
      <w:proofErr w:type="spellEnd"/>
      <w:r w:rsidRPr="001E0C6D">
        <w:t xml:space="preserve"> sponsorship lowest positive historical growth rate of 1.6 per cent, with projected figures as outlined in </w:t>
      </w:r>
      <w:r w:rsidRPr="001E0C6D">
        <w:fldChar w:fldCharType="begin"/>
      </w:r>
      <w:r w:rsidRPr="001E0C6D">
        <w:instrText xml:space="preserve"> REF _Ref468882791 \h  \* MERGEFORMAT </w:instrText>
      </w:r>
      <w:r w:rsidRPr="001E0C6D">
        <w:fldChar w:fldCharType="separate"/>
      </w:r>
      <w:r w:rsidR="00ED08CC" w:rsidRPr="001E0C6D">
        <w:t xml:space="preserve">Table </w:t>
      </w:r>
      <w:r w:rsidR="00ED08CC">
        <w:t>9</w:t>
      </w:r>
      <w:r w:rsidRPr="001E0C6D">
        <w:fldChar w:fldCharType="end"/>
      </w:r>
      <w:r w:rsidRPr="001E0C6D">
        <w:t>.</w:t>
      </w:r>
    </w:p>
    <w:p w14:paraId="2F629C3F" w14:textId="77777777" w:rsidR="00E25A11" w:rsidRDefault="00E25A11" w:rsidP="009310B1">
      <w:pPr>
        <w:pStyle w:val="Tablefigureheading"/>
      </w:pPr>
      <w:bookmarkStart w:id="85" w:name="_Ref468882791"/>
      <w:bookmarkStart w:id="86" w:name="_Toc486587635"/>
      <w:r w:rsidRPr="001E0C6D">
        <w:t xml:space="preserve">Table </w:t>
      </w:r>
      <w:fldSimple w:instr=" SEQ Table \* ARABIC ">
        <w:r w:rsidR="00ED08CC">
          <w:rPr>
            <w:noProof/>
          </w:rPr>
          <w:t>9</w:t>
        </w:r>
      </w:fldSimple>
      <w:bookmarkEnd w:id="85"/>
      <w:r w:rsidRPr="001E0C6D">
        <w:t xml:space="preserve">. </w:t>
      </w:r>
      <w:proofErr w:type="spellStart"/>
      <w:r w:rsidRPr="001E0C6D">
        <w:t>AbaF</w:t>
      </w:r>
      <w:proofErr w:type="spellEnd"/>
      <w:r w:rsidRPr="001E0C6D">
        <w:t xml:space="preserve"> sponsorship estimates with 1.6 per cent growth projection</w:t>
      </w:r>
      <w:bookmarkEnd w:id="86"/>
    </w:p>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CellMar>
          <w:top w:w="57" w:type="dxa"/>
          <w:bottom w:w="57" w:type="dxa"/>
        </w:tblCellMar>
        <w:tblLook w:val="04A0" w:firstRow="1" w:lastRow="0" w:firstColumn="1" w:lastColumn="0" w:noHBand="0" w:noVBand="1"/>
        <w:tblDescription w:val="Table 1. AbaF total support estimate with 4.0 per cent growth projection"/>
      </w:tblPr>
      <w:tblGrid>
        <w:gridCol w:w="1701"/>
        <w:gridCol w:w="3615"/>
        <w:gridCol w:w="3615"/>
      </w:tblGrid>
      <w:tr w:rsidR="005D1423" w14:paraId="075B3E74" w14:textId="77777777" w:rsidTr="00BC0293">
        <w:trPr>
          <w:cantSplit/>
          <w:tblHeader/>
        </w:trPr>
        <w:tc>
          <w:tcPr>
            <w:tcW w:w="1701" w:type="dxa"/>
            <w:tcBorders>
              <w:top w:val="nil"/>
              <w:left w:val="nil"/>
              <w:bottom w:val="thickThinLargeGap" w:sz="24" w:space="0" w:color="auto"/>
              <w:right w:val="nil"/>
            </w:tcBorders>
            <w:shd w:val="clear" w:color="auto" w:fill="113652"/>
          </w:tcPr>
          <w:p w14:paraId="7510F72C" w14:textId="77777777" w:rsidR="005D1423" w:rsidRDefault="005D1423" w:rsidP="005D1423">
            <w:pPr>
              <w:pStyle w:val="Tableheading"/>
            </w:pPr>
            <w:r>
              <w:t>Financial year</w:t>
            </w:r>
          </w:p>
        </w:tc>
        <w:tc>
          <w:tcPr>
            <w:tcW w:w="3615" w:type="dxa"/>
            <w:tcBorders>
              <w:top w:val="nil"/>
              <w:left w:val="nil"/>
              <w:bottom w:val="thickThinLargeGap" w:sz="24" w:space="0" w:color="auto"/>
              <w:right w:val="nil"/>
            </w:tcBorders>
            <w:shd w:val="clear" w:color="auto" w:fill="113652"/>
          </w:tcPr>
          <w:p w14:paraId="26E74E78" w14:textId="77777777" w:rsidR="005D1423" w:rsidRPr="001E0C6D" w:rsidRDefault="005D1423" w:rsidP="005D1423">
            <w:pPr>
              <w:pStyle w:val="Tableheadingcentred"/>
            </w:pPr>
            <w:proofErr w:type="spellStart"/>
            <w:r w:rsidRPr="001E0C6D">
              <w:t>AbaF</w:t>
            </w:r>
            <w:proofErr w:type="spellEnd"/>
            <w:r w:rsidRPr="001E0C6D">
              <w:t xml:space="preserve"> sponsorship estimates </w:t>
            </w:r>
            <w:r w:rsidRPr="001E0C6D">
              <w:br/>
              <w:t>($ million)</w:t>
            </w:r>
          </w:p>
        </w:tc>
        <w:tc>
          <w:tcPr>
            <w:tcW w:w="3615" w:type="dxa"/>
            <w:tcBorders>
              <w:top w:val="nil"/>
              <w:left w:val="nil"/>
              <w:bottom w:val="thickThinLargeGap" w:sz="24" w:space="0" w:color="auto"/>
              <w:right w:val="nil"/>
            </w:tcBorders>
            <w:shd w:val="clear" w:color="auto" w:fill="113652"/>
          </w:tcPr>
          <w:p w14:paraId="5D1CF3AE" w14:textId="77777777" w:rsidR="005B4B7C" w:rsidRDefault="005B4B7C" w:rsidP="005D1423">
            <w:pPr>
              <w:pStyle w:val="Tableheadingcentred"/>
            </w:pPr>
            <w:proofErr w:type="spellStart"/>
            <w:r>
              <w:t>AbaF</w:t>
            </w:r>
            <w:proofErr w:type="spellEnd"/>
            <w:r>
              <w:t xml:space="preserve"> 1.6</w:t>
            </w:r>
            <w:r w:rsidR="005D1423" w:rsidRPr="001E0C6D">
              <w:t xml:space="preserve">% growth projection </w:t>
            </w:r>
          </w:p>
          <w:p w14:paraId="12BA1243" w14:textId="3ABD2F8E" w:rsidR="005D1423" w:rsidRPr="001E0C6D" w:rsidRDefault="005D1423" w:rsidP="005D1423">
            <w:pPr>
              <w:pStyle w:val="Tableheadingcentred"/>
            </w:pPr>
            <w:r w:rsidRPr="001E0C6D">
              <w:t>($ million)</w:t>
            </w:r>
          </w:p>
        </w:tc>
      </w:tr>
      <w:tr w:rsidR="005D1423" w14:paraId="19D5DE34" w14:textId="77777777" w:rsidTr="00E926EA">
        <w:trPr>
          <w:cantSplit/>
        </w:trPr>
        <w:tc>
          <w:tcPr>
            <w:tcW w:w="1701" w:type="dxa"/>
            <w:tcBorders>
              <w:top w:val="thickThinLargeGap" w:sz="24" w:space="0" w:color="auto"/>
              <w:left w:val="nil"/>
              <w:bottom w:val="single" w:sz="4" w:space="0" w:color="auto"/>
              <w:right w:val="nil"/>
            </w:tcBorders>
          </w:tcPr>
          <w:p w14:paraId="52779EC3" w14:textId="77777777" w:rsidR="005D1423" w:rsidRPr="001E0C6D" w:rsidRDefault="005D1423" w:rsidP="005D1423">
            <w:pPr>
              <w:pStyle w:val="Tabletext"/>
            </w:pPr>
            <w:r w:rsidRPr="001E0C6D">
              <w:t>2001–02</w:t>
            </w:r>
          </w:p>
        </w:tc>
        <w:tc>
          <w:tcPr>
            <w:tcW w:w="3615" w:type="dxa"/>
            <w:tcBorders>
              <w:top w:val="thickThinLargeGap" w:sz="24" w:space="0" w:color="auto"/>
              <w:left w:val="nil"/>
              <w:bottom w:val="single" w:sz="4" w:space="0" w:color="auto"/>
              <w:right w:val="nil"/>
            </w:tcBorders>
            <w:vAlign w:val="bottom"/>
          </w:tcPr>
          <w:p w14:paraId="521288A3" w14:textId="77777777" w:rsidR="005D1423" w:rsidRPr="001E0C6D" w:rsidRDefault="005D1423" w:rsidP="005D1423">
            <w:pPr>
              <w:pStyle w:val="Tabletext"/>
              <w:jc w:val="center"/>
            </w:pPr>
            <w:r w:rsidRPr="001E0C6D">
              <w:t>64.5</w:t>
            </w:r>
          </w:p>
        </w:tc>
        <w:tc>
          <w:tcPr>
            <w:tcW w:w="3615" w:type="dxa"/>
            <w:tcBorders>
              <w:top w:val="thickThinLargeGap" w:sz="24" w:space="0" w:color="auto"/>
              <w:left w:val="nil"/>
              <w:bottom w:val="single" w:sz="4" w:space="0" w:color="auto"/>
              <w:right w:val="nil"/>
            </w:tcBorders>
          </w:tcPr>
          <w:p w14:paraId="2C10C157" w14:textId="77777777" w:rsidR="005D1423" w:rsidRPr="001E0C6D" w:rsidRDefault="005D1423" w:rsidP="005D1423">
            <w:pPr>
              <w:pStyle w:val="Tabletext"/>
              <w:jc w:val="center"/>
            </w:pPr>
            <w:r w:rsidRPr="001E0C6D">
              <w:t>-</w:t>
            </w:r>
          </w:p>
        </w:tc>
      </w:tr>
      <w:tr w:rsidR="005D1423" w14:paraId="74581222" w14:textId="77777777" w:rsidTr="00BC0293">
        <w:trPr>
          <w:cantSplit/>
        </w:trPr>
        <w:tc>
          <w:tcPr>
            <w:tcW w:w="1701" w:type="dxa"/>
            <w:tcBorders>
              <w:top w:val="single" w:sz="4" w:space="0" w:color="auto"/>
              <w:left w:val="nil"/>
              <w:bottom w:val="single" w:sz="4" w:space="0" w:color="auto"/>
              <w:right w:val="nil"/>
            </w:tcBorders>
          </w:tcPr>
          <w:p w14:paraId="3CBA4230" w14:textId="77777777" w:rsidR="005D1423" w:rsidRPr="001E0C6D" w:rsidRDefault="005D1423" w:rsidP="005D1423">
            <w:pPr>
              <w:pStyle w:val="Tabletext"/>
            </w:pPr>
            <w:r w:rsidRPr="001E0C6D">
              <w:t>2002–03</w:t>
            </w:r>
          </w:p>
        </w:tc>
        <w:tc>
          <w:tcPr>
            <w:tcW w:w="3615" w:type="dxa"/>
            <w:tcBorders>
              <w:top w:val="single" w:sz="4" w:space="0" w:color="auto"/>
              <w:left w:val="nil"/>
              <w:bottom w:val="single" w:sz="4" w:space="0" w:color="auto"/>
              <w:right w:val="nil"/>
            </w:tcBorders>
            <w:vAlign w:val="bottom"/>
          </w:tcPr>
          <w:p w14:paraId="508A0859" w14:textId="77777777" w:rsidR="005D1423" w:rsidRPr="001E0C6D" w:rsidRDefault="005D1423" w:rsidP="005D1423">
            <w:pPr>
              <w:pStyle w:val="Tabletext"/>
              <w:jc w:val="center"/>
            </w:pPr>
            <w:r w:rsidRPr="001E0C6D">
              <w:t>63.7</w:t>
            </w:r>
          </w:p>
        </w:tc>
        <w:tc>
          <w:tcPr>
            <w:tcW w:w="3615" w:type="dxa"/>
            <w:tcBorders>
              <w:top w:val="single" w:sz="4" w:space="0" w:color="auto"/>
              <w:left w:val="nil"/>
              <w:bottom w:val="single" w:sz="4" w:space="0" w:color="auto"/>
              <w:right w:val="nil"/>
            </w:tcBorders>
          </w:tcPr>
          <w:p w14:paraId="5A6F2129" w14:textId="77777777" w:rsidR="005D1423" w:rsidRPr="001E0C6D" w:rsidRDefault="005D1423" w:rsidP="005D1423">
            <w:pPr>
              <w:pStyle w:val="Tabletext"/>
              <w:jc w:val="center"/>
            </w:pPr>
            <w:r w:rsidRPr="001E0C6D">
              <w:t>-</w:t>
            </w:r>
          </w:p>
        </w:tc>
      </w:tr>
      <w:tr w:rsidR="005D1423" w14:paraId="24164C5A" w14:textId="77777777" w:rsidTr="00BC0293">
        <w:trPr>
          <w:cantSplit/>
        </w:trPr>
        <w:tc>
          <w:tcPr>
            <w:tcW w:w="1701" w:type="dxa"/>
            <w:tcBorders>
              <w:top w:val="single" w:sz="4" w:space="0" w:color="auto"/>
              <w:left w:val="nil"/>
              <w:bottom w:val="single" w:sz="4" w:space="0" w:color="auto"/>
              <w:right w:val="nil"/>
            </w:tcBorders>
          </w:tcPr>
          <w:p w14:paraId="71BCA64C" w14:textId="77777777" w:rsidR="005D1423" w:rsidRPr="001E0C6D" w:rsidRDefault="005D1423" w:rsidP="005D1423">
            <w:pPr>
              <w:pStyle w:val="Tabletext"/>
            </w:pPr>
            <w:r w:rsidRPr="001E0C6D">
              <w:t>2003–04</w:t>
            </w:r>
          </w:p>
        </w:tc>
        <w:tc>
          <w:tcPr>
            <w:tcW w:w="3615" w:type="dxa"/>
            <w:tcBorders>
              <w:top w:val="single" w:sz="4" w:space="0" w:color="auto"/>
              <w:left w:val="nil"/>
              <w:bottom w:val="single" w:sz="4" w:space="0" w:color="auto"/>
              <w:right w:val="nil"/>
            </w:tcBorders>
            <w:vAlign w:val="bottom"/>
          </w:tcPr>
          <w:p w14:paraId="6D44ACDD" w14:textId="77777777" w:rsidR="005D1423" w:rsidRPr="001E0C6D" w:rsidRDefault="005D1423" w:rsidP="005D1423">
            <w:pPr>
              <w:pStyle w:val="Tabletext"/>
              <w:jc w:val="center"/>
            </w:pPr>
            <w:r w:rsidRPr="001E0C6D">
              <w:t>76.1</w:t>
            </w:r>
          </w:p>
        </w:tc>
        <w:tc>
          <w:tcPr>
            <w:tcW w:w="3615" w:type="dxa"/>
            <w:tcBorders>
              <w:top w:val="single" w:sz="4" w:space="0" w:color="auto"/>
              <w:left w:val="nil"/>
              <w:bottom w:val="single" w:sz="4" w:space="0" w:color="auto"/>
              <w:right w:val="nil"/>
            </w:tcBorders>
          </w:tcPr>
          <w:p w14:paraId="7EA892D7" w14:textId="77777777" w:rsidR="005D1423" w:rsidRPr="001E0C6D" w:rsidRDefault="005D1423" w:rsidP="005D1423">
            <w:pPr>
              <w:pStyle w:val="Tabletext"/>
              <w:jc w:val="center"/>
            </w:pPr>
            <w:r w:rsidRPr="001E0C6D">
              <w:t>-</w:t>
            </w:r>
          </w:p>
        </w:tc>
      </w:tr>
      <w:tr w:rsidR="005D1423" w14:paraId="600B45D7" w14:textId="77777777" w:rsidTr="00BC0293">
        <w:trPr>
          <w:cantSplit/>
        </w:trPr>
        <w:tc>
          <w:tcPr>
            <w:tcW w:w="1701" w:type="dxa"/>
            <w:tcBorders>
              <w:top w:val="single" w:sz="4" w:space="0" w:color="auto"/>
              <w:left w:val="nil"/>
              <w:bottom w:val="single" w:sz="4" w:space="0" w:color="auto"/>
              <w:right w:val="nil"/>
            </w:tcBorders>
          </w:tcPr>
          <w:p w14:paraId="067BD11F" w14:textId="77777777" w:rsidR="005D1423" w:rsidRPr="001E0C6D" w:rsidRDefault="005D1423" w:rsidP="005D1423">
            <w:pPr>
              <w:pStyle w:val="Tabletext"/>
            </w:pPr>
            <w:r w:rsidRPr="001E0C6D">
              <w:t>2004–05</w:t>
            </w:r>
          </w:p>
        </w:tc>
        <w:tc>
          <w:tcPr>
            <w:tcW w:w="3615" w:type="dxa"/>
            <w:tcBorders>
              <w:top w:val="single" w:sz="4" w:space="0" w:color="auto"/>
              <w:left w:val="nil"/>
              <w:bottom w:val="single" w:sz="4" w:space="0" w:color="auto"/>
              <w:right w:val="nil"/>
            </w:tcBorders>
            <w:vAlign w:val="bottom"/>
          </w:tcPr>
          <w:p w14:paraId="57123D1F" w14:textId="77777777" w:rsidR="005D1423" w:rsidRPr="001E0C6D" w:rsidRDefault="005D1423" w:rsidP="005D1423">
            <w:pPr>
              <w:pStyle w:val="Tabletext"/>
              <w:jc w:val="center"/>
            </w:pPr>
            <w:r w:rsidRPr="001E0C6D">
              <w:t>75.5</w:t>
            </w:r>
          </w:p>
        </w:tc>
        <w:tc>
          <w:tcPr>
            <w:tcW w:w="3615" w:type="dxa"/>
            <w:tcBorders>
              <w:top w:val="single" w:sz="4" w:space="0" w:color="auto"/>
              <w:left w:val="nil"/>
              <w:bottom w:val="single" w:sz="4" w:space="0" w:color="auto"/>
              <w:right w:val="nil"/>
            </w:tcBorders>
          </w:tcPr>
          <w:p w14:paraId="71BFA434" w14:textId="77777777" w:rsidR="005D1423" w:rsidRPr="001E0C6D" w:rsidRDefault="005D1423" w:rsidP="005D1423">
            <w:pPr>
              <w:pStyle w:val="Tabletext"/>
              <w:jc w:val="center"/>
            </w:pPr>
            <w:r w:rsidRPr="001E0C6D">
              <w:t>-</w:t>
            </w:r>
          </w:p>
        </w:tc>
      </w:tr>
      <w:tr w:rsidR="005D1423" w14:paraId="18BCB659" w14:textId="77777777" w:rsidTr="00BC0293">
        <w:trPr>
          <w:cantSplit/>
        </w:trPr>
        <w:tc>
          <w:tcPr>
            <w:tcW w:w="1701" w:type="dxa"/>
            <w:tcBorders>
              <w:top w:val="single" w:sz="4" w:space="0" w:color="auto"/>
              <w:left w:val="nil"/>
              <w:bottom w:val="single" w:sz="4" w:space="0" w:color="auto"/>
              <w:right w:val="nil"/>
            </w:tcBorders>
          </w:tcPr>
          <w:p w14:paraId="2B833920" w14:textId="77777777" w:rsidR="005D1423" w:rsidRPr="001E0C6D" w:rsidRDefault="005D1423" w:rsidP="005D1423">
            <w:pPr>
              <w:pStyle w:val="Tabletext"/>
            </w:pPr>
            <w:r w:rsidRPr="001E0C6D">
              <w:t>2005–06</w:t>
            </w:r>
          </w:p>
        </w:tc>
        <w:tc>
          <w:tcPr>
            <w:tcW w:w="3615" w:type="dxa"/>
            <w:tcBorders>
              <w:top w:val="single" w:sz="4" w:space="0" w:color="auto"/>
              <w:left w:val="nil"/>
              <w:bottom w:val="single" w:sz="4" w:space="0" w:color="auto"/>
              <w:right w:val="nil"/>
            </w:tcBorders>
            <w:vAlign w:val="bottom"/>
          </w:tcPr>
          <w:p w14:paraId="6433494E" w14:textId="77777777" w:rsidR="005D1423" w:rsidRPr="001E0C6D" w:rsidRDefault="005D1423" w:rsidP="005D1423">
            <w:pPr>
              <w:pStyle w:val="Tabletext"/>
              <w:jc w:val="center"/>
            </w:pPr>
            <w:r w:rsidRPr="001E0C6D">
              <w:t>81.9</w:t>
            </w:r>
          </w:p>
        </w:tc>
        <w:tc>
          <w:tcPr>
            <w:tcW w:w="3615" w:type="dxa"/>
            <w:tcBorders>
              <w:top w:val="single" w:sz="4" w:space="0" w:color="auto"/>
              <w:left w:val="nil"/>
              <w:bottom w:val="single" w:sz="4" w:space="0" w:color="auto"/>
              <w:right w:val="nil"/>
            </w:tcBorders>
          </w:tcPr>
          <w:p w14:paraId="1E901685" w14:textId="77777777" w:rsidR="005D1423" w:rsidRPr="001E0C6D" w:rsidRDefault="005D1423" w:rsidP="005D1423">
            <w:pPr>
              <w:pStyle w:val="Tabletext"/>
              <w:jc w:val="center"/>
            </w:pPr>
            <w:r w:rsidRPr="001E0C6D">
              <w:t>-</w:t>
            </w:r>
          </w:p>
        </w:tc>
      </w:tr>
      <w:tr w:rsidR="005D1423" w14:paraId="689AAA7E" w14:textId="77777777" w:rsidTr="00BC0293">
        <w:trPr>
          <w:cantSplit/>
        </w:trPr>
        <w:tc>
          <w:tcPr>
            <w:tcW w:w="1701" w:type="dxa"/>
            <w:tcBorders>
              <w:top w:val="single" w:sz="4" w:space="0" w:color="auto"/>
              <w:left w:val="nil"/>
              <w:bottom w:val="single" w:sz="4" w:space="0" w:color="auto"/>
              <w:right w:val="nil"/>
            </w:tcBorders>
          </w:tcPr>
          <w:p w14:paraId="1AAC397E" w14:textId="77777777" w:rsidR="005D1423" w:rsidRPr="001E0C6D" w:rsidRDefault="005D1423" w:rsidP="005D1423">
            <w:pPr>
              <w:pStyle w:val="Tabletext"/>
            </w:pPr>
            <w:r w:rsidRPr="001E0C6D">
              <w:t>2006–07</w:t>
            </w:r>
          </w:p>
        </w:tc>
        <w:tc>
          <w:tcPr>
            <w:tcW w:w="3615" w:type="dxa"/>
            <w:tcBorders>
              <w:top w:val="single" w:sz="4" w:space="0" w:color="auto"/>
              <w:left w:val="nil"/>
              <w:bottom w:val="single" w:sz="4" w:space="0" w:color="auto"/>
              <w:right w:val="nil"/>
            </w:tcBorders>
            <w:vAlign w:val="bottom"/>
          </w:tcPr>
          <w:p w14:paraId="5C266359" w14:textId="77777777" w:rsidR="005D1423" w:rsidRPr="001E0C6D" w:rsidRDefault="005D1423" w:rsidP="005D1423">
            <w:pPr>
              <w:pStyle w:val="Tabletext"/>
              <w:jc w:val="center"/>
            </w:pPr>
            <w:r w:rsidRPr="001E0C6D">
              <w:t>92.1</w:t>
            </w:r>
          </w:p>
        </w:tc>
        <w:tc>
          <w:tcPr>
            <w:tcW w:w="3615" w:type="dxa"/>
            <w:tcBorders>
              <w:top w:val="single" w:sz="4" w:space="0" w:color="auto"/>
              <w:left w:val="nil"/>
              <w:bottom w:val="single" w:sz="4" w:space="0" w:color="auto"/>
              <w:right w:val="nil"/>
            </w:tcBorders>
          </w:tcPr>
          <w:p w14:paraId="47BE3F99" w14:textId="77777777" w:rsidR="005D1423" w:rsidRPr="001E0C6D" w:rsidRDefault="005D1423" w:rsidP="005D1423">
            <w:pPr>
              <w:pStyle w:val="Tabletext"/>
              <w:jc w:val="center"/>
            </w:pPr>
            <w:r w:rsidRPr="001E0C6D">
              <w:t>-</w:t>
            </w:r>
          </w:p>
        </w:tc>
      </w:tr>
      <w:tr w:rsidR="005D1423" w14:paraId="6B4BBC3D" w14:textId="77777777" w:rsidTr="00BC0293">
        <w:trPr>
          <w:cantSplit/>
        </w:trPr>
        <w:tc>
          <w:tcPr>
            <w:tcW w:w="1701" w:type="dxa"/>
            <w:tcBorders>
              <w:top w:val="single" w:sz="4" w:space="0" w:color="auto"/>
              <w:left w:val="nil"/>
              <w:bottom w:val="single" w:sz="4" w:space="0" w:color="auto"/>
              <w:right w:val="nil"/>
            </w:tcBorders>
          </w:tcPr>
          <w:p w14:paraId="108BA2C8" w14:textId="77777777" w:rsidR="005D1423" w:rsidRPr="001E0C6D" w:rsidRDefault="005D1423" w:rsidP="005D1423">
            <w:pPr>
              <w:pStyle w:val="Tabletext"/>
            </w:pPr>
            <w:r w:rsidRPr="001E0C6D">
              <w:t>2007–08</w:t>
            </w:r>
          </w:p>
        </w:tc>
        <w:tc>
          <w:tcPr>
            <w:tcW w:w="3615" w:type="dxa"/>
            <w:tcBorders>
              <w:top w:val="single" w:sz="4" w:space="0" w:color="auto"/>
              <w:left w:val="nil"/>
              <w:bottom w:val="single" w:sz="4" w:space="0" w:color="auto"/>
              <w:right w:val="nil"/>
            </w:tcBorders>
            <w:vAlign w:val="bottom"/>
          </w:tcPr>
          <w:p w14:paraId="57F0818F" w14:textId="77777777" w:rsidR="005D1423" w:rsidRPr="001E0C6D" w:rsidRDefault="005D1423" w:rsidP="005D1423">
            <w:pPr>
              <w:pStyle w:val="Tabletext"/>
              <w:jc w:val="center"/>
            </w:pPr>
            <w:r w:rsidRPr="001E0C6D">
              <w:t>99.1</w:t>
            </w:r>
          </w:p>
        </w:tc>
        <w:tc>
          <w:tcPr>
            <w:tcW w:w="3615" w:type="dxa"/>
            <w:tcBorders>
              <w:top w:val="single" w:sz="4" w:space="0" w:color="auto"/>
              <w:left w:val="nil"/>
              <w:bottom w:val="single" w:sz="4" w:space="0" w:color="auto"/>
              <w:right w:val="nil"/>
            </w:tcBorders>
          </w:tcPr>
          <w:p w14:paraId="40A73FEA" w14:textId="77777777" w:rsidR="005D1423" w:rsidRPr="001E0C6D" w:rsidRDefault="005D1423" w:rsidP="005D1423">
            <w:pPr>
              <w:pStyle w:val="Tabletext"/>
              <w:jc w:val="center"/>
            </w:pPr>
            <w:r w:rsidRPr="001E0C6D">
              <w:t>-</w:t>
            </w:r>
          </w:p>
        </w:tc>
      </w:tr>
      <w:tr w:rsidR="005D1423" w14:paraId="114A620A" w14:textId="77777777" w:rsidTr="00BC0293">
        <w:trPr>
          <w:cantSplit/>
        </w:trPr>
        <w:tc>
          <w:tcPr>
            <w:tcW w:w="1701" w:type="dxa"/>
            <w:tcBorders>
              <w:top w:val="single" w:sz="4" w:space="0" w:color="auto"/>
              <w:left w:val="nil"/>
              <w:bottom w:val="single" w:sz="4" w:space="0" w:color="auto"/>
              <w:right w:val="nil"/>
            </w:tcBorders>
          </w:tcPr>
          <w:p w14:paraId="53814DE5" w14:textId="77777777" w:rsidR="005D1423" w:rsidRPr="001E0C6D" w:rsidRDefault="005D1423" w:rsidP="005D1423">
            <w:pPr>
              <w:pStyle w:val="Tabletext"/>
            </w:pPr>
            <w:r w:rsidRPr="001E0C6D">
              <w:t>2008–09</w:t>
            </w:r>
          </w:p>
        </w:tc>
        <w:tc>
          <w:tcPr>
            <w:tcW w:w="3615" w:type="dxa"/>
            <w:tcBorders>
              <w:top w:val="single" w:sz="4" w:space="0" w:color="auto"/>
              <w:left w:val="nil"/>
              <w:bottom w:val="single" w:sz="4" w:space="0" w:color="auto"/>
              <w:right w:val="nil"/>
            </w:tcBorders>
            <w:vAlign w:val="bottom"/>
          </w:tcPr>
          <w:p w14:paraId="22962D06" w14:textId="77777777" w:rsidR="005D1423" w:rsidRPr="001E0C6D" w:rsidRDefault="005D1423" w:rsidP="005D1423">
            <w:pPr>
              <w:pStyle w:val="Tabletext"/>
              <w:jc w:val="center"/>
            </w:pPr>
            <w:r w:rsidRPr="001E0C6D">
              <w:t>100.7</w:t>
            </w:r>
          </w:p>
        </w:tc>
        <w:tc>
          <w:tcPr>
            <w:tcW w:w="3615" w:type="dxa"/>
            <w:tcBorders>
              <w:top w:val="single" w:sz="4" w:space="0" w:color="auto"/>
              <w:left w:val="nil"/>
              <w:bottom w:val="single" w:sz="4" w:space="0" w:color="auto"/>
              <w:right w:val="nil"/>
            </w:tcBorders>
          </w:tcPr>
          <w:p w14:paraId="764A090E" w14:textId="77777777" w:rsidR="005D1423" w:rsidRPr="001E0C6D" w:rsidRDefault="005D1423" w:rsidP="005D1423">
            <w:pPr>
              <w:pStyle w:val="Tabletext"/>
              <w:jc w:val="center"/>
            </w:pPr>
            <w:r w:rsidRPr="001E0C6D">
              <w:t>-</w:t>
            </w:r>
          </w:p>
        </w:tc>
      </w:tr>
      <w:tr w:rsidR="005D1423" w14:paraId="56F16FC3" w14:textId="77777777" w:rsidTr="00BC0293">
        <w:trPr>
          <w:cantSplit/>
        </w:trPr>
        <w:tc>
          <w:tcPr>
            <w:tcW w:w="1701" w:type="dxa"/>
            <w:tcBorders>
              <w:top w:val="single" w:sz="4" w:space="0" w:color="auto"/>
              <w:left w:val="nil"/>
              <w:bottom w:val="single" w:sz="4" w:space="0" w:color="auto"/>
              <w:right w:val="nil"/>
            </w:tcBorders>
          </w:tcPr>
          <w:p w14:paraId="6D9FC829" w14:textId="77777777" w:rsidR="005D1423" w:rsidRPr="001E0C6D" w:rsidRDefault="005D1423" w:rsidP="005D1423">
            <w:pPr>
              <w:pStyle w:val="Tabletext"/>
            </w:pPr>
            <w:r w:rsidRPr="001E0C6D">
              <w:t>2009–10</w:t>
            </w:r>
          </w:p>
        </w:tc>
        <w:tc>
          <w:tcPr>
            <w:tcW w:w="3615" w:type="dxa"/>
            <w:tcBorders>
              <w:top w:val="single" w:sz="4" w:space="0" w:color="auto"/>
              <w:left w:val="nil"/>
              <w:bottom w:val="single" w:sz="4" w:space="0" w:color="auto"/>
              <w:right w:val="nil"/>
            </w:tcBorders>
            <w:vAlign w:val="bottom"/>
          </w:tcPr>
          <w:p w14:paraId="25CEC562" w14:textId="77777777" w:rsidR="005D1423" w:rsidRPr="001E0C6D" w:rsidRDefault="005D1423" w:rsidP="005D1423">
            <w:pPr>
              <w:pStyle w:val="Tabletext"/>
              <w:jc w:val="center"/>
            </w:pPr>
            <w:r w:rsidRPr="001E0C6D">
              <w:t>98.0</w:t>
            </w:r>
          </w:p>
        </w:tc>
        <w:tc>
          <w:tcPr>
            <w:tcW w:w="3615" w:type="dxa"/>
            <w:tcBorders>
              <w:top w:val="single" w:sz="4" w:space="0" w:color="auto"/>
              <w:left w:val="nil"/>
              <w:bottom w:val="single" w:sz="4" w:space="0" w:color="auto"/>
              <w:right w:val="nil"/>
            </w:tcBorders>
          </w:tcPr>
          <w:p w14:paraId="0876F714" w14:textId="77777777" w:rsidR="005D1423" w:rsidRPr="001E0C6D" w:rsidRDefault="005D1423" w:rsidP="005D1423">
            <w:pPr>
              <w:pStyle w:val="Tabletext"/>
              <w:jc w:val="center"/>
            </w:pPr>
            <w:r w:rsidRPr="001E0C6D">
              <w:t>-</w:t>
            </w:r>
          </w:p>
        </w:tc>
      </w:tr>
      <w:tr w:rsidR="005D1423" w14:paraId="584D0FC7" w14:textId="77777777" w:rsidTr="00BC0293">
        <w:trPr>
          <w:cantSplit/>
        </w:trPr>
        <w:tc>
          <w:tcPr>
            <w:tcW w:w="1701" w:type="dxa"/>
            <w:tcBorders>
              <w:top w:val="single" w:sz="4" w:space="0" w:color="auto"/>
              <w:left w:val="nil"/>
              <w:bottom w:val="single" w:sz="4" w:space="0" w:color="auto"/>
              <w:right w:val="nil"/>
            </w:tcBorders>
          </w:tcPr>
          <w:p w14:paraId="07598035" w14:textId="77777777" w:rsidR="005D1423" w:rsidRPr="001E0C6D" w:rsidRDefault="005D1423" w:rsidP="005D1423">
            <w:pPr>
              <w:pStyle w:val="Tabletext"/>
            </w:pPr>
            <w:r w:rsidRPr="001E0C6D">
              <w:t>2010–11</w:t>
            </w:r>
          </w:p>
        </w:tc>
        <w:tc>
          <w:tcPr>
            <w:tcW w:w="3615" w:type="dxa"/>
            <w:tcBorders>
              <w:top w:val="single" w:sz="4" w:space="0" w:color="auto"/>
              <w:left w:val="nil"/>
              <w:bottom w:val="single" w:sz="4" w:space="0" w:color="auto"/>
              <w:right w:val="nil"/>
            </w:tcBorders>
          </w:tcPr>
          <w:p w14:paraId="0F98281B" w14:textId="77777777" w:rsidR="005D1423" w:rsidRPr="001E0C6D" w:rsidRDefault="005D1423" w:rsidP="005D1423">
            <w:pPr>
              <w:pStyle w:val="Tabletext"/>
              <w:jc w:val="center"/>
            </w:pPr>
            <w:r w:rsidRPr="001E0C6D">
              <w:t>-</w:t>
            </w:r>
          </w:p>
        </w:tc>
        <w:tc>
          <w:tcPr>
            <w:tcW w:w="3615" w:type="dxa"/>
            <w:tcBorders>
              <w:top w:val="single" w:sz="4" w:space="0" w:color="auto"/>
              <w:left w:val="nil"/>
              <w:bottom w:val="single" w:sz="4" w:space="0" w:color="auto"/>
              <w:right w:val="nil"/>
            </w:tcBorders>
            <w:vAlign w:val="bottom"/>
          </w:tcPr>
          <w:p w14:paraId="5B4745C9" w14:textId="77777777" w:rsidR="005D1423" w:rsidRPr="001E0C6D" w:rsidRDefault="005D1423" w:rsidP="005D1423">
            <w:pPr>
              <w:pStyle w:val="Tabletext"/>
              <w:jc w:val="center"/>
            </w:pPr>
            <w:r w:rsidRPr="001E0C6D">
              <w:t>99.6</w:t>
            </w:r>
          </w:p>
        </w:tc>
      </w:tr>
      <w:tr w:rsidR="005D1423" w14:paraId="0B535576" w14:textId="77777777" w:rsidTr="00BC0293">
        <w:trPr>
          <w:cantSplit/>
        </w:trPr>
        <w:tc>
          <w:tcPr>
            <w:tcW w:w="1701" w:type="dxa"/>
            <w:tcBorders>
              <w:top w:val="single" w:sz="4" w:space="0" w:color="auto"/>
              <w:left w:val="nil"/>
              <w:bottom w:val="single" w:sz="4" w:space="0" w:color="auto"/>
              <w:right w:val="nil"/>
            </w:tcBorders>
          </w:tcPr>
          <w:p w14:paraId="1F632461" w14:textId="77777777" w:rsidR="005D1423" w:rsidRPr="001E0C6D" w:rsidRDefault="005D1423" w:rsidP="005D1423">
            <w:pPr>
              <w:pStyle w:val="Tabletext"/>
            </w:pPr>
            <w:r w:rsidRPr="001E0C6D">
              <w:t>2011–12</w:t>
            </w:r>
          </w:p>
        </w:tc>
        <w:tc>
          <w:tcPr>
            <w:tcW w:w="3615" w:type="dxa"/>
            <w:tcBorders>
              <w:top w:val="single" w:sz="4" w:space="0" w:color="auto"/>
              <w:left w:val="nil"/>
              <w:bottom w:val="single" w:sz="4" w:space="0" w:color="auto"/>
              <w:right w:val="nil"/>
            </w:tcBorders>
          </w:tcPr>
          <w:p w14:paraId="397763F9" w14:textId="77777777" w:rsidR="005D1423" w:rsidRPr="001E0C6D" w:rsidRDefault="005D1423" w:rsidP="005D1423">
            <w:pPr>
              <w:pStyle w:val="Tabletext"/>
              <w:jc w:val="center"/>
            </w:pPr>
            <w:r w:rsidRPr="001E0C6D">
              <w:t>-</w:t>
            </w:r>
          </w:p>
        </w:tc>
        <w:tc>
          <w:tcPr>
            <w:tcW w:w="3615" w:type="dxa"/>
            <w:tcBorders>
              <w:top w:val="single" w:sz="4" w:space="0" w:color="auto"/>
              <w:left w:val="nil"/>
              <w:bottom w:val="single" w:sz="4" w:space="0" w:color="auto"/>
              <w:right w:val="nil"/>
            </w:tcBorders>
            <w:vAlign w:val="bottom"/>
          </w:tcPr>
          <w:p w14:paraId="34430CEB" w14:textId="77777777" w:rsidR="005D1423" w:rsidRPr="001E0C6D" w:rsidRDefault="005D1423" w:rsidP="005D1423">
            <w:pPr>
              <w:pStyle w:val="Tabletext"/>
              <w:jc w:val="center"/>
            </w:pPr>
            <w:r w:rsidRPr="001E0C6D">
              <w:t>101.2</w:t>
            </w:r>
          </w:p>
        </w:tc>
      </w:tr>
      <w:tr w:rsidR="005D1423" w14:paraId="0CF681D1" w14:textId="77777777" w:rsidTr="00BC0293">
        <w:trPr>
          <w:cantSplit/>
        </w:trPr>
        <w:tc>
          <w:tcPr>
            <w:tcW w:w="1701" w:type="dxa"/>
            <w:tcBorders>
              <w:top w:val="single" w:sz="4" w:space="0" w:color="auto"/>
              <w:left w:val="nil"/>
              <w:bottom w:val="single" w:sz="4" w:space="0" w:color="auto"/>
              <w:right w:val="nil"/>
            </w:tcBorders>
          </w:tcPr>
          <w:p w14:paraId="17024B4A" w14:textId="77777777" w:rsidR="005D1423" w:rsidRPr="001E0C6D" w:rsidRDefault="005D1423" w:rsidP="005D1423">
            <w:pPr>
              <w:pStyle w:val="Tabletext"/>
            </w:pPr>
            <w:r w:rsidRPr="001E0C6D">
              <w:t>2012–13</w:t>
            </w:r>
          </w:p>
        </w:tc>
        <w:tc>
          <w:tcPr>
            <w:tcW w:w="3615" w:type="dxa"/>
            <w:tcBorders>
              <w:top w:val="single" w:sz="4" w:space="0" w:color="auto"/>
              <w:left w:val="nil"/>
              <w:bottom w:val="single" w:sz="4" w:space="0" w:color="auto"/>
              <w:right w:val="nil"/>
            </w:tcBorders>
          </w:tcPr>
          <w:p w14:paraId="4E0F0AEE" w14:textId="77777777" w:rsidR="005D1423" w:rsidRPr="001E0C6D" w:rsidRDefault="005D1423" w:rsidP="005D1423">
            <w:pPr>
              <w:pStyle w:val="Tabletext"/>
              <w:jc w:val="center"/>
            </w:pPr>
            <w:r w:rsidRPr="001E0C6D">
              <w:t>-</w:t>
            </w:r>
          </w:p>
        </w:tc>
        <w:tc>
          <w:tcPr>
            <w:tcW w:w="3615" w:type="dxa"/>
            <w:tcBorders>
              <w:top w:val="single" w:sz="4" w:space="0" w:color="auto"/>
              <w:left w:val="nil"/>
              <w:bottom w:val="single" w:sz="4" w:space="0" w:color="auto"/>
              <w:right w:val="nil"/>
            </w:tcBorders>
            <w:vAlign w:val="bottom"/>
          </w:tcPr>
          <w:p w14:paraId="32233D61" w14:textId="77777777" w:rsidR="005D1423" w:rsidRPr="001E0C6D" w:rsidRDefault="005D1423" w:rsidP="005D1423">
            <w:pPr>
              <w:pStyle w:val="Tabletext"/>
              <w:jc w:val="center"/>
            </w:pPr>
            <w:r w:rsidRPr="001E0C6D">
              <w:t>102.8</w:t>
            </w:r>
          </w:p>
        </w:tc>
      </w:tr>
      <w:tr w:rsidR="005D1423" w14:paraId="4865758C" w14:textId="77777777" w:rsidTr="00BC0293">
        <w:trPr>
          <w:cantSplit/>
        </w:trPr>
        <w:tc>
          <w:tcPr>
            <w:tcW w:w="1701" w:type="dxa"/>
            <w:tcBorders>
              <w:top w:val="single" w:sz="4" w:space="0" w:color="auto"/>
              <w:left w:val="nil"/>
              <w:bottom w:val="single" w:sz="4" w:space="0" w:color="auto"/>
              <w:right w:val="nil"/>
            </w:tcBorders>
          </w:tcPr>
          <w:p w14:paraId="67DEDEA7" w14:textId="77777777" w:rsidR="005D1423" w:rsidRPr="001E0C6D" w:rsidRDefault="005D1423" w:rsidP="005D1423">
            <w:pPr>
              <w:pStyle w:val="Tabletext"/>
            </w:pPr>
            <w:r w:rsidRPr="001E0C6D">
              <w:t>2013–14</w:t>
            </w:r>
          </w:p>
        </w:tc>
        <w:tc>
          <w:tcPr>
            <w:tcW w:w="3615" w:type="dxa"/>
            <w:tcBorders>
              <w:top w:val="single" w:sz="4" w:space="0" w:color="auto"/>
              <w:left w:val="nil"/>
              <w:bottom w:val="single" w:sz="4" w:space="0" w:color="auto"/>
              <w:right w:val="nil"/>
            </w:tcBorders>
          </w:tcPr>
          <w:p w14:paraId="6C10A18E" w14:textId="77777777" w:rsidR="005D1423" w:rsidRPr="001E0C6D" w:rsidRDefault="005D1423" w:rsidP="005D1423">
            <w:pPr>
              <w:pStyle w:val="Tabletext"/>
              <w:jc w:val="center"/>
            </w:pPr>
            <w:r w:rsidRPr="001E0C6D">
              <w:t>-</w:t>
            </w:r>
          </w:p>
        </w:tc>
        <w:tc>
          <w:tcPr>
            <w:tcW w:w="3615" w:type="dxa"/>
            <w:tcBorders>
              <w:top w:val="single" w:sz="4" w:space="0" w:color="auto"/>
              <w:left w:val="nil"/>
              <w:bottom w:val="single" w:sz="4" w:space="0" w:color="auto"/>
              <w:right w:val="nil"/>
            </w:tcBorders>
            <w:vAlign w:val="bottom"/>
          </w:tcPr>
          <w:p w14:paraId="5512AC36" w14:textId="77777777" w:rsidR="005D1423" w:rsidRPr="001E0C6D" w:rsidRDefault="005D1423" w:rsidP="005D1423">
            <w:pPr>
              <w:pStyle w:val="Tabletext"/>
              <w:jc w:val="center"/>
            </w:pPr>
            <w:r w:rsidRPr="001E0C6D">
              <w:t>104.4</w:t>
            </w:r>
          </w:p>
        </w:tc>
      </w:tr>
      <w:tr w:rsidR="005D1423" w14:paraId="372A79F1" w14:textId="77777777" w:rsidTr="00BC0293">
        <w:trPr>
          <w:cantSplit/>
        </w:trPr>
        <w:tc>
          <w:tcPr>
            <w:tcW w:w="1701" w:type="dxa"/>
            <w:tcBorders>
              <w:top w:val="single" w:sz="4" w:space="0" w:color="auto"/>
              <w:left w:val="nil"/>
              <w:bottom w:val="single" w:sz="4" w:space="0" w:color="auto"/>
              <w:right w:val="nil"/>
            </w:tcBorders>
          </w:tcPr>
          <w:p w14:paraId="775B6535" w14:textId="77777777" w:rsidR="005D1423" w:rsidRPr="001E0C6D" w:rsidRDefault="005D1423" w:rsidP="005D1423">
            <w:pPr>
              <w:pStyle w:val="Tabletext"/>
            </w:pPr>
            <w:r w:rsidRPr="001E0C6D">
              <w:t>2014–15</w:t>
            </w:r>
          </w:p>
        </w:tc>
        <w:tc>
          <w:tcPr>
            <w:tcW w:w="3615" w:type="dxa"/>
            <w:tcBorders>
              <w:top w:val="single" w:sz="4" w:space="0" w:color="auto"/>
              <w:left w:val="nil"/>
              <w:bottom w:val="single" w:sz="4" w:space="0" w:color="auto"/>
              <w:right w:val="nil"/>
            </w:tcBorders>
          </w:tcPr>
          <w:p w14:paraId="08468AEF" w14:textId="77777777" w:rsidR="005D1423" w:rsidRPr="001E0C6D" w:rsidRDefault="005D1423" w:rsidP="005D1423">
            <w:pPr>
              <w:pStyle w:val="Tabletext"/>
              <w:jc w:val="center"/>
            </w:pPr>
            <w:r w:rsidRPr="001E0C6D">
              <w:t>-</w:t>
            </w:r>
          </w:p>
        </w:tc>
        <w:tc>
          <w:tcPr>
            <w:tcW w:w="3615" w:type="dxa"/>
            <w:tcBorders>
              <w:top w:val="single" w:sz="4" w:space="0" w:color="auto"/>
              <w:left w:val="nil"/>
              <w:bottom w:val="single" w:sz="4" w:space="0" w:color="auto"/>
              <w:right w:val="nil"/>
            </w:tcBorders>
            <w:vAlign w:val="bottom"/>
          </w:tcPr>
          <w:p w14:paraId="154C9CDD" w14:textId="77777777" w:rsidR="005D1423" w:rsidRPr="001E0C6D" w:rsidRDefault="005D1423" w:rsidP="005D1423">
            <w:pPr>
              <w:pStyle w:val="Tabletext"/>
              <w:jc w:val="center"/>
            </w:pPr>
            <w:r w:rsidRPr="001E0C6D">
              <w:t>106.1</w:t>
            </w:r>
          </w:p>
        </w:tc>
      </w:tr>
      <w:tr w:rsidR="005D1423" w14:paraId="527947D2" w14:textId="77777777" w:rsidTr="00E926EA">
        <w:trPr>
          <w:cantSplit/>
        </w:trPr>
        <w:tc>
          <w:tcPr>
            <w:tcW w:w="1701" w:type="dxa"/>
            <w:tcBorders>
              <w:top w:val="single" w:sz="4" w:space="0" w:color="auto"/>
              <w:left w:val="nil"/>
              <w:bottom w:val="single" w:sz="12" w:space="0" w:color="auto"/>
              <w:right w:val="nil"/>
            </w:tcBorders>
          </w:tcPr>
          <w:p w14:paraId="7394DA1B" w14:textId="77777777" w:rsidR="005D1423" w:rsidRPr="001E0C6D" w:rsidRDefault="005D1423" w:rsidP="005D1423">
            <w:pPr>
              <w:pStyle w:val="Tabletext"/>
            </w:pPr>
            <w:r w:rsidRPr="001E0C6D">
              <w:t>2015–16</w:t>
            </w:r>
          </w:p>
        </w:tc>
        <w:tc>
          <w:tcPr>
            <w:tcW w:w="3615" w:type="dxa"/>
            <w:tcBorders>
              <w:top w:val="single" w:sz="4" w:space="0" w:color="auto"/>
              <w:left w:val="nil"/>
              <w:bottom w:val="single" w:sz="12" w:space="0" w:color="auto"/>
              <w:right w:val="nil"/>
            </w:tcBorders>
          </w:tcPr>
          <w:p w14:paraId="3080298F" w14:textId="77777777" w:rsidR="005D1423" w:rsidRPr="001E0C6D" w:rsidRDefault="005D1423" w:rsidP="005D1423">
            <w:pPr>
              <w:pStyle w:val="Tabletext"/>
              <w:jc w:val="center"/>
            </w:pPr>
            <w:r w:rsidRPr="001E0C6D">
              <w:t>-</w:t>
            </w:r>
          </w:p>
        </w:tc>
        <w:tc>
          <w:tcPr>
            <w:tcW w:w="3615" w:type="dxa"/>
            <w:tcBorders>
              <w:top w:val="single" w:sz="4" w:space="0" w:color="auto"/>
              <w:left w:val="nil"/>
              <w:bottom w:val="single" w:sz="12" w:space="0" w:color="auto"/>
              <w:right w:val="nil"/>
            </w:tcBorders>
            <w:vAlign w:val="bottom"/>
          </w:tcPr>
          <w:p w14:paraId="3FC70E38" w14:textId="77777777" w:rsidR="005D1423" w:rsidRPr="001E0C6D" w:rsidRDefault="005D1423" w:rsidP="005D1423">
            <w:pPr>
              <w:pStyle w:val="Tabletext"/>
              <w:jc w:val="center"/>
            </w:pPr>
            <w:r w:rsidRPr="001E0C6D">
              <w:t>107.8</w:t>
            </w:r>
          </w:p>
        </w:tc>
      </w:tr>
    </w:tbl>
    <w:p w14:paraId="11C51617" w14:textId="77777777" w:rsidR="009310B1" w:rsidRDefault="009310B1" w:rsidP="009310B1"/>
    <w:p w14:paraId="34F6F384" w14:textId="77777777" w:rsidR="00BC0293" w:rsidRDefault="00BC0293">
      <w:pPr>
        <w:spacing w:after="160" w:line="259" w:lineRule="auto"/>
      </w:pPr>
      <w:bookmarkStart w:id="87" w:name="_Toc468868243"/>
      <w:bookmarkStart w:id="88" w:name="_Toc486261312"/>
      <w:r>
        <w:br w:type="page"/>
      </w:r>
    </w:p>
    <w:p w14:paraId="50ED18D1" w14:textId="71BCE3AA" w:rsidR="00E25A11" w:rsidRPr="001E0C6D" w:rsidRDefault="00E25A11" w:rsidP="005D1423">
      <w:pPr>
        <w:pStyle w:val="Heading3"/>
      </w:pPr>
      <w:bookmarkStart w:id="89" w:name="_Toc486319733"/>
      <w:r w:rsidRPr="001E0C6D">
        <w:t xml:space="preserve">Model 8. AMPAG sponsorship data projections of </w:t>
      </w:r>
      <w:proofErr w:type="spellStart"/>
      <w:r w:rsidRPr="001E0C6D">
        <w:t>AbaF</w:t>
      </w:r>
      <w:proofErr w:type="spellEnd"/>
      <w:r w:rsidRPr="001E0C6D">
        <w:t xml:space="preserve"> sponsorship estimates</w:t>
      </w:r>
      <w:bookmarkEnd w:id="87"/>
      <w:bookmarkEnd w:id="88"/>
      <w:bookmarkEnd w:id="89"/>
    </w:p>
    <w:p w14:paraId="32DDE710" w14:textId="77777777" w:rsidR="005D1423" w:rsidRDefault="00E25A11" w:rsidP="00E25A11">
      <w:r w:rsidRPr="001E0C6D">
        <w:t xml:space="preserve">AMPAG sponsorship data used as a predictor in a linear relationship model was found to be significant (p = 0.007), with medium prediction levels (R2 adjusted = 0.6277) suitable for use within the data range but poor for forward estimates (Appendix 9). This provided average sponsorship estimates as outlined in </w:t>
      </w:r>
      <w:r w:rsidRPr="001E0C6D">
        <w:fldChar w:fldCharType="begin"/>
      </w:r>
      <w:r w:rsidRPr="001E0C6D">
        <w:instrText xml:space="preserve"> REF _Ref468882828 \h  \* MERGEFORMAT </w:instrText>
      </w:r>
      <w:r w:rsidRPr="001E0C6D">
        <w:fldChar w:fldCharType="separate"/>
      </w:r>
      <w:r w:rsidR="00ED08CC" w:rsidRPr="001E0C6D">
        <w:t xml:space="preserve">Table </w:t>
      </w:r>
      <w:r w:rsidR="00ED08CC">
        <w:t>10</w:t>
      </w:r>
      <w:r w:rsidRPr="001E0C6D">
        <w:fldChar w:fldCharType="end"/>
      </w:r>
      <w:r w:rsidRPr="001E0C6D">
        <w:t>.</w:t>
      </w:r>
    </w:p>
    <w:p w14:paraId="05F62230" w14:textId="77777777" w:rsidR="00E25A11" w:rsidRDefault="00E25A11" w:rsidP="005D1423">
      <w:pPr>
        <w:pStyle w:val="Tablefigureheading"/>
      </w:pPr>
      <w:bookmarkStart w:id="90" w:name="_Ref468882828"/>
      <w:bookmarkStart w:id="91" w:name="_Toc486587636"/>
      <w:r w:rsidRPr="001E0C6D">
        <w:t xml:space="preserve">Table </w:t>
      </w:r>
      <w:fldSimple w:instr=" SEQ Table \* ARABIC ">
        <w:r w:rsidR="00ED08CC">
          <w:rPr>
            <w:noProof/>
          </w:rPr>
          <w:t>10</w:t>
        </w:r>
      </w:fldSimple>
      <w:bookmarkEnd w:id="90"/>
      <w:r w:rsidRPr="001E0C6D">
        <w:t xml:space="preserve">. AMPAG sponsorship data projections of </w:t>
      </w:r>
      <w:proofErr w:type="spellStart"/>
      <w:r w:rsidRPr="001E0C6D">
        <w:t>AbaF</w:t>
      </w:r>
      <w:proofErr w:type="spellEnd"/>
      <w:r w:rsidRPr="001E0C6D">
        <w:t xml:space="preserve"> sponsorship estimates</w:t>
      </w:r>
      <w:bookmarkEnd w:id="91"/>
    </w:p>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CellMar>
          <w:top w:w="57" w:type="dxa"/>
          <w:bottom w:w="57" w:type="dxa"/>
        </w:tblCellMar>
        <w:tblLook w:val="04A0" w:firstRow="1" w:lastRow="0" w:firstColumn="1" w:lastColumn="0" w:noHBand="0" w:noVBand="1"/>
        <w:tblDescription w:val="Table 3. GOS data projections of AbaF estimates"/>
      </w:tblPr>
      <w:tblGrid>
        <w:gridCol w:w="1680"/>
        <w:gridCol w:w="2359"/>
        <w:gridCol w:w="2492"/>
        <w:gridCol w:w="2495"/>
      </w:tblGrid>
      <w:tr w:rsidR="005D1423" w14:paraId="18F28D2F" w14:textId="77777777" w:rsidTr="00BC0293">
        <w:trPr>
          <w:cantSplit/>
          <w:tblHeader/>
        </w:trPr>
        <w:tc>
          <w:tcPr>
            <w:tcW w:w="1680" w:type="dxa"/>
            <w:tcBorders>
              <w:top w:val="nil"/>
              <w:left w:val="nil"/>
              <w:bottom w:val="thickThinLargeGap" w:sz="24" w:space="0" w:color="auto"/>
              <w:right w:val="nil"/>
            </w:tcBorders>
            <w:shd w:val="clear" w:color="auto" w:fill="113652"/>
          </w:tcPr>
          <w:p w14:paraId="4E8A48F4" w14:textId="77777777" w:rsidR="005D1423" w:rsidRDefault="005D1423" w:rsidP="005D1423">
            <w:pPr>
              <w:pStyle w:val="Tableheading"/>
            </w:pPr>
            <w:r>
              <w:t>Financial year</w:t>
            </w:r>
          </w:p>
        </w:tc>
        <w:tc>
          <w:tcPr>
            <w:tcW w:w="2359" w:type="dxa"/>
            <w:tcBorders>
              <w:top w:val="nil"/>
              <w:left w:val="nil"/>
              <w:bottom w:val="thickThinLargeGap" w:sz="24" w:space="0" w:color="auto"/>
              <w:right w:val="nil"/>
            </w:tcBorders>
            <w:shd w:val="clear" w:color="auto" w:fill="113652"/>
          </w:tcPr>
          <w:p w14:paraId="2A1D975A" w14:textId="77777777" w:rsidR="005D1423" w:rsidRPr="001E0C6D" w:rsidRDefault="005D1423" w:rsidP="005D1423">
            <w:pPr>
              <w:pStyle w:val="Tableheadingcentred"/>
            </w:pPr>
            <w:proofErr w:type="spellStart"/>
            <w:r w:rsidRPr="001E0C6D">
              <w:t>AbaF</w:t>
            </w:r>
            <w:proofErr w:type="spellEnd"/>
            <w:r w:rsidRPr="001E0C6D">
              <w:t xml:space="preserve"> sponsorship estimates ($ million)</w:t>
            </w:r>
          </w:p>
        </w:tc>
        <w:tc>
          <w:tcPr>
            <w:tcW w:w="2492" w:type="dxa"/>
            <w:tcBorders>
              <w:top w:val="nil"/>
              <w:left w:val="nil"/>
              <w:bottom w:val="thickThinLargeGap" w:sz="24" w:space="0" w:color="auto"/>
              <w:right w:val="nil"/>
            </w:tcBorders>
            <w:shd w:val="clear" w:color="auto" w:fill="113652"/>
          </w:tcPr>
          <w:p w14:paraId="00E68BAE" w14:textId="77777777" w:rsidR="005B4B7C" w:rsidRDefault="005D1423" w:rsidP="005D1423">
            <w:pPr>
              <w:pStyle w:val="Tableheadingcentred"/>
            </w:pPr>
            <w:r w:rsidRPr="001E0C6D">
              <w:t xml:space="preserve">AMPAG sponsorship </w:t>
            </w:r>
          </w:p>
          <w:p w14:paraId="4C4421F3" w14:textId="2789502E" w:rsidR="005D1423" w:rsidRPr="001E0C6D" w:rsidRDefault="005D1423" w:rsidP="005D1423">
            <w:pPr>
              <w:pStyle w:val="Tableheadingcentred"/>
            </w:pPr>
            <w:r w:rsidRPr="001E0C6D">
              <w:t>($ million)</w:t>
            </w:r>
          </w:p>
        </w:tc>
        <w:tc>
          <w:tcPr>
            <w:tcW w:w="2495" w:type="dxa"/>
            <w:tcBorders>
              <w:top w:val="nil"/>
              <w:left w:val="nil"/>
              <w:bottom w:val="thickThinLargeGap" w:sz="24" w:space="0" w:color="auto"/>
              <w:right w:val="nil"/>
            </w:tcBorders>
            <w:shd w:val="clear" w:color="auto" w:fill="113652"/>
          </w:tcPr>
          <w:p w14:paraId="6CD74157" w14:textId="77777777" w:rsidR="005D1423" w:rsidRPr="001E0C6D" w:rsidRDefault="005D1423" w:rsidP="005D1423">
            <w:pPr>
              <w:pStyle w:val="Tableheadingcentred"/>
            </w:pPr>
            <w:proofErr w:type="spellStart"/>
            <w:r w:rsidRPr="001E0C6D">
              <w:t>AbaF</w:t>
            </w:r>
            <w:proofErr w:type="spellEnd"/>
            <w:r w:rsidRPr="001E0C6D">
              <w:t xml:space="preserve">  sponsorship average projections on AMPAG sponsorship </w:t>
            </w:r>
            <w:r w:rsidRPr="001E0C6D">
              <w:br/>
              <w:t>($ million)</w:t>
            </w:r>
          </w:p>
        </w:tc>
      </w:tr>
      <w:tr w:rsidR="005D1423" w14:paraId="6635DC01" w14:textId="77777777" w:rsidTr="00C44BDF">
        <w:trPr>
          <w:cantSplit/>
        </w:trPr>
        <w:tc>
          <w:tcPr>
            <w:tcW w:w="1680" w:type="dxa"/>
            <w:tcBorders>
              <w:top w:val="thickThinLargeGap" w:sz="24" w:space="0" w:color="auto"/>
              <w:left w:val="nil"/>
              <w:bottom w:val="single" w:sz="4" w:space="0" w:color="auto"/>
              <w:right w:val="nil"/>
            </w:tcBorders>
          </w:tcPr>
          <w:p w14:paraId="2C1F112D" w14:textId="77777777" w:rsidR="005D1423" w:rsidRPr="001E0C6D" w:rsidRDefault="005D1423" w:rsidP="005D1423">
            <w:pPr>
              <w:pStyle w:val="Tabletext"/>
            </w:pPr>
            <w:r w:rsidRPr="001E0C6D">
              <w:t>2001–02</w:t>
            </w:r>
          </w:p>
        </w:tc>
        <w:tc>
          <w:tcPr>
            <w:tcW w:w="2359" w:type="dxa"/>
            <w:tcBorders>
              <w:top w:val="thickThinLargeGap" w:sz="24" w:space="0" w:color="auto"/>
              <w:left w:val="nil"/>
              <w:bottom w:val="single" w:sz="4" w:space="0" w:color="auto"/>
              <w:right w:val="nil"/>
            </w:tcBorders>
            <w:vAlign w:val="bottom"/>
          </w:tcPr>
          <w:p w14:paraId="3EE2C1AA" w14:textId="77777777" w:rsidR="005D1423" w:rsidRPr="001E0C6D" w:rsidRDefault="005D1423" w:rsidP="005D1423">
            <w:pPr>
              <w:pStyle w:val="Tabletext"/>
              <w:jc w:val="center"/>
            </w:pPr>
            <w:r w:rsidRPr="001E0C6D">
              <w:t>64.5</w:t>
            </w:r>
          </w:p>
        </w:tc>
        <w:tc>
          <w:tcPr>
            <w:tcW w:w="2492" w:type="dxa"/>
            <w:tcBorders>
              <w:top w:val="thickThinLargeGap" w:sz="24" w:space="0" w:color="auto"/>
              <w:left w:val="nil"/>
              <w:bottom w:val="single" w:sz="4" w:space="0" w:color="auto"/>
              <w:right w:val="nil"/>
            </w:tcBorders>
            <w:vAlign w:val="bottom"/>
          </w:tcPr>
          <w:p w14:paraId="1C2C7A31" w14:textId="77777777" w:rsidR="005D1423" w:rsidRPr="001E0C6D" w:rsidRDefault="005D1423" w:rsidP="005D1423">
            <w:pPr>
              <w:pStyle w:val="Tabletext"/>
              <w:jc w:val="center"/>
            </w:pPr>
            <w:r w:rsidRPr="001E0C6D">
              <w:t>21.6</w:t>
            </w:r>
          </w:p>
        </w:tc>
        <w:tc>
          <w:tcPr>
            <w:tcW w:w="2495" w:type="dxa"/>
            <w:tcBorders>
              <w:top w:val="thickThinLargeGap" w:sz="24" w:space="0" w:color="auto"/>
              <w:left w:val="nil"/>
              <w:bottom w:val="single" w:sz="4" w:space="0" w:color="auto"/>
              <w:right w:val="nil"/>
            </w:tcBorders>
          </w:tcPr>
          <w:p w14:paraId="71585EB3" w14:textId="77777777" w:rsidR="005D1423" w:rsidRPr="001E0C6D" w:rsidRDefault="005D1423" w:rsidP="005D1423">
            <w:pPr>
              <w:pStyle w:val="Tabletext"/>
              <w:jc w:val="center"/>
            </w:pPr>
            <w:r w:rsidRPr="001E0C6D">
              <w:t>-</w:t>
            </w:r>
          </w:p>
        </w:tc>
      </w:tr>
      <w:tr w:rsidR="005D1423" w14:paraId="3C4BEE7C" w14:textId="77777777" w:rsidTr="00BC0293">
        <w:trPr>
          <w:cantSplit/>
        </w:trPr>
        <w:tc>
          <w:tcPr>
            <w:tcW w:w="1680" w:type="dxa"/>
            <w:tcBorders>
              <w:top w:val="single" w:sz="4" w:space="0" w:color="auto"/>
              <w:left w:val="nil"/>
              <w:bottom w:val="single" w:sz="4" w:space="0" w:color="auto"/>
              <w:right w:val="nil"/>
            </w:tcBorders>
          </w:tcPr>
          <w:p w14:paraId="3B46109E" w14:textId="77777777" w:rsidR="005D1423" w:rsidRPr="001E0C6D" w:rsidRDefault="005D1423" w:rsidP="005D1423">
            <w:pPr>
              <w:pStyle w:val="Tabletext"/>
            </w:pPr>
            <w:r w:rsidRPr="001E0C6D">
              <w:t>2002–03</w:t>
            </w:r>
          </w:p>
        </w:tc>
        <w:tc>
          <w:tcPr>
            <w:tcW w:w="2359" w:type="dxa"/>
            <w:tcBorders>
              <w:top w:val="single" w:sz="4" w:space="0" w:color="auto"/>
              <w:left w:val="nil"/>
              <w:bottom w:val="single" w:sz="4" w:space="0" w:color="auto"/>
              <w:right w:val="nil"/>
            </w:tcBorders>
            <w:vAlign w:val="bottom"/>
          </w:tcPr>
          <w:p w14:paraId="09F859B7" w14:textId="77777777" w:rsidR="005D1423" w:rsidRPr="001E0C6D" w:rsidRDefault="005D1423" w:rsidP="005D1423">
            <w:pPr>
              <w:pStyle w:val="Tabletext"/>
              <w:jc w:val="center"/>
            </w:pPr>
            <w:r w:rsidRPr="001E0C6D">
              <w:t>63.7</w:t>
            </w:r>
          </w:p>
        </w:tc>
        <w:tc>
          <w:tcPr>
            <w:tcW w:w="2492" w:type="dxa"/>
            <w:tcBorders>
              <w:top w:val="single" w:sz="4" w:space="0" w:color="auto"/>
              <w:left w:val="nil"/>
              <w:bottom w:val="single" w:sz="4" w:space="0" w:color="auto"/>
              <w:right w:val="nil"/>
            </w:tcBorders>
            <w:vAlign w:val="bottom"/>
          </w:tcPr>
          <w:p w14:paraId="17966C91" w14:textId="77777777" w:rsidR="005D1423" w:rsidRPr="001E0C6D" w:rsidRDefault="005D1423" w:rsidP="005D1423">
            <w:pPr>
              <w:pStyle w:val="Tabletext"/>
              <w:jc w:val="center"/>
            </w:pPr>
            <w:r w:rsidRPr="001E0C6D">
              <w:t>22.8</w:t>
            </w:r>
          </w:p>
        </w:tc>
        <w:tc>
          <w:tcPr>
            <w:tcW w:w="2495" w:type="dxa"/>
            <w:tcBorders>
              <w:top w:val="single" w:sz="4" w:space="0" w:color="auto"/>
              <w:left w:val="nil"/>
              <w:bottom w:val="single" w:sz="4" w:space="0" w:color="auto"/>
              <w:right w:val="nil"/>
            </w:tcBorders>
          </w:tcPr>
          <w:p w14:paraId="00CFBB2A" w14:textId="77777777" w:rsidR="005D1423" w:rsidRPr="001E0C6D" w:rsidRDefault="005D1423" w:rsidP="005D1423">
            <w:pPr>
              <w:pStyle w:val="Tabletext"/>
              <w:jc w:val="center"/>
            </w:pPr>
            <w:r w:rsidRPr="001E0C6D">
              <w:t>-</w:t>
            </w:r>
          </w:p>
        </w:tc>
      </w:tr>
      <w:tr w:rsidR="005D1423" w14:paraId="109FA824" w14:textId="77777777" w:rsidTr="00BC0293">
        <w:trPr>
          <w:cantSplit/>
        </w:trPr>
        <w:tc>
          <w:tcPr>
            <w:tcW w:w="1680" w:type="dxa"/>
            <w:tcBorders>
              <w:top w:val="single" w:sz="4" w:space="0" w:color="auto"/>
              <w:left w:val="nil"/>
              <w:bottom w:val="single" w:sz="4" w:space="0" w:color="auto"/>
              <w:right w:val="nil"/>
            </w:tcBorders>
          </w:tcPr>
          <w:p w14:paraId="4808D5AD" w14:textId="77777777" w:rsidR="005D1423" w:rsidRPr="001E0C6D" w:rsidRDefault="005D1423" w:rsidP="005D1423">
            <w:pPr>
              <w:pStyle w:val="Tabletext"/>
            </w:pPr>
            <w:r w:rsidRPr="001E0C6D">
              <w:t>2003–04</w:t>
            </w:r>
          </w:p>
        </w:tc>
        <w:tc>
          <w:tcPr>
            <w:tcW w:w="2359" w:type="dxa"/>
            <w:tcBorders>
              <w:top w:val="single" w:sz="4" w:space="0" w:color="auto"/>
              <w:left w:val="nil"/>
              <w:bottom w:val="single" w:sz="4" w:space="0" w:color="auto"/>
              <w:right w:val="nil"/>
            </w:tcBorders>
            <w:vAlign w:val="bottom"/>
          </w:tcPr>
          <w:p w14:paraId="15FA2FDB" w14:textId="77777777" w:rsidR="005D1423" w:rsidRPr="001E0C6D" w:rsidRDefault="005D1423" w:rsidP="005D1423">
            <w:pPr>
              <w:pStyle w:val="Tabletext"/>
              <w:jc w:val="center"/>
            </w:pPr>
            <w:r w:rsidRPr="001E0C6D">
              <w:t>76.1</w:t>
            </w:r>
          </w:p>
        </w:tc>
        <w:tc>
          <w:tcPr>
            <w:tcW w:w="2492" w:type="dxa"/>
            <w:tcBorders>
              <w:top w:val="single" w:sz="4" w:space="0" w:color="auto"/>
              <w:left w:val="nil"/>
              <w:bottom w:val="single" w:sz="4" w:space="0" w:color="auto"/>
              <w:right w:val="nil"/>
            </w:tcBorders>
            <w:vAlign w:val="bottom"/>
          </w:tcPr>
          <w:p w14:paraId="3A0AAE83" w14:textId="77777777" w:rsidR="005D1423" w:rsidRPr="001E0C6D" w:rsidRDefault="005D1423" w:rsidP="005D1423">
            <w:pPr>
              <w:pStyle w:val="Tabletext"/>
              <w:jc w:val="center"/>
            </w:pPr>
            <w:r w:rsidRPr="001E0C6D">
              <w:t>24.8</w:t>
            </w:r>
          </w:p>
        </w:tc>
        <w:tc>
          <w:tcPr>
            <w:tcW w:w="2495" w:type="dxa"/>
            <w:tcBorders>
              <w:top w:val="single" w:sz="4" w:space="0" w:color="auto"/>
              <w:left w:val="nil"/>
              <w:bottom w:val="single" w:sz="4" w:space="0" w:color="auto"/>
              <w:right w:val="nil"/>
            </w:tcBorders>
          </w:tcPr>
          <w:p w14:paraId="46D5BC25" w14:textId="77777777" w:rsidR="005D1423" w:rsidRPr="001E0C6D" w:rsidRDefault="005D1423" w:rsidP="005D1423">
            <w:pPr>
              <w:pStyle w:val="Tabletext"/>
              <w:jc w:val="center"/>
            </w:pPr>
            <w:r w:rsidRPr="001E0C6D">
              <w:t>-</w:t>
            </w:r>
          </w:p>
        </w:tc>
      </w:tr>
      <w:tr w:rsidR="005D1423" w14:paraId="4D981213" w14:textId="77777777" w:rsidTr="00BC0293">
        <w:trPr>
          <w:cantSplit/>
        </w:trPr>
        <w:tc>
          <w:tcPr>
            <w:tcW w:w="1680" w:type="dxa"/>
            <w:tcBorders>
              <w:top w:val="single" w:sz="4" w:space="0" w:color="auto"/>
              <w:left w:val="nil"/>
              <w:bottom w:val="single" w:sz="4" w:space="0" w:color="auto"/>
              <w:right w:val="nil"/>
            </w:tcBorders>
          </w:tcPr>
          <w:p w14:paraId="5802389B" w14:textId="77777777" w:rsidR="005D1423" w:rsidRPr="001E0C6D" w:rsidRDefault="005D1423" w:rsidP="005D1423">
            <w:pPr>
              <w:pStyle w:val="Tabletext"/>
            </w:pPr>
            <w:r w:rsidRPr="001E0C6D">
              <w:t>2004–05</w:t>
            </w:r>
          </w:p>
        </w:tc>
        <w:tc>
          <w:tcPr>
            <w:tcW w:w="2359" w:type="dxa"/>
            <w:tcBorders>
              <w:top w:val="single" w:sz="4" w:space="0" w:color="auto"/>
              <w:left w:val="nil"/>
              <w:bottom w:val="single" w:sz="4" w:space="0" w:color="auto"/>
              <w:right w:val="nil"/>
            </w:tcBorders>
            <w:vAlign w:val="bottom"/>
          </w:tcPr>
          <w:p w14:paraId="68426FBE" w14:textId="77777777" w:rsidR="005D1423" w:rsidRPr="001E0C6D" w:rsidRDefault="005D1423" w:rsidP="005D1423">
            <w:pPr>
              <w:pStyle w:val="Tabletext"/>
              <w:jc w:val="center"/>
            </w:pPr>
            <w:r w:rsidRPr="001E0C6D">
              <w:t>75.5</w:t>
            </w:r>
          </w:p>
        </w:tc>
        <w:tc>
          <w:tcPr>
            <w:tcW w:w="2492" w:type="dxa"/>
            <w:tcBorders>
              <w:top w:val="single" w:sz="4" w:space="0" w:color="auto"/>
              <w:left w:val="nil"/>
              <w:bottom w:val="single" w:sz="4" w:space="0" w:color="auto"/>
              <w:right w:val="nil"/>
            </w:tcBorders>
            <w:vAlign w:val="bottom"/>
          </w:tcPr>
          <w:p w14:paraId="57C5B945" w14:textId="77777777" w:rsidR="005D1423" w:rsidRPr="001E0C6D" w:rsidRDefault="005D1423" w:rsidP="005D1423">
            <w:pPr>
              <w:pStyle w:val="Tabletext"/>
              <w:jc w:val="center"/>
            </w:pPr>
            <w:r w:rsidRPr="001E0C6D">
              <w:t>25.4</w:t>
            </w:r>
          </w:p>
        </w:tc>
        <w:tc>
          <w:tcPr>
            <w:tcW w:w="2495" w:type="dxa"/>
            <w:tcBorders>
              <w:top w:val="single" w:sz="4" w:space="0" w:color="auto"/>
              <w:left w:val="nil"/>
              <w:bottom w:val="single" w:sz="4" w:space="0" w:color="auto"/>
              <w:right w:val="nil"/>
            </w:tcBorders>
          </w:tcPr>
          <w:p w14:paraId="57615F76" w14:textId="77777777" w:rsidR="005D1423" w:rsidRPr="001E0C6D" w:rsidRDefault="005D1423" w:rsidP="005D1423">
            <w:pPr>
              <w:pStyle w:val="Tabletext"/>
              <w:jc w:val="center"/>
            </w:pPr>
            <w:r w:rsidRPr="001E0C6D">
              <w:t>-</w:t>
            </w:r>
          </w:p>
        </w:tc>
      </w:tr>
      <w:tr w:rsidR="005D1423" w14:paraId="4FB1EE9E" w14:textId="77777777" w:rsidTr="00BC0293">
        <w:trPr>
          <w:cantSplit/>
        </w:trPr>
        <w:tc>
          <w:tcPr>
            <w:tcW w:w="1680" w:type="dxa"/>
            <w:tcBorders>
              <w:top w:val="single" w:sz="4" w:space="0" w:color="auto"/>
              <w:left w:val="nil"/>
              <w:bottom w:val="single" w:sz="4" w:space="0" w:color="auto"/>
              <w:right w:val="nil"/>
            </w:tcBorders>
          </w:tcPr>
          <w:p w14:paraId="5DFA456E" w14:textId="77777777" w:rsidR="005D1423" w:rsidRPr="001E0C6D" w:rsidRDefault="005D1423" w:rsidP="005D1423">
            <w:pPr>
              <w:pStyle w:val="Tabletext"/>
            </w:pPr>
            <w:r w:rsidRPr="001E0C6D">
              <w:t>2005–06</w:t>
            </w:r>
          </w:p>
        </w:tc>
        <w:tc>
          <w:tcPr>
            <w:tcW w:w="2359" w:type="dxa"/>
            <w:tcBorders>
              <w:top w:val="single" w:sz="4" w:space="0" w:color="auto"/>
              <w:left w:val="nil"/>
              <w:bottom w:val="single" w:sz="4" w:space="0" w:color="auto"/>
              <w:right w:val="nil"/>
            </w:tcBorders>
            <w:vAlign w:val="bottom"/>
          </w:tcPr>
          <w:p w14:paraId="654687B1" w14:textId="77777777" w:rsidR="005D1423" w:rsidRPr="001E0C6D" w:rsidRDefault="005D1423" w:rsidP="005D1423">
            <w:pPr>
              <w:pStyle w:val="Tabletext"/>
              <w:jc w:val="center"/>
            </w:pPr>
            <w:r w:rsidRPr="001E0C6D">
              <w:t>81.9</w:t>
            </w:r>
          </w:p>
        </w:tc>
        <w:tc>
          <w:tcPr>
            <w:tcW w:w="2492" w:type="dxa"/>
            <w:tcBorders>
              <w:top w:val="single" w:sz="4" w:space="0" w:color="auto"/>
              <w:left w:val="nil"/>
              <w:bottom w:val="single" w:sz="4" w:space="0" w:color="auto"/>
              <w:right w:val="nil"/>
            </w:tcBorders>
            <w:vAlign w:val="bottom"/>
          </w:tcPr>
          <w:p w14:paraId="5DD07F5E" w14:textId="77777777" w:rsidR="005D1423" w:rsidRPr="001E0C6D" w:rsidRDefault="005D1423" w:rsidP="005D1423">
            <w:pPr>
              <w:pStyle w:val="Tabletext"/>
              <w:jc w:val="center"/>
            </w:pPr>
            <w:r w:rsidRPr="001E0C6D">
              <w:t>25.0</w:t>
            </w:r>
          </w:p>
        </w:tc>
        <w:tc>
          <w:tcPr>
            <w:tcW w:w="2495" w:type="dxa"/>
            <w:tcBorders>
              <w:top w:val="single" w:sz="4" w:space="0" w:color="auto"/>
              <w:left w:val="nil"/>
              <w:bottom w:val="single" w:sz="4" w:space="0" w:color="auto"/>
              <w:right w:val="nil"/>
            </w:tcBorders>
          </w:tcPr>
          <w:p w14:paraId="22B332D6" w14:textId="77777777" w:rsidR="005D1423" w:rsidRPr="001E0C6D" w:rsidRDefault="005D1423" w:rsidP="005D1423">
            <w:pPr>
              <w:pStyle w:val="Tabletext"/>
              <w:jc w:val="center"/>
            </w:pPr>
            <w:r w:rsidRPr="001E0C6D">
              <w:t>-</w:t>
            </w:r>
          </w:p>
        </w:tc>
      </w:tr>
      <w:tr w:rsidR="005D1423" w14:paraId="4BE7DE7D" w14:textId="77777777" w:rsidTr="00BC0293">
        <w:trPr>
          <w:cantSplit/>
        </w:trPr>
        <w:tc>
          <w:tcPr>
            <w:tcW w:w="1680" w:type="dxa"/>
            <w:tcBorders>
              <w:top w:val="single" w:sz="4" w:space="0" w:color="auto"/>
              <w:left w:val="nil"/>
              <w:bottom w:val="single" w:sz="4" w:space="0" w:color="auto"/>
              <w:right w:val="nil"/>
            </w:tcBorders>
          </w:tcPr>
          <w:p w14:paraId="781C0A0C" w14:textId="77777777" w:rsidR="005D1423" w:rsidRPr="001E0C6D" w:rsidRDefault="005D1423" w:rsidP="005D1423">
            <w:pPr>
              <w:pStyle w:val="Tabletext"/>
            </w:pPr>
            <w:r w:rsidRPr="001E0C6D">
              <w:t>2006–07</w:t>
            </w:r>
          </w:p>
        </w:tc>
        <w:tc>
          <w:tcPr>
            <w:tcW w:w="2359" w:type="dxa"/>
            <w:tcBorders>
              <w:top w:val="single" w:sz="4" w:space="0" w:color="auto"/>
              <w:left w:val="nil"/>
              <w:bottom w:val="single" w:sz="4" w:space="0" w:color="auto"/>
              <w:right w:val="nil"/>
            </w:tcBorders>
            <w:vAlign w:val="bottom"/>
          </w:tcPr>
          <w:p w14:paraId="66BA68B7" w14:textId="77777777" w:rsidR="005D1423" w:rsidRPr="001E0C6D" w:rsidRDefault="005D1423" w:rsidP="005D1423">
            <w:pPr>
              <w:pStyle w:val="Tabletext"/>
              <w:jc w:val="center"/>
            </w:pPr>
            <w:r w:rsidRPr="001E0C6D">
              <w:t>92.1</w:t>
            </w:r>
          </w:p>
        </w:tc>
        <w:tc>
          <w:tcPr>
            <w:tcW w:w="2492" w:type="dxa"/>
            <w:tcBorders>
              <w:top w:val="single" w:sz="4" w:space="0" w:color="auto"/>
              <w:left w:val="nil"/>
              <w:bottom w:val="single" w:sz="4" w:space="0" w:color="auto"/>
              <w:right w:val="nil"/>
            </w:tcBorders>
            <w:vAlign w:val="bottom"/>
          </w:tcPr>
          <w:p w14:paraId="18502626" w14:textId="77777777" w:rsidR="005D1423" w:rsidRPr="001E0C6D" w:rsidRDefault="005D1423" w:rsidP="005D1423">
            <w:pPr>
              <w:pStyle w:val="Tabletext"/>
              <w:jc w:val="center"/>
            </w:pPr>
            <w:r w:rsidRPr="001E0C6D">
              <w:t>24.6</w:t>
            </w:r>
          </w:p>
        </w:tc>
        <w:tc>
          <w:tcPr>
            <w:tcW w:w="2495" w:type="dxa"/>
            <w:tcBorders>
              <w:top w:val="single" w:sz="4" w:space="0" w:color="auto"/>
              <w:left w:val="nil"/>
              <w:bottom w:val="single" w:sz="4" w:space="0" w:color="auto"/>
              <w:right w:val="nil"/>
            </w:tcBorders>
          </w:tcPr>
          <w:p w14:paraId="55D44856" w14:textId="77777777" w:rsidR="005D1423" w:rsidRPr="001E0C6D" w:rsidRDefault="005D1423" w:rsidP="005D1423">
            <w:pPr>
              <w:pStyle w:val="Tabletext"/>
              <w:jc w:val="center"/>
            </w:pPr>
            <w:r w:rsidRPr="001E0C6D">
              <w:t>-</w:t>
            </w:r>
          </w:p>
        </w:tc>
      </w:tr>
      <w:tr w:rsidR="005D1423" w14:paraId="156575AF" w14:textId="77777777" w:rsidTr="00BC0293">
        <w:trPr>
          <w:cantSplit/>
        </w:trPr>
        <w:tc>
          <w:tcPr>
            <w:tcW w:w="1680" w:type="dxa"/>
            <w:tcBorders>
              <w:top w:val="single" w:sz="4" w:space="0" w:color="auto"/>
              <w:left w:val="nil"/>
              <w:bottom w:val="single" w:sz="4" w:space="0" w:color="auto"/>
              <w:right w:val="nil"/>
            </w:tcBorders>
          </w:tcPr>
          <w:p w14:paraId="194F33AF" w14:textId="77777777" w:rsidR="005D1423" w:rsidRPr="001E0C6D" w:rsidRDefault="005D1423" w:rsidP="005D1423">
            <w:pPr>
              <w:pStyle w:val="Tabletext"/>
            </w:pPr>
            <w:r w:rsidRPr="001E0C6D">
              <w:t>2007–08</w:t>
            </w:r>
          </w:p>
        </w:tc>
        <w:tc>
          <w:tcPr>
            <w:tcW w:w="2359" w:type="dxa"/>
            <w:tcBorders>
              <w:top w:val="single" w:sz="4" w:space="0" w:color="auto"/>
              <w:left w:val="nil"/>
              <w:bottom w:val="single" w:sz="4" w:space="0" w:color="auto"/>
              <w:right w:val="nil"/>
            </w:tcBorders>
            <w:vAlign w:val="bottom"/>
          </w:tcPr>
          <w:p w14:paraId="0E7E84FD" w14:textId="77777777" w:rsidR="005D1423" w:rsidRPr="001E0C6D" w:rsidRDefault="005D1423" w:rsidP="005D1423">
            <w:pPr>
              <w:pStyle w:val="Tabletext"/>
              <w:jc w:val="center"/>
            </w:pPr>
            <w:r w:rsidRPr="001E0C6D">
              <w:t>99.1</w:t>
            </w:r>
          </w:p>
        </w:tc>
        <w:tc>
          <w:tcPr>
            <w:tcW w:w="2492" w:type="dxa"/>
            <w:tcBorders>
              <w:top w:val="single" w:sz="4" w:space="0" w:color="auto"/>
              <w:left w:val="nil"/>
              <w:bottom w:val="single" w:sz="4" w:space="0" w:color="auto"/>
              <w:right w:val="nil"/>
            </w:tcBorders>
            <w:vAlign w:val="bottom"/>
          </w:tcPr>
          <w:p w14:paraId="26C08B2B" w14:textId="77777777" w:rsidR="005D1423" w:rsidRPr="001E0C6D" w:rsidRDefault="005D1423" w:rsidP="005D1423">
            <w:pPr>
              <w:pStyle w:val="Tabletext"/>
              <w:jc w:val="center"/>
            </w:pPr>
            <w:r w:rsidRPr="001E0C6D">
              <w:t>25.2</w:t>
            </w:r>
          </w:p>
        </w:tc>
        <w:tc>
          <w:tcPr>
            <w:tcW w:w="2495" w:type="dxa"/>
            <w:tcBorders>
              <w:top w:val="single" w:sz="4" w:space="0" w:color="auto"/>
              <w:left w:val="nil"/>
              <w:bottom w:val="single" w:sz="4" w:space="0" w:color="auto"/>
              <w:right w:val="nil"/>
            </w:tcBorders>
          </w:tcPr>
          <w:p w14:paraId="43A7BF5F" w14:textId="77777777" w:rsidR="005D1423" w:rsidRPr="001E0C6D" w:rsidRDefault="005D1423" w:rsidP="005D1423">
            <w:pPr>
              <w:pStyle w:val="Tabletext"/>
              <w:jc w:val="center"/>
            </w:pPr>
            <w:r w:rsidRPr="001E0C6D">
              <w:t>-</w:t>
            </w:r>
          </w:p>
        </w:tc>
      </w:tr>
      <w:tr w:rsidR="005D1423" w14:paraId="2B0496E9" w14:textId="77777777" w:rsidTr="00BC0293">
        <w:trPr>
          <w:cantSplit/>
        </w:trPr>
        <w:tc>
          <w:tcPr>
            <w:tcW w:w="1680" w:type="dxa"/>
            <w:tcBorders>
              <w:top w:val="single" w:sz="4" w:space="0" w:color="auto"/>
              <w:left w:val="nil"/>
              <w:bottom w:val="single" w:sz="4" w:space="0" w:color="auto"/>
              <w:right w:val="nil"/>
            </w:tcBorders>
          </w:tcPr>
          <w:p w14:paraId="706069B4" w14:textId="77777777" w:rsidR="005D1423" w:rsidRPr="001E0C6D" w:rsidRDefault="005D1423" w:rsidP="005D1423">
            <w:pPr>
              <w:pStyle w:val="Tabletext"/>
            </w:pPr>
            <w:r w:rsidRPr="001E0C6D">
              <w:t>2008–09</w:t>
            </w:r>
          </w:p>
        </w:tc>
        <w:tc>
          <w:tcPr>
            <w:tcW w:w="2359" w:type="dxa"/>
            <w:tcBorders>
              <w:top w:val="single" w:sz="4" w:space="0" w:color="auto"/>
              <w:left w:val="nil"/>
              <w:bottom w:val="single" w:sz="4" w:space="0" w:color="auto"/>
              <w:right w:val="nil"/>
            </w:tcBorders>
            <w:vAlign w:val="bottom"/>
          </w:tcPr>
          <w:p w14:paraId="3DC401E5" w14:textId="77777777" w:rsidR="005D1423" w:rsidRPr="001E0C6D" w:rsidRDefault="005D1423" w:rsidP="005D1423">
            <w:pPr>
              <w:pStyle w:val="Tabletext"/>
              <w:jc w:val="center"/>
            </w:pPr>
            <w:r w:rsidRPr="001E0C6D">
              <w:t>100.7</w:t>
            </w:r>
          </w:p>
        </w:tc>
        <w:tc>
          <w:tcPr>
            <w:tcW w:w="2492" w:type="dxa"/>
            <w:tcBorders>
              <w:top w:val="single" w:sz="4" w:space="0" w:color="auto"/>
              <w:left w:val="nil"/>
              <w:bottom w:val="single" w:sz="4" w:space="0" w:color="auto"/>
              <w:right w:val="nil"/>
            </w:tcBorders>
            <w:vAlign w:val="bottom"/>
          </w:tcPr>
          <w:p w14:paraId="2389906D" w14:textId="77777777" w:rsidR="005D1423" w:rsidRPr="001E0C6D" w:rsidRDefault="005D1423" w:rsidP="005D1423">
            <w:pPr>
              <w:pStyle w:val="Tabletext"/>
              <w:jc w:val="center"/>
            </w:pPr>
            <w:r w:rsidRPr="001E0C6D">
              <w:t>26.4</w:t>
            </w:r>
          </w:p>
        </w:tc>
        <w:tc>
          <w:tcPr>
            <w:tcW w:w="2495" w:type="dxa"/>
            <w:tcBorders>
              <w:top w:val="single" w:sz="4" w:space="0" w:color="auto"/>
              <w:left w:val="nil"/>
              <w:bottom w:val="single" w:sz="4" w:space="0" w:color="auto"/>
              <w:right w:val="nil"/>
            </w:tcBorders>
          </w:tcPr>
          <w:p w14:paraId="6F765E17" w14:textId="77777777" w:rsidR="005D1423" w:rsidRPr="001E0C6D" w:rsidRDefault="005D1423" w:rsidP="005D1423">
            <w:pPr>
              <w:pStyle w:val="Tabletext"/>
              <w:jc w:val="center"/>
            </w:pPr>
            <w:r w:rsidRPr="001E0C6D">
              <w:t>-</w:t>
            </w:r>
          </w:p>
        </w:tc>
      </w:tr>
      <w:tr w:rsidR="005D1423" w14:paraId="5EAF4CD1" w14:textId="77777777" w:rsidTr="00BC0293">
        <w:trPr>
          <w:cantSplit/>
        </w:trPr>
        <w:tc>
          <w:tcPr>
            <w:tcW w:w="1680" w:type="dxa"/>
            <w:tcBorders>
              <w:top w:val="single" w:sz="4" w:space="0" w:color="auto"/>
              <w:left w:val="nil"/>
              <w:bottom w:val="single" w:sz="4" w:space="0" w:color="auto"/>
              <w:right w:val="nil"/>
            </w:tcBorders>
          </w:tcPr>
          <w:p w14:paraId="6A1E3A8A" w14:textId="77777777" w:rsidR="005D1423" w:rsidRPr="001E0C6D" w:rsidRDefault="005D1423" w:rsidP="005D1423">
            <w:pPr>
              <w:pStyle w:val="Tabletext"/>
            </w:pPr>
            <w:r w:rsidRPr="001E0C6D">
              <w:t>2009–10</w:t>
            </w:r>
          </w:p>
        </w:tc>
        <w:tc>
          <w:tcPr>
            <w:tcW w:w="2359" w:type="dxa"/>
            <w:tcBorders>
              <w:top w:val="single" w:sz="4" w:space="0" w:color="auto"/>
              <w:left w:val="nil"/>
              <w:bottom w:val="single" w:sz="4" w:space="0" w:color="auto"/>
              <w:right w:val="nil"/>
            </w:tcBorders>
            <w:vAlign w:val="bottom"/>
          </w:tcPr>
          <w:p w14:paraId="24B8AE6E" w14:textId="77777777" w:rsidR="005D1423" w:rsidRPr="001E0C6D" w:rsidRDefault="005D1423" w:rsidP="005D1423">
            <w:pPr>
              <w:pStyle w:val="Tabletext"/>
              <w:jc w:val="center"/>
            </w:pPr>
            <w:r w:rsidRPr="001E0C6D">
              <w:t>98.0</w:t>
            </w:r>
          </w:p>
        </w:tc>
        <w:tc>
          <w:tcPr>
            <w:tcW w:w="2492" w:type="dxa"/>
            <w:tcBorders>
              <w:top w:val="single" w:sz="4" w:space="0" w:color="auto"/>
              <w:left w:val="nil"/>
              <w:bottom w:val="single" w:sz="4" w:space="0" w:color="auto"/>
              <w:right w:val="nil"/>
            </w:tcBorders>
            <w:vAlign w:val="bottom"/>
          </w:tcPr>
          <w:p w14:paraId="5C0873D2" w14:textId="77777777" w:rsidR="005D1423" w:rsidRPr="001E0C6D" w:rsidRDefault="005D1423" w:rsidP="005D1423">
            <w:pPr>
              <w:pStyle w:val="Tabletext"/>
              <w:jc w:val="center"/>
            </w:pPr>
            <w:r w:rsidRPr="001E0C6D">
              <w:t>26.7</w:t>
            </w:r>
          </w:p>
        </w:tc>
        <w:tc>
          <w:tcPr>
            <w:tcW w:w="2495" w:type="dxa"/>
            <w:tcBorders>
              <w:top w:val="single" w:sz="4" w:space="0" w:color="auto"/>
              <w:left w:val="nil"/>
              <w:bottom w:val="single" w:sz="4" w:space="0" w:color="auto"/>
              <w:right w:val="nil"/>
            </w:tcBorders>
          </w:tcPr>
          <w:p w14:paraId="4B503287" w14:textId="77777777" w:rsidR="005D1423" w:rsidRPr="001E0C6D" w:rsidRDefault="005D1423" w:rsidP="005D1423">
            <w:pPr>
              <w:pStyle w:val="Tabletext"/>
              <w:jc w:val="center"/>
            </w:pPr>
            <w:r w:rsidRPr="001E0C6D">
              <w:t>-</w:t>
            </w:r>
          </w:p>
        </w:tc>
      </w:tr>
      <w:tr w:rsidR="005D1423" w14:paraId="71AFD7D4" w14:textId="77777777" w:rsidTr="00BC0293">
        <w:trPr>
          <w:cantSplit/>
        </w:trPr>
        <w:tc>
          <w:tcPr>
            <w:tcW w:w="1680" w:type="dxa"/>
            <w:tcBorders>
              <w:top w:val="single" w:sz="4" w:space="0" w:color="auto"/>
              <w:left w:val="nil"/>
              <w:bottom w:val="single" w:sz="4" w:space="0" w:color="auto"/>
              <w:right w:val="nil"/>
            </w:tcBorders>
          </w:tcPr>
          <w:p w14:paraId="0622DDB9" w14:textId="77777777" w:rsidR="005D1423" w:rsidRPr="001E0C6D" w:rsidRDefault="005D1423" w:rsidP="005D1423">
            <w:pPr>
              <w:pStyle w:val="Tabletext"/>
            </w:pPr>
            <w:r w:rsidRPr="001E0C6D">
              <w:t>2010–11</w:t>
            </w:r>
          </w:p>
        </w:tc>
        <w:tc>
          <w:tcPr>
            <w:tcW w:w="2359" w:type="dxa"/>
            <w:tcBorders>
              <w:top w:val="single" w:sz="4" w:space="0" w:color="auto"/>
              <w:left w:val="nil"/>
              <w:bottom w:val="single" w:sz="4" w:space="0" w:color="auto"/>
              <w:right w:val="nil"/>
            </w:tcBorders>
          </w:tcPr>
          <w:p w14:paraId="02A0B5FD" w14:textId="77777777" w:rsidR="005D1423" w:rsidRPr="001E0C6D" w:rsidRDefault="005D1423" w:rsidP="005D1423">
            <w:pPr>
              <w:pStyle w:val="Tabletext"/>
              <w:jc w:val="center"/>
            </w:pPr>
            <w:r w:rsidRPr="001E0C6D">
              <w:t>-</w:t>
            </w:r>
          </w:p>
        </w:tc>
        <w:tc>
          <w:tcPr>
            <w:tcW w:w="2492" w:type="dxa"/>
            <w:tcBorders>
              <w:top w:val="single" w:sz="4" w:space="0" w:color="auto"/>
              <w:left w:val="nil"/>
              <w:bottom w:val="single" w:sz="4" w:space="0" w:color="auto"/>
              <w:right w:val="nil"/>
            </w:tcBorders>
            <w:vAlign w:val="bottom"/>
          </w:tcPr>
          <w:p w14:paraId="6A724BBA" w14:textId="77777777" w:rsidR="005D1423" w:rsidRPr="001E0C6D" w:rsidRDefault="005D1423" w:rsidP="005D1423">
            <w:pPr>
              <w:pStyle w:val="Tabletext"/>
              <w:jc w:val="center"/>
            </w:pPr>
            <w:r w:rsidRPr="001E0C6D">
              <w:t>27.4</w:t>
            </w:r>
          </w:p>
        </w:tc>
        <w:tc>
          <w:tcPr>
            <w:tcW w:w="2495" w:type="dxa"/>
            <w:tcBorders>
              <w:top w:val="single" w:sz="4" w:space="0" w:color="auto"/>
              <w:left w:val="nil"/>
              <w:bottom w:val="single" w:sz="4" w:space="0" w:color="auto"/>
              <w:right w:val="nil"/>
            </w:tcBorders>
            <w:vAlign w:val="bottom"/>
          </w:tcPr>
          <w:p w14:paraId="3DD00DD7" w14:textId="77777777" w:rsidR="005D1423" w:rsidRPr="001E0C6D" w:rsidRDefault="005D1423" w:rsidP="005D1423">
            <w:pPr>
              <w:pStyle w:val="Tabletext"/>
              <w:jc w:val="center"/>
            </w:pPr>
            <w:r w:rsidRPr="001E0C6D">
              <w:t>102.9</w:t>
            </w:r>
          </w:p>
        </w:tc>
      </w:tr>
      <w:tr w:rsidR="005D1423" w14:paraId="47609BA7" w14:textId="77777777" w:rsidTr="00BC0293">
        <w:trPr>
          <w:cantSplit/>
        </w:trPr>
        <w:tc>
          <w:tcPr>
            <w:tcW w:w="1680" w:type="dxa"/>
            <w:tcBorders>
              <w:top w:val="single" w:sz="4" w:space="0" w:color="auto"/>
              <w:left w:val="nil"/>
              <w:bottom w:val="single" w:sz="4" w:space="0" w:color="auto"/>
              <w:right w:val="nil"/>
            </w:tcBorders>
          </w:tcPr>
          <w:p w14:paraId="01F7E159" w14:textId="77777777" w:rsidR="005D1423" w:rsidRPr="001E0C6D" w:rsidRDefault="005D1423" w:rsidP="005D1423">
            <w:pPr>
              <w:pStyle w:val="Tabletext"/>
            </w:pPr>
            <w:r w:rsidRPr="001E0C6D">
              <w:t>2011–12</w:t>
            </w:r>
          </w:p>
        </w:tc>
        <w:tc>
          <w:tcPr>
            <w:tcW w:w="2359" w:type="dxa"/>
            <w:tcBorders>
              <w:top w:val="single" w:sz="4" w:space="0" w:color="auto"/>
              <w:left w:val="nil"/>
              <w:bottom w:val="single" w:sz="4" w:space="0" w:color="auto"/>
              <w:right w:val="nil"/>
            </w:tcBorders>
          </w:tcPr>
          <w:p w14:paraId="1D8CB43A" w14:textId="77777777" w:rsidR="005D1423" w:rsidRPr="001E0C6D" w:rsidRDefault="005D1423" w:rsidP="005D1423">
            <w:pPr>
              <w:pStyle w:val="Tabletext"/>
              <w:jc w:val="center"/>
            </w:pPr>
            <w:r w:rsidRPr="001E0C6D">
              <w:t>-</w:t>
            </w:r>
          </w:p>
        </w:tc>
        <w:tc>
          <w:tcPr>
            <w:tcW w:w="2492" w:type="dxa"/>
            <w:tcBorders>
              <w:top w:val="single" w:sz="4" w:space="0" w:color="auto"/>
              <w:left w:val="nil"/>
              <w:bottom w:val="single" w:sz="4" w:space="0" w:color="auto"/>
              <w:right w:val="nil"/>
            </w:tcBorders>
            <w:vAlign w:val="bottom"/>
          </w:tcPr>
          <w:p w14:paraId="39EAE4F2" w14:textId="77777777" w:rsidR="005D1423" w:rsidRPr="001E0C6D" w:rsidRDefault="005D1423" w:rsidP="005D1423">
            <w:pPr>
              <w:pStyle w:val="Tabletext"/>
              <w:jc w:val="center"/>
            </w:pPr>
            <w:r w:rsidRPr="001E0C6D">
              <w:t>29.1</w:t>
            </w:r>
          </w:p>
        </w:tc>
        <w:tc>
          <w:tcPr>
            <w:tcW w:w="2495" w:type="dxa"/>
            <w:tcBorders>
              <w:top w:val="single" w:sz="4" w:space="0" w:color="auto"/>
              <w:left w:val="nil"/>
              <w:bottom w:val="single" w:sz="4" w:space="0" w:color="auto"/>
              <w:right w:val="nil"/>
            </w:tcBorders>
            <w:vAlign w:val="bottom"/>
          </w:tcPr>
          <w:p w14:paraId="035DFA86" w14:textId="77777777" w:rsidR="005D1423" w:rsidRPr="001E0C6D" w:rsidRDefault="005D1423" w:rsidP="005D1423">
            <w:pPr>
              <w:pStyle w:val="Tabletext"/>
              <w:jc w:val="center"/>
            </w:pPr>
            <w:r w:rsidRPr="001E0C6D">
              <w:t>115.9</w:t>
            </w:r>
          </w:p>
        </w:tc>
      </w:tr>
      <w:tr w:rsidR="005D1423" w14:paraId="7A2D4629" w14:textId="77777777" w:rsidTr="00BC0293">
        <w:trPr>
          <w:cantSplit/>
        </w:trPr>
        <w:tc>
          <w:tcPr>
            <w:tcW w:w="1680" w:type="dxa"/>
            <w:tcBorders>
              <w:top w:val="single" w:sz="4" w:space="0" w:color="auto"/>
              <w:left w:val="nil"/>
              <w:bottom w:val="single" w:sz="4" w:space="0" w:color="auto"/>
              <w:right w:val="nil"/>
            </w:tcBorders>
          </w:tcPr>
          <w:p w14:paraId="60403F9D" w14:textId="77777777" w:rsidR="005D1423" w:rsidRPr="001E0C6D" w:rsidRDefault="005D1423" w:rsidP="005D1423">
            <w:pPr>
              <w:pStyle w:val="Tabletext"/>
            </w:pPr>
            <w:r w:rsidRPr="001E0C6D">
              <w:t>2012–13</w:t>
            </w:r>
          </w:p>
        </w:tc>
        <w:tc>
          <w:tcPr>
            <w:tcW w:w="2359" w:type="dxa"/>
            <w:tcBorders>
              <w:top w:val="single" w:sz="4" w:space="0" w:color="auto"/>
              <w:left w:val="nil"/>
              <w:bottom w:val="single" w:sz="4" w:space="0" w:color="auto"/>
              <w:right w:val="nil"/>
            </w:tcBorders>
          </w:tcPr>
          <w:p w14:paraId="1BD56419" w14:textId="77777777" w:rsidR="005D1423" w:rsidRPr="001E0C6D" w:rsidRDefault="005D1423" w:rsidP="005D1423">
            <w:pPr>
              <w:pStyle w:val="Tabletext"/>
              <w:jc w:val="center"/>
            </w:pPr>
            <w:r w:rsidRPr="001E0C6D">
              <w:t>-</w:t>
            </w:r>
          </w:p>
        </w:tc>
        <w:tc>
          <w:tcPr>
            <w:tcW w:w="2492" w:type="dxa"/>
            <w:tcBorders>
              <w:top w:val="single" w:sz="4" w:space="0" w:color="auto"/>
              <w:left w:val="nil"/>
              <w:bottom w:val="single" w:sz="4" w:space="0" w:color="auto"/>
              <w:right w:val="nil"/>
            </w:tcBorders>
            <w:vAlign w:val="bottom"/>
          </w:tcPr>
          <w:p w14:paraId="646DC26F" w14:textId="77777777" w:rsidR="005D1423" w:rsidRPr="001E0C6D" w:rsidRDefault="005D1423" w:rsidP="005D1423">
            <w:pPr>
              <w:pStyle w:val="Tabletext"/>
              <w:jc w:val="center"/>
            </w:pPr>
            <w:r w:rsidRPr="001E0C6D">
              <w:t>30.0</w:t>
            </w:r>
          </w:p>
        </w:tc>
        <w:tc>
          <w:tcPr>
            <w:tcW w:w="2495" w:type="dxa"/>
            <w:tcBorders>
              <w:top w:val="single" w:sz="4" w:space="0" w:color="auto"/>
              <w:left w:val="nil"/>
              <w:bottom w:val="single" w:sz="4" w:space="0" w:color="auto"/>
              <w:right w:val="nil"/>
            </w:tcBorders>
            <w:vAlign w:val="bottom"/>
          </w:tcPr>
          <w:p w14:paraId="61C914BB" w14:textId="77777777" w:rsidR="005D1423" w:rsidRPr="001E0C6D" w:rsidRDefault="005D1423" w:rsidP="005D1423">
            <w:pPr>
              <w:pStyle w:val="Tabletext"/>
              <w:jc w:val="center"/>
            </w:pPr>
            <w:r w:rsidRPr="001E0C6D">
              <w:t>122.5</w:t>
            </w:r>
          </w:p>
        </w:tc>
      </w:tr>
      <w:tr w:rsidR="005D1423" w14:paraId="08A5C192" w14:textId="77777777" w:rsidTr="00BC0293">
        <w:trPr>
          <w:cantSplit/>
        </w:trPr>
        <w:tc>
          <w:tcPr>
            <w:tcW w:w="1680" w:type="dxa"/>
            <w:tcBorders>
              <w:top w:val="single" w:sz="4" w:space="0" w:color="auto"/>
              <w:left w:val="nil"/>
              <w:bottom w:val="single" w:sz="4" w:space="0" w:color="auto"/>
              <w:right w:val="nil"/>
            </w:tcBorders>
          </w:tcPr>
          <w:p w14:paraId="35E9993E" w14:textId="77777777" w:rsidR="005D1423" w:rsidRPr="001E0C6D" w:rsidRDefault="005D1423" w:rsidP="005D1423">
            <w:pPr>
              <w:pStyle w:val="Tabletext"/>
            </w:pPr>
            <w:r w:rsidRPr="001E0C6D">
              <w:t>2013–14</w:t>
            </w:r>
          </w:p>
        </w:tc>
        <w:tc>
          <w:tcPr>
            <w:tcW w:w="2359" w:type="dxa"/>
            <w:tcBorders>
              <w:top w:val="single" w:sz="4" w:space="0" w:color="auto"/>
              <w:left w:val="nil"/>
              <w:bottom w:val="single" w:sz="4" w:space="0" w:color="auto"/>
              <w:right w:val="nil"/>
            </w:tcBorders>
          </w:tcPr>
          <w:p w14:paraId="5DA8AD39" w14:textId="77777777" w:rsidR="005D1423" w:rsidRPr="001E0C6D" w:rsidRDefault="005D1423" w:rsidP="005D1423">
            <w:pPr>
              <w:pStyle w:val="Tabletext"/>
              <w:jc w:val="center"/>
            </w:pPr>
            <w:r w:rsidRPr="001E0C6D">
              <w:t>-</w:t>
            </w:r>
          </w:p>
        </w:tc>
        <w:tc>
          <w:tcPr>
            <w:tcW w:w="2492" w:type="dxa"/>
            <w:tcBorders>
              <w:top w:val="single" w:sz="4" w:space="0" w:color="auto"/>
              <w:left w:val="nil"/>
              <w:bottom w:val="single" w:sz="4" w:space="0" w:color="auto"/>
              <w:right w:val="nil"/>
            </w:tcBorders>
            <w:vAlign w:val="bottom"/>
          </w:tcPr>
          <w:p w14:paraId="2B0A4B69" w14:textId="77777777" w:rsidR="005D1423" w:rsidRPr="001E0C6D" w:rsidRDefault="005D1423" w:rsidP="005D1423">
            <w:pPr>
              <w:pStyle w:val="Tabletext"/>
              <w:jc w:val="center"/>
            </w:pPr>
            <w:r w:rsidRPr="001E0C6D">
              <w:t>31.6</w:t>
            </w:r>
          </w:p>
        </w:tc>
        <w:tc>
          <w:tcPr>
            <w:tcW w:w="2495" w:type="dxa"/>
            <w:tcBorders>
              <w:top w:val="single" w:sz="4" w:space="0" w:color="auto"/>
              <w:left w:val="nil"/>
              <w:bottom w:val="single" w:sz="4" w:space="0" w:color="auto"/>
              <w:right w:val="nil"/>
            </w:tcBorders>
            <w:vAlign w:val="bottom"/>
          </w:tcPr>
          <w:p w14:paraId="44FBBD9B" w14:textId="77777777" w:rsidR="005D1423" w:rsidRPr="001E0C6D" w:rsidRDefault="005D1423" w:rsidP="005D1423">
            <w:pPr>
              <w:pStyle w:val="Tabletext"/>
              <w:jc w:val="center"/>
            </w:pPr>
            <w:r w:rsidRPr="001E0C6D">
              <w:t>134.0</w:t>
            </w:r>
          </w:p>
        </w:tc>
      </w:tr>
      <w:tr w:rsidR="005D1423" w14:paraId="7B1964D0" w14:textId="77777777" w:rsidTr="00BC0293">
        <w:trPr>
          <w:cantSplit/>
        </w:trPr>
        <w:tc>
          <w:tcPr>
            <w:tcW w:w="1680" w:type="dxa"/>
            <w:tcBorders>
              <w:top w:val="single" w:sz="4" w:space="0" w:color="auto"/>
              <w:left w:val="nil"/>
              <w:bottom w:val="single" w:sz="4" w:space="0" w:color="auto"/>
              <w:right w:val="nil"/>
            </w:tcBorders>
          </w:tcPr>
          <w:p w14:paraId="59FFC4D8" w14:textId="77777777" w:rsidR="005D1423" w:rsidRPr="001E0C6D" w:rsidRDefault="005D1423" w:rsidP="005D1423">
            <w:pPr>
              <w:pStyle w:val="Tabletext"/>
            </w:pPr>
            <w:r w:rsidRPr="001E0C6D">
              <w:t>2014–15</w:t>
            </w:r>
          </w:p>
        </w:tc>
        <w:tc>
          <w:tcPr>
            <w:tcW w:w="2359" w:type="dxa"/>
            <w:tcBorders>
              <w:top w:val="single" w:sz="4" w:space="0" w:color="auto"/>
              <w:left w:val="nil"/>
              <w:bottom w:val="single" w:sz="4" w:space="0" w:color="auto"/>
              <w:right w:val="nil"/>
            </w:tcBorders>
          </w:tcPr>
          <w:p w14:paraId="442F8542" w14:textId="77777777" w:rsidR="005D1423" w:rsidRPr="001E0C6D" w:rsidRDefault="005D1423" w:rsidP="005D1423">
            <w:pPr>
              <w:pStyle w:val="Tabletext"/>
              <w:jc w:val="center"/>
            </w:pPr>
            <w:r w:rsidRPr="001E0C6D">
              <w:t>-</w:t>
            </w:r>
          </w:p>
        </w:tc>
        <w:tc>
          <w:tcPr>
            <w:tcW w:w="2492" w:type="dxa"/>
            <w:tcBorders>
              <w:top w:val="single" w:sz="4" w:space="0" w:color="auto"/>
              <w:left w:val="nil"/>
              <w:bottom w:val="single" w:sz="4" w:space="0" w:color="auto"/>
              <w:right w:val="nil"/>
            </w:tcBorders>
            <w:vAlign w:val="bottom"/>
          </w:tcPr>
          <w:p w14:paraId="6E18194E" w14:textId="77777777" w:rsidR="005D1423" w:rsidRPr="001E0C6D" w:rsidRDefault="005D1423" w:rsidP="005D1423">
            <w:pPr>
              <w:pStyle w:val="Tabletext"/>
              <w:jc w:val="center"/>
            </w:pPr>
            <w:r w:rsidRPr="001E0C6D">
              <w:t>34.5</w:t>
            </w:r>
          </w:p>
        </w:tc>
        <w:tc>
          <w:tcPr>
            <w:tcW w:w="2495" w:type="dxa"/>
            <w:tcBorders>
              <w:top w:val="single" w:sz="4" w:space="0" w:color="auto"/>
              <w:left w:val="nil"/>
              <w:bottom w:val="single" w:sz="4" w:space="0" w:color="auto"/>
              <w:right w:val="nil"/>
            </w:tcBorders>
            <w:vAlign w:val="bottom"/>
          </w:tcPr>
          <w:p w14:paraId="2D8FA77E" w14:textId="77777777" w:rsidR="005D1423" w:rsidRPr="001E0C6D" w:rsidRDefault="005D1423" w:rsidP="005D1423">
            <w:pPr>
              <w:pStyle w:val="Tabletext"/>
              <w:jc w:val="center"/>
            </w:pPr>
            <w:r w:rsidRPr="001E0C6D">
              <w:t>155.8</w:t>
            </w:r>
          </w:p>
        </w:tc>
      </w:tr>
      <w:tr w:rsidR="005D1423" w14:paraId="53F39B01" w14:textId="77777777" w:rsidTr="00C44BDF">
        <w:trPr>
          <w:cantSplit/>
        </w:trPr>
        <w:tc>
          <w:tcPr>
            <w:tcW w:w="1680" w:type="dxa"/>
            <w:tcBorders>
              <w:top w:val="single" w:sz="4" w:space="0" w:color="auto"/>
              <w:left w:val="nil"/>
              <w:bottom w:val="single" w:sz="12" w:space="0" w:color="auto"/>
              <w:right w:val="nil"/>
            </w:tcBorders>
          </w:tcPr>
          <w:p w14:paraId="183D69D0" w14:textId="77777777" w:rsidR="005D1423" w:rsidRPr="001E0C6D" w:rsidRDefault="005D1423" w:rsidP="005D1423">
            <w:pPr>
              <w:pStyle w:val="Tabletext"/>
            </w:pPr>
            <w:r w:rsidRPr="001E0C6D">
              <w:t>2015–16</w:t>
            </w:r>
          </w:p>
        </w:tc>
        <w:tc>
          <w:tcPr>
            <w:tcW w:w="2359" w:type="dxa"/>
            <w:tcBorders>
              <w:top w:val="single" w:sz="4" w:space="0" w:color="auto"/>
              <w:left w:val="nil"/>
              <w:bottom w:val="single" w:sz="12" w:space="0" w:color="auto"/>
              <w:right w:val="nil"/>
            </w:tcBorders>
          </w:tcPr>
          <w:p w14:paraId="071119EC" w14:textId="77777777" w:rsidR="005D1423" w:rsidRPr="001E0C6D" w:rsidRDefault="005D1423" w:rsidP="005D1423">
            <w:pPr>
              <w:pStyle w:val="Tabletext"/>
              <w:jc w:val="center"/>
            </w:pPr>
            <w:r w:rsidRPr="001E0C6D">
              <w:t>-</w:t>
            </w:r>
          </w:p>
        </w:tc>
        <w:tc>
          <w:tcPr>
            <w:tcW w:w="2492" w:type="dxa"/>
            <w:tcBorders>
              <w:top w:val="single" w:sz="4" w:space="0" w:color="auto"/>
              <w:left w:val="nil"/>
              <w:bottom w:val="single" w:sz="12" w:space="0" w:color="auto"/>
              <w:right w:val="nil"/>
            </w:tcBorders>
            <w:vAlign w:val="bottom"/>
          </w:tcPr>
          <w:p w14:paraId="361C1F8B" w14:textId="77777777" w:rsidR="005D1423" w:rsidRPr="001E0C6D" w:rsidRDefault="005D1423" w:rsidP="005D1423">
            <w:pPr>
              <w:pStyle w:val="Tabletext"/>
              <w:jc w:val="center"/>
            </w:pPr>
            <w:r w:rsidRPr="001E0C6D">
              <w:t>-</w:t>
            </w:r>
          </w:p>
        </w:tc>
        <w:tc>
          <w:tcPr>
            <w:tcW w:w="2495" w:type="dxa"/>
            <w:tcBorders>
              <w:top w:val="single" w:sz="4" w:space="0" w:color="auto"/>
              <w:left w:val="nil"/>
              <w:bottom w:val="single" w:sz="12" w:space="0" w:color="auto"/>
              <w:right w:val="nil"/>
            </w:tcBorders>
            <w:vAlign w:val="bottom"/>
          </w:tcPr>
          <w:p w14:paraId="6FF2E2CC" w14:textId="77777777" w:rsidR="005D1423" w:rsidRPr="001E0C6D" w:rsidRDefault="005D1423" w:rsidP="005D1423">
            <w:pPr>
              <w:pStyle w:val="Tabletext"/>
              <w:jc w:val="center"/>
            </w:pPr>
            <w:r w:rsidRPr="001E0C6D">
              <w:t>-</w:t>
            </w:r>
          </w:p>
        </w:tc>
      </w:tr>
    </w:tbl>
    <w:p w14:paraId="438E489C" w14:textId="77777777" w:rsidR="005D1423" w:rsidRDefault="005D1423" w:rsidP="005D1423"/>
    <w:p w14:paraId="44845AF1" w14:textId="77777777" w:rsidR="00E25A11" w:rsidRPr="001E0C6D" w:rsidRDefault="00E25A11" w:rsidP="00E25A11">
      <w:r w:rsidRPr="001E0C6D">
        <w:fldChar w:fldCharType="begin"/>
      </w:r>
      <w:r w:rsidRPr="001E0C6D">
        <w:instrText xml:space="preserve"> REF _Ref481759177 \h  \* MERGEFORMAT </w:instrText>
      </w:r>
      <w:r w:rsidRPr="001E0C6D">
        <w:fldChar w:fldCharType="separate"/>
      </w:r>
      <w:r w:rsidR="00ED08CC" w:rsidRPr="001E0C6D">
        <w:t xml:space="preserve">Figure </w:t>
      </w:r>
      <w:r w:rsidR="00ED08CC">
        <w:t>7</w:t>
      </w:r>
      <w:r w:rsidRPr="001E0C6D">
        <w:fldChar w:fldCharType="end"/>
      </w:r>
      <w:r w:rsidRPr="001E0C6D">
        <w:t xml:space="preserve"> illustrates the relationship between AMPAG sponsorship and </w:t>
      </w:r>
      <w:proofErr w:type="spellStart"/>
      <w:r w:rsidRPr="001E0C6D">
        <w:t>AbaF</w:t>
      </w:r>
      <w:proofErr w:type="spellEnd"/>
      <w:r w:rsidRPr="001E0C6D">
        <w:t xml:space="preserve"> sponsorship values (red dots) and the linear model based on this relationship (dark blue line). The 95 per cent confidence and prediction intervals (inner green dashed and outer orange dotted lines, respectively) fan out illustrating where the true results may lie with 95 per cent certainty.</w:t>
      </w:r>
    </w:p>
    <w:p w14:paraId="24A1BA53" w14:textId="77777777" w:rsidR="00E25A11" w:rsidRPr="001E0C6D" w:rsidRDefault="00E25A11" w:rsidP="005D1423">
      <w:pPr>
        <w:pStyle w:val="Figureheading"/>
      </w:pPr>
      <w:bookmarkStart w:id="92" w:name="_Ref481759177"/>
      <w:bookmarkStart w:id="93" w:name="_Toc486587623"/>
      <w:r w:rsidRPr="001E0C6D">
        <w:t xml:space="preserve">Figure </w:t>
      </w:r>
      <w:fldSimple w:instr=" SEQ Figure \* ARABIC ">
        <w:r w:rsidR="00ED08CC">
          <w:rPr>
            <w:noProof/>
          </w:rPr>
          <w:t>7</w:t>
        </w:r>
      </w:fldSimple>
      <w:bookmarkEnd w:id="92"/>
      <w:r w:rsidRPr="001E0C6D">
        <w:t>. AMPAG sponsorship—</w:t>
      </w:r>
      <w:proofErr w:type="spellStart"/>
      <w:r w:rsidRPr="001E0C6D">
        <w:t>AbaF</w:t>
      </w:r>
      <w:proofErr w:type="spellEnd"/>
      <w:r w:rsidRPr="001E0C6D">
        <w:t xml:space="preserve"> sponsorship linear model with confidence and prediction intervals</w:t>
      </w:r>
      <w:bookmarkEnd w:id="93"/>
    </w:p>
    <w:p w14:paraId="6B75D5C5" w14:textId="77777777" w:rsidR="00E25A11" w:rsidRPr="001E0C6D" w:rsidRDefault="00E25A11" w:rsidP="00E25A11">
      <w:r w:rsidRPr="001E0C6D">
        <w:rPr>
          <w:noProof/>
          <w:lang w:eastAsia="zh-TW" w:bidi="hi-IN"/>
        </w:rPr>
        <w:drawing>
          <wp:inline distT="0" distB="0" distL="0" distR="0" wp14:anchorId="7D46D2C1" wp14:editId="211042AE">
            <wp:extent cx="5730875" cy="3681084"/>
            <wp:effectExtent l="0" t="0" r="3175" b="0"/>
            <wp:docPr id="44" name="Picture 44" descr="This is a regression line chart showing AbaF sponsorships estimates rise as AMPAG sponsorships rise. It is an illustration of figures presented in Table 10. The starting points are $64.5 million for AbaF and $21.6 million for AMPAG in financial year 2001–02; which then rise to sponsorships estimates of $155.8 million for AbaF as AMPAG donations value reaches $34.5 million in financial year 2014–15. The measures are in millions of Australian dollars. The chart also presents upper and lower confidence and prediction intervals, which widen from 2010–11 financial year values onwards, illustrating that the accuracy of the predictions for each year are continuously reducing as the prediction years grow more distant from 2010–11. " title="Figure 7. AMPAG sponsorship—AbaF sponsorship linear model with confidence and prediction interva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Downloads\Figure 7. AMPAG sponsorships.jpeg"/>
                    <pic:cNvPicPr>
                      <a:picLocks noChangeAspect="1" noChangeArrowheads="1"/>
                    </pic:cNvPicPr>
                  </pic:nvPicPr>
                  <pic:blipFill rotWithShape="1">
                    <a:blip r:embed="rId29">
                      <a:extLst>
                        <a:ext uri="{28A0092B-C50C-407E-A947-70E740481C1C}">
                          <a14:useLocalDpi xmlns:a14="http://schemas.microsoft.com/office/drawing/2010/main" val="0"/>
                        </a:ext>
                      </a:extLst>
                    </a:blip>
                    <a:srcRect/>
                    <a:stretch/>
                  </pic:blipFill>
                  <pic:spPr bwMode="auto">
                    <a:xfrm>
                      <a:off x="0" y="0"/>
                      <a:ext cx="5731510" cy="3681492"/>
                    </a:xfrm>
                    <a:prstGeom prst="rect">
                      <a:avLst/>
                    </a:prstGeom>
                    <a:noFill/>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inline>
        </w:drawing>
      </w:r>
    </w:p>
    <w:p w14:paraId="2296DBAE" w14:textId="77777777" w:rsidR="00E25A11" w:rsidRPr="001E0C6D" w:rsidRDefault="00E25A11" w:rsidP="00E25A11">
      <w:r w:rsidRPr="001E0C6D">
        <w:br w:type="page"/>
      </w:r>
    </w:p>
    <w:p w14:paraId="10767875" w14:textId="77777777" w:rsidR="005D1423" w:rsidRDefault="00E25A11" w:rsidP="005D1423">
      <w:pPr>
        <w:pStyle w:val="Heading3"/>
      </w:pPr>
      <w:bookmarkStart w:id="94" w:name="_Toc468868244"/>
      <w:bookmarkStart w:id="95" w:name="_Toc486261313"/>
      <w:bookmarkStart w:id="96" w:name="_Toc486319734"/>
      <w:r w:rsidRPr="001E0C6D">
        <w:t xml:space="preserve">Model 9. GOS sponsorship data projections of </w:t>
      </w:r>
      <w:proofErr w:type="spellStart"/>
      <w:r w:rsidRPr="001E0C6D">
        <w:t>AbaF</w:t>
      </w:r>
      <w:proofErr w:type="spellEnd"/>
      <w:r w:rsidRPr="001E0C6D">
        <w:t xml:space="preserve"> sponsorship estimates</w:t>
      </w:r>
      <w:bookmarkEnd w:id="94"/>
      <w:bookmarkEnd w:id="95"/>
      <w:bookmarkEnd w:id="96"/>
    </w:p>
    <w:p w14:paraId="2BF7D69B" w14:textId="77777777" w:rsidR="00E25A11" w:rsidRPr="001E0C6D" w:rsidRDefault="00E25A11" w:rsidP="00E25A11">
      <w:r w:rsidRPr="001E0C6D">
        <w:t xml:space="preserve">GOS data used as a predictor in a linear relationship model was found to be significant (p &lt; 0.001), with strong prediction levels (R2 adjusted = 0.913) (see Appendix 10). This provided average sponsorship estimates as outlined in </w:t>
      </w:r>
      <w:r w:rsidRPr="001E0C6D">
        <w:fldChar w:fldCharType="begin"/>
      </w:r>
      <w:r w:rsidRPr="001E0C6D">
        <w:instrText xml:space="preserve"> REF _Ref468882871 \h  \* MERGEFORMAT </w:instrText>
      </w:r>
      <w:r w:rsidRPr="001E0C6D">
        <w:fldChar w:fldCharType="separate"/>
      </w:r>
      <w:r w:rsidR="00ED08CC" w:rsidRPr="001E0C6D">
        <w:t xml:space="preserve">Table </w:t>
      </w:r>
      <w:r w:rsidR="00ED08CC">
        <w:t>11</w:t>
      </w:r>
      <w:r w:rsidRPr="001E0C6D">
        <w:fldChar w:fldCharType="end"/>
      </w:r>
      <w:r w:rsidR="005D1423">
        <w:t>.</w:t>
      </w:r>
    </w:p>
    <w:p w14:paraId="5DF0B154" w14:textId="77777777" w:rsidR="00E25A11" w:rsidRDefault="00E25A11" w:rsidP="005D1423">
      <w:pPr>
        <w:pStyle w:val="Tablefigureheading"/>
      </w:pPr>
      <w:bookmarkStart w:id="97" w:name="_Ref468882871"/>
      <w:bookmarkStart w:id="98" w:name="_Toc486587637"/>
      <w:r w:rsidRPr="001E0C6D">
        <w:t xml:space="preserve">Table </w:t>
      </w:r>
      <w:fldSimple w:instr=" SEQ Table \* ARABIC ">
        <w:r w:rsidR="00ED08CC">
          <w:rPr>
            <w:noProof/>
          </w:rPr>
          <w:t>11</w:t>
        </w:r>
      </w:fldSimple>
      <w:bookmarkEnd w:id="97"/>
      <w:r w:rsidRPr="001E0C6D">
        <w:t xml:space="preserve">. GOS data projections of </w:t>
      </w:r>
      <w:proofErr w:type="spellStart"/>
      <w:r w:rsidRPr="001E0C6D">
        <w:t>AbaF</w:t>
      </w:r>
      <w:proofErr w:type="spellEnd"/>
      <w:r w:rsidRPr="001E0C6D">
        <w:t xml:space="preserve"> sponsorship estimates</w:t>
      </w:r>
      <w:bookmarkEnd w:id="98"/>
    </w:p>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CellMar>
          <w:top w:w="57" w:type="dxa"/>
          <w:bottom w:w="57" w:type="dxa"/>
        </w:tblCellMar>
        <w:tblLook w:val="04A0" w:firstRow="1" w:lastRow="0" w:firstColumn="1" w:lastColumn="0" w:noHBand="0" w:noVBand="1"/>
        <w:tblDescription w:val="Table 3. GOS data projections of AbaF estimates"/>
      </w:tblPr>
      <w:tblGrid>
        <w:gridCol w:w="1680"/>
        <w:gridCol w:w="2359"/>
        <w:gridCol w:w="2492"/>
        <w:gridCol w:w="2495"/>
      </w:tblGrid>
      <w:tr w:rsidR="005D1423" w14:paraId="3AC65B0E" w14:textId="77777777" w:rsidTr="00BC0293">
        <w:trPr>
          <w:cantSplit/>
          <w:tblHeader/>
        </w:trPr>
        <w:tc>
          <w:tcPr>
            <w:tcW w:w="1680" w:type="dxa"/>
            <w:tcBorders>
              <w:top w:val="nil"/>
              <w:left w:val="nil"/>
              <w:bottom w:val="thickThinLargeGap" w:sz="24" w:space="0" w:color="auto"/>
              <w:right w:val="nil"/>
            </w:tcBorders>
            <w:shd w:val="clear" w:color="auto" w:fill="113652"/>
          </w:tcPr>
          <w:p w14:paraId="75CFC61E" w14:textId="77777777" w:rsidR="005D1423" w:rsidRDefault="005D1423" w:rsidP="005D1423">
            <w:pPr>
              <w:pStyle w:val="Tableheading"/>
            </w:pPr>
            <w:r>
              <w:t>Financial year</w:t>
            </w:r>
          </w:p>
        </w:tc>
        <w:tc>
          <w:tcPr>
            <w:tcW w:w="2359" w:type="dxa"/>
            <w:tcBorders>
              <w:top w:val="nil"/>
              <w:left w:val="nil"/>
              <w:bottom w:val="thickThinLargeGap" w:sz="24" w:space="0" w:color="auto"/>
              <w:right w:val="nil"/>
            </w:tcBorders>
            <w:shd w:val="clear" w:color="auto" w:fill="113652"/>
          </w:tcPr>
          <w:p w14:paraId="3EF06E9A" w14:textId="77777777" w:rsidR="005D1423" w:rsidRPr="001E0C6D" w:rsidRDefault="005D1423" w:rsidP="005D1423">
            <w:pPr>
              <w:pStyle w:val="Tableheadingcentred"/>
            </w:pPr>
            <w:proofErr w:type="spellStart"/>
            <w:r w:rsidRPr="001E0C6D">
              <w:t>AbaF</w:t>
            </w:r>
            <w:proofErr w:type="spellEnd"/>
            <w:r w:rsidRPr="001E0C6D">
              <w:t xml:space="preserve"> sponsorship estimate ($ million)</w:t>
            </w:r>
          </w:p>
        </w:tc>
        <w:tc>
          <w:tcPr>
            <w:tcW w:w="2492" w:type="dxa"/>
            <w:tcBorders>
              <w:top w:val="nil"/>
              <w:left w:val="nil"/>
              <w:bottom w:val="thickThinLargeGap" w:sz="24" w:space="0" w:color="auto"/>
              <w:right w:val="nil"/>
            </w:tcBorders>
            <w:shd w:val="clear" w:color="auto" w:fill="113652"/>
          </w:tcPr>
          <w:p w14:paraId="28CFCD9B" w14:textId="77777777" w:rsidR="005D1423" w:rsidRPr="001E0C6D" w:rsidRDefault="005D1423" w:rsidP="005D1423">
            <w:pPr>
              <w:pStyle w:val="Tableheadingcentred"/>
            </w:pPr>
            <w:r w:rsidRPr="001E0C6D">
              <w:t>GOS ($ million)</w:t>
            </w:r>
          </w:p>
        </w:tc>
        <w:tc>
          <w:tcPr>
            <w:tcW w:w="2495" w:type="dxa"/>
            <w:tcBorders>
              <w:top w:val="nil"/>
              <w:left w:val="nil"/>
              <w:bottom w:val="thickThinLargeGap" w:sz="24" w:space="0" w:color="auto"/>
              <w:right w:val="nil"/>
            </w:tcBorders>
            <w:shd w:val="clear" w:color="auto" w:fill="113652"/>
          </w:tcPr>
          <w:p w14:paraId="470F8DF9" w14:textId="77777777" w:rsidR="005D1423" w:rsidRPr="001E0C6D" w:rsidRDefault="005D1423" w:rsidP="005D1423">
            <w:pPr>
              <w:pStyle w:val="Tableheadingcentred"/>
            </w:pPr>
            <w:proofErr w:type="spellStart"/>
            <w:r w:rsidRPr="001E0C6D">
              <w:t>AbaF</w:t>
            </w:r>
            <w:proofErr w:type="spellEnd"/>
            <w:r w:rsidRPr="001E0C6D">
              <w:t xml:space="preserve">  sponsorship average projections on GOS ($ million)</w:t>
            </w:r>
          </w:p>
        </w:tc>
      </w:tr>
      <w:tr w:rsidR="005D1423" w14:paraId="25A8F2BB" w14:textId="77777777" w:rsidTr="00C44BDF">
        <w:trPr>
          <w:cantSplit/>
        </w:trPr>
        <w:tc>
          <w:tcPr>
            <w:tcW w:w="1680" w:type="dxa"/>
            <w:tcBorders>
              <w:top w:val="thickThinLargeGap" w:sz="24" w:space="0" w:color="auto"/>
              <w:left w:val="nil"/>
              <w:bottom w:val="single" w:sz="4" w:space="0" w:color="auto"/>
              <w:right w:val="nil"/>
            </w:tcBorders>
          </w:tcPr>
          <w:p w14:paraId="669FFA81" w14:textId="77777777" w:rsidR="005D1423" w:rsidRPr="001E0C6D" w:rsidRDefault="005D1423" w:rsidP="005D1423">
            <w:pPr>
              <w:pStyle w:val="Tabletext"/>
            </w:pPr>
            <w:r w:rsidRPr="001E0C6D">
              <w:t>2001–02</w:t>
            </w:r>
          </w:p>
        </w:tc>
        <w:tc>
          <w:tcPr>
            <w:tcW w:w="2359" w:type="dxa"/>
            <w:tcBorders>
              <w:top w:val="thickThinLargeGap" w:sz="24" w:space="0" w:color="auto"/>
              <w:left w:val="nil"/>
              <w:bottom w:val="single" w:sz="4" w:space="0" w:color="auto"/>
              <w:right w:val="nil"/>
            </w:tcBorders>
            <w:vAlign w:val="bottom"/>
          </w:tcPr>
          <w:p w14:paraId="225A1F93" w14:textId="77777777" w:rsidR="005D1423" w:rsidRPr="001E0C6D" w:rsidRDefault="005D1423" w:rsidP="005D1423">
            <w:pPr>
              <w:pStyle w:val="Tabletext"/>
              <w:jc w:val="center"/>
            </w:pPr>
            <w:r w:rsidRPr="001E0C6D">
              <w:t>64.5</w:t>
            </w:r>
          </w:p>
        </w:tc>
        <w:tc>
          <w:tcPr>
            <w:tcW w:w="2492" w:type="dxa"/>
            <w:tcBorders>
              <w:top w:val="thickThinLargeGap" w:sz="24" w:space="0" w:color="auto"/>
              <w:left w:val="nil"/>
              <w:bottom w:val="single" w:sz="4" w:space="0" w:color="auto"/>
              <w:right w:val="nil"/>
            </w:tcBorders>
            <w:vAlign w:val="bottom"/>
          </w:tcPr>
          <w:p w14:paraId="767A15C7" w14:textId="77777777" w:rsidR="005D1423" w:rsidRPr="001E0C6D" w:rsidRDefault="005D1423" w:rsidP="005D1423">
            <w:pPr>
              <w:pStyle w:val="Tabletext"/>
              <w:jc w:val="center"/>
            </w:pPr>
            <w:r w:rsidRPr="001E0C6D">
              <w:t>235,035</w:t>
            </w:r>
          </w:p>
        </w:tc>
        <w:tc>
          <w:tcPr>
            <w:tcW w:w="2495" w:type="dxa"/>
            <w:tcBorders>
              <w:top w:val="thickThinLargeGap" w:sz="24" w:space="0" w:color="auto"/>
              <w:left w:val="nil"/>
              <w:bottom w:val="single" w:sz="4" w:space="0" w:color="auto"/>
              <w:right w:val="nil"/>
            </w:tcBorders>
          </w:tcPr>
          <w:p w14:paraId="44A26928" w14:textId="77777777" w:rsidR="005D1423" w:rsidRPr="001E0C6D" w:rsidRDefault="005D1423" w:rsidP="005D1423">
            <w:pPr>
              <w:pStyle w:val="Tabletext"/>
              <w:jc w:val="center"/>
            </w:pPr>
            <w:r w:rsidRPr="001E0C6D">
              <w:t>-</w:t>
            </w:r>
          </w:p>
        </w:tc>
      </w:tr>
      <w:tr w:rsidR="005D1423" w14:paraId="01B92D3E" w14:textId="77777777" w:rsidTr="00BC0293">
        <w:trPr>
          <w:cantSplit/>
        </w:trPr>
        <w:tc>
          <w:tcPr>
            <w:tcW w:w="1680" w:type="dxa"/>
            <w:tcBorders>
              <w:top w:val="single" w:sz="4" w:space="0" w:color="auto"/>
              <w:left w:val="nil"/>
              <w:bottom w:val="single" w:sz="4" w:space="0" w:color="auto"/>
              <w:right w:val="nil"/>
            </w:tcBorders>
          </w:tcPr>
          <w:p w14:paraId="5D74C98C" w14:textId="77777777" w:rsidR="005D1423" w:rsidRPr="001E0C6D" w:rsidRDefault="005D1423" w:rsidP="005D1423">
            <w:pPr>
              <w:pStyle w:val="Tabletext"/>
            </w:pPr>
            <w:r w:rsidRPr="001E0C6D">
              <w:t>2002–03</w:t>
            </w:r>
          </w:p>
        </w:tc>
        <w:tc>
          <w:tcPr>
            <w:tcW w:w="2359" w:type="dxa"/>
            <w:tcBorders>
              <w:top w:val="single" w:sz="4" w:space="0" w:color="auto"/>
              <w:left w:val="nil"/>
              <w:bottom w:val="single" w:sz="4" w:space="0" w:color="auto"/>
              <w:right w:val="nil"/>
            </w:tcBorders>
            <w:vAlign w:val="bottom"/>
          </w:tcPr>
          <w:p w14:paraId="6464E2FD" w14:textId="77777777" w:rsidR="005D1423" w:rsidRPr="001E0C6D" w:rsidRDefault="005D1423" w:rsidP="005D1423">
            <w:pPr>
              <w:pStyle w:val="Tabletext"/>
              <w:jc w:val="center"/>
            </w:pPr>
            <w:r w:rsidRPr="001E0C6D">
              <w:t>63.7</w:t>
            </w:r>
          </w:p>
        </w:tc>
        <w:tc>
          <w:tcPr>
            <w:tcW w:w="2492" w:type="dxa"/>
            <w:tcBorders>
              <w:top w:val="single" w:sz="4" w:space="0" w:color="auto"/>
              <w:left w:val="nil"/>
              <w:bottom w:val="single" w:sz="4" w:space="0" w:color="auto"/>
              <w:right w:val="nil"/>
            </w:tcBorders>
            <w:vAlign w:val="bottom"/>
          </w:tcPr>
          <w:p w14:paraId="0D64E9AB" w14:textId="77777777" w:rsidR="005D1423" w:rsidRPr="001E0C6D" w:rsidRDefault="005D1423" w:rsidP="005D1423">
            <w:pPr>
              <w:pStyle w:val="Tabletext"/>
              <w:jc w:val="center"/>
            </w:pPr>
            <w:r w:rsidRPr="001E0C6D">
              <w:t>257,010</w:t>
            </w:r>
          </w:p>
        </w:tc>
        <w:tc>
          <w:tcPr>
            <w:tcW w:w="2495" w:type="dxa"/>
            <w:tcBorders>
              <w:top w:val="single" w:sz="4" w:space="0" w:color="auto"/>
              <w:left w:val="nil"/>
              <w:bottom w:val="single" w:sz="4" w:space="0" w:color="auto"/>
              <w:right w:val="nil"/>
            </w:tcBorders>
          </w:tcPr>
          <w:p w14:paraId="7364EBDB" w14:textId="77777777" w:rsidR="005D1423" w:rsidRPr="001E0C6D" w:rsidRDefault="005D1423" w:rsidP="005D1423">
            <w:pPr>
              <w:pStyle w:val="Tabletext"/>
              <w:jc w:val="center"/>
            </w:pPr>
            <w:r w:rsidRPr="001E0C6D">
              <w:t>-</w:t>
            </w:r>
          </w:p>
        </w:tc>
      </w:tr>
      <w:tr w:rsidR="005D1423" w14:paraId="10D2015E" w14:textId="77777777" w:rsidTr="00BC0293">
        <w:trPr>
          <w:cantSplit/>
        </w:trPr>
        <w:tc>
          <w:tcPr>
            <w:tcW w:w="1680" w:type="dxa"/>
            <w:tcBorders>
              <w:top w:val="single" w:sz="4" w:space="0" w:color="auto"/>
              <w:left w:val="nil"/>
              <w:bottom w:val="single" w:sz="4" w:space="0" w:color="auto"/>
              <w:right w:val="nil"/>
            </w:tcBorders>
          </w:tcPr>
          <w:p w14:paraId="38096097" w14:textId="77777777" w:rsidR="005D1423" w:rsidRPr="001E0C6D" w:rsidRDefault="005D1423" w:rsidP="005D1423">
            <w:pPr>
              <w:pStyle w:val="Tabletext"/>
            </w:pPr>
            <w:r w:rsidRPr="001E0C6D">
              <w:t>2003–04</w:t>
            </w:r>
          </w:p>
        </w:tc>
        <w:tc>
          <w:tcPr>
            <w:tcW w:w="2359" w:type="dxa"/>
            <w:tcBorders>
              <w:top w:val="single" w:sz="4" w:space="0" w:color="auto"/>
              <w:left w:val="nil"/>
              <w:bottom w:val="single" w:sz="4" w:space="0" w:color="auto"/>
              <w:right w:val="nil"/>
            </w:tcBorders>
            <w:vAlign w:val="bottom"/>
          </w:tcPr>
          <w:p w14:paraId="5ACB5C1F" w14:textId="77777777" w:rsidR="005D1423" w:rsidRPr="001E0C6D" w:rsidRDefault="005D1423" w:rsidP="005D1423">
            <w:pPr>
              <w:pStyle w:val="Tabletext"/>
              <w:jc w:val="center"/>
            </w:pPr>
            <w:r w:rsidRPr="001E0C6D">
              <w:t>76.1</w:t>
            </w:r>
          </w:p>
        </w:tc>
        <w:tc>
          <w:tcPr>
            <w:tcW w:w="2492" w:type="dxa"/>
            <w:tcBorders>
              <w:top w:val="single" w:sz="4" w:space="0" w:color="auto"/>
              <w:left w:val="nil"/>
              <w:bottom w:val="single" w:sz="4" w:space="0" w:color="auto"/>
              <w:right w:val="nil"/>
            </w:tcBorders>
            <w:vAlign w:val="bottom"/>
          </w:tcPr>
          <w:p w14:paraId="4699E4E2" w14:textId="77777777" w:rsidR="005D1423" w:rsidRPr="001E0C6D" w:rsidRDefault="005D1423" w:rsidP="005D1423">
            <w:pPr>
              <w:pStyle w:val="Tabletext"/>
              <w:jc w:val="center"/>
            </w:pPr>
            <w:r w:rsidRPr="001E0C6D">
              <w:t>274,911</w:t>
            </w:r>
          </w:p>
        </w:tc>
        <w:tc>
          <w:tcPr>
            <w:tcW w:w="2495" w:type="dxa"/>
            <w:tcBorders>
              <w:top w:val="single" w:sz="4" w:space="0" w:color="auto"/>
              <w:left w:val="nil"/>
              <w:bottom w:val="single" w:sz="4" w:space="0" w:color="auto"/>
              <w:right w:val="nil"/>
            </w:tcBorders>
          </w:tcPr>
          <w:p w14:paraId="18EE80DB" w14:textId="77777777" w:rsidR="005D1423" w:rsidRPr="001E0C6D" w:rsidRDefault="005D1423" w:rsidP="005D1423">
            <w:pPr>
              <w:pStyle w:val="Tabletext"/>
              <w:jc w:val="center"/>
            </w:pPr>
            <w:r w:rsidRPr="001E0C6D">
              <w:t>-</w:t>
            </w:r>
          </w:p>
        </w:tc>
      </w:tr>
      <w:tr w:rsidR="005D1423" w14:paraId="050B4BCC" w14:textId="77777777" w:rsidTr="00BC0293">
        <w:trPr>
          <w:cantSplit/>
        </w:trPr>
        <w:tc>
          <w:tcPr>
            <w:tcW w:w="1680" w:type="dxa"/>
            <w:tcBorders>
              <w:top w:val="single" w:sz="4" w:space="0" w:color="auto"/>
              <w:left w:val="nil"/>
              <w:bottom w:val="single" w:sz="4" w:space="0" w:color="auto"/>
              <w:right w:val="nil"/>
            </w:tcBorders>
          </w:tcPr>
          <w:p w14:paraId="638B2247" w14:textId="77777777" w:rsidR="005D1423" w:rsidRPr="001E0C6D" w:rsidRDefault="005D1423" w:rsidP="005D1423">
            <w:pPr>
              <w:pStyle w:val="Tabletext"/>
            </w:pPr>
            <w:r w:rsidRPr="001E0C6D">
              <w:t>2004–05</w:t>
            </w:r>
          </w:p>
        </w:tc>
        <w:tc>
          <w:tcPr>
            <w:tcW w:w="2359" w:type="dxa"/>
            <w:tcBorders>
              <w:top w:val="single" w:sz="4" w:space="0" w:color="auto"/>
              <w:left w:val="nil"/>
              <w:bottom w:val="single" w:sz="4" w:space="0" w:color="auto"/>
              <w:right w:val="nil"/>
            </w:tcBorders>
            <w:vAlign w:val="bottom"/>
          </w:tcPr>
          <w:p w14:paraId="6BAEE14C" w14:textId="77777777" w:rsidR="005D1423" w:rsidRPr="001E0C6D" w:rsidRDefault="005D1423" w:rsidP="005D1423">
            <w:pPr>
              <w:pStyle w:val="Tabletext"/>
              <w:jc w:val="center"/>
            </w:pPr>
            <w:r w:rsidRPr="001E0C6D">
              <w:t>75.5</w:t>
            </w:r>
          </w:p>
        </w:tc>
        <w:tc>
          <w:tcPr>
            <w:tcW w:w="2492" w:type="dxa"/>
            <w:tcBorders>
              <w:top w:val="single" w:sz="4" w:space="0" w:color="auto"/>
              <w:left w:val="nil"/>
              <w:bottom w:val="single" w:sz="4" w:space="0" w:color="auto"/>
              <w:right w:val="nil"/>
            </w:tcBorders>
            <w:vAlign w:val="bottom"/>
          </w:tcPr>
          <w:p w14:paraId="2F0602D7" w14:textId="77777777" w:rsidR="005D1423" w:rsidRPr="001E0C6D" w:rsidRDefault="005D1423" w:rsidP="005D1423">
            <w:pPr>
              <w:pStyle w:val="Tabletext"/>
              <w:jc w:val="center"/>
            </w:pPr>
            <w:r w:rsidRPr="001E0C6D">
              <w:t>292,590</w:t>
            </w:r>
          </w:p>
        </w:tc>
        <w:tc>
          <w:tcPr>
            <w:tcW w:w="2495" w:type="dxa"/>
            <w:tcBorders>
              <w:top w:val="single" w:sz="4" w:space="0" w:color="auto"/>
              <w:left w:val="nil"/>
              <w:bottom w:val="single" w:sz="4" w:space="0" w:color="auto"/>
              <w:right w:val="nil"/>
            </w:tcBorders>
          </w:tcPr>
          <w:p w14:paraId="14A7D10B" w14:textId="77777777" w:rsidR="005D1423" w:rsidRPr="001E0C6D" w:rsidRDefault="005D1423" w:rsidP="005D1423">
            <w:pPr>
              <w:pStyle w:val="Tabletext"/>
              <w:jc w:val="center"/>
            </w:pPr>
            <w:r w:rsidRPr="001E0C6D">
              <w:t>-</w:t>
            </w:r>
          </w:p>
        </w:tc>
      </w:tr>
      <w:tr w:rsidR="005D1423" w14:paraId="04279D63" w14:textId="77777777" w:rsidTr="00BC0293">
        <w:trPr>
          <w:cantSplit/>
        </w:trPr>
        <w:tc>
          <w:tcPr>
            <w:tcW w:w="1680" w:type="dxa"/>
            <w:tcBorders>
              <w:top w:val="single" w:sz="4" w:space="0" w:color="auto"/>
              <w:left w:val="nil"/>
              <w:bottom w:val="single" w:sz="4" w:space="0" w:color="auto"/>
              <w:right w:val="nil"/>
            </w:tcBorders>
          </w:tcPr>
          <w:p w14:paraId="1D677873" w14:textId="77777777" w:rsidR="005D1423" w:rsidRPr="001E0C6D" w:rsidRDefault="005D1423" w:rsidP="005D1423">
            <w:pPr>
              <w:pStyle w:val="Tabletext"/>
            </w:pPr>
            <w:r w:rsidRPr="001E0C6D">
              <w:t>2005–06</w:t>
            </w:r>
          </w:p>
        </w:tc>
        <w:tc>
          <w:tcPr>
            <w:tcW w:w="2359" w:type="dxa"/>
            <w:tcBorders>
              <w:top w:val="single" w:sz="4" w:space="0" w:color="auto"/>
              <w:left w:val="nil"/>
              <w:bottom w:val="single" w:sz="4" w:space="0" w:color="auto"/>
              <w:right w:val="nil"/>
            </w:tcBorders>
            <w:vAlign w:val="bottom"/>
          </w:tcPr>
          <w:p w14:paraId="2584951E" w14:textId="77777777" w:rsidR="005D1423" w:rsidRPr="001E0C6D" w:rsidRDefault="005D1423" w:rsidP="005D1423">
            <w:pPr>
              <w:pStyle w:val="Tabletext"/>
              <w:jc w:val="center"/>
            </w:pPr>
            <w:r w:rsidRPr="001E0C6D">
              <w:t>81.9</w:t>
            </w:r>
          </w:p>
        </w:tc>
        <w:tc>
          <w:tcPr>
            <w:tcW w:w="2492" w:type="dxa"/>
            <w:tcBorders>
              <w:top w:val="single" w:sz="4" w:space="0" w:color="auto"/>
              <w:left w:val="nil"/>
              <w:bottom w:val="single" w:sz="4" w:space="0" w:color="auto"/>
              <w:right w:val="nil"/>
            </w:tcBorders>
            <w:vAlign w:val="bottom"/>
          </w:tcPr>
          <w:p w14:paraId="6A59625C" w14:textId="77777777" w:rsidR="005D1423" w:rsidRPr="001E0C6D" w:rsidRDefault="005D1423" w:rsidP="005D1423">
            <w:pPr>
              <w:pStyle w:val="Tabletext"/>
              <w:jc w:val="center"/>
            </w:pPr>
            <w:r w:rsidRPr="001E0C6D">
              <w:t>328,520</w:t>
            </w:r>
          </w:p>
        </w:tc>
        <w:tc>
          <w:tcPr>
            <w:tcW w:w="2495" w:type="dxa"/>
            <w:tcBorders>
              <w:top w:val="single" w:sz="4" w:space="0" w:color="auto"/>
              <w:left w:val="nil"/>
              <w:bottom w:val="single" w:sz="4" w:space="0" w:color="auto"/>
              <w:right w:val="nil"/>
            </w:tcBorders>
          </w:tcPr>
          <w:p w14:paraId="021F41B0" w14:textId="77777777" w:rsidR="005D1423" w:rsidRPr="001E0C6D" w:rsidRDefault="005D1423" w:rsidP="005D1423">
            <w:pPr>
              <w:pStyle w:val="Tabletext"/>
              <w:jc w:val="center"/>
            </w:pPr>
            <w:r w:rsidRPr="001E0C6D">
              <w:t>-</w:t>
            </w:r>
          </w:p>
        </w:tc>
      </w:tr>
      <w:tr w:rsidR="005D1423" w14:paraId="2F8ACD33" w14:textId="77777777" w:rsidTr="00BC0293">
        <w:trPr>
          <w:cantSplit/>
        </w:trPr>
        <w:tc>
          <w:tcPr>
            <w:tcW w:w="1680" w:type="dxa"/>
            <w:tcBorders>
              <w:top w:val="single" w:sz="4" w:space="0" w:color="auto"/>
              <w:left w:val="nil"/>
              <w:bottom w:val="single" w:sz="4" w:space="0" w:color="auto"/>
              <w:right w:val="nil"/>
            </w:tcBorders>
          </w:tcPr>
          <w:p w14:paraId="7ECD8507" w14:textId="77777777" w:rsidR="005D1423" w:rsidRPr="001E0C6D" w:rsidRDefault="005D1423" w:rsidP="005D1423">
            <w:pPr>
              <w:pStyle w:val="Tabletext"/>
            </w:pPr>
            <w:r w:rsidRPr="001E0C6D">
              <w:t>2006–07</w:t>
            </w:r>
          </w:p>
        </w:tc>
        <w:tc>
          <w:tcPr>
            <w:tcW w:w="2359" w:type="dxa"/>
            <w:tcBorders>
              <w:top w:val="single" w:sz="4" w:space="0" w:color="auto"/>
              <w:left w:val="nil"/>
              <w:bottom w:val="single" w:sz="4" w:space="0" w:color="auto"/>
              <w:right w:val="nil"/>
            </w:tcBorders>
            <w:vAlign w:val="bottom"/>
          </w:tcPr>
          <w:p w14:paraId="2D7558DE" w14:textId="77777777" w:rsidR="005D1423" w:rsidRPr="001E0C6D" w:rsidRDefault="005D1423" w:rsidP="005D1423">
            <w:pPr>
              <w:pStyle w:val="Tabletext"/>
              <w:jc w:val="center"/>
            </w:pPr>
            <w:r w:rsidRPr="001E0C6D">
              <w:t>92.1</w:t>
            </w:r>
          </w:p>
        </w:tc>
        <w:tc>
          <w:tcPr>
            <w:tcW w:w="2492" w:type="dxa"/>
            <w:tcBorders>
              <w:top w:val="single" w:sz="4" w:space="0" w:color="auto"/>
              <w:left w:val="nil"/>
              <w:bottom w:val="single" w:sz="4" w:space="0" w:color="auto"/>
              <w:right w:val="nil"/>
            </w:tcBorders>
            <w:vAlign w:val="bottom"/>
          </w:tcPr>
          <w:p w14:paraId="09DF069B" w14:textId="77777777" w:rsidR="005D1423" w:rsidRPr="001E0C6D" w:rsidRDefault="005D1423" w:rsidP="005D1423">
            <w:pPr>
              <w:pStyle w:val="Tabletext"/>
              <w:jc w:val="center"/>
            </w:pPr>
            <w:r w:rsidRPr="001E0C6D">
              <w:t>366,058</w:t>
            </w:r>
          </w:p>
        </w:tc>
        <w:tc>
          <w:tcPr>
            <w:tcW w:w="2495" w:type="dxa"/>
            <w:tcBorders>
              <w:top w:val="single" w:sz="4" w:space="0" w:color="auto"/>
              <w:left w:val="nil"/>
              <w:bottom w:val="single" w:sz="4" w:space="0" w:color="auto"/>
              <w:right w:val="nil"/>
            </w:tcBorders>
          </w:tcPr>
          <w:p w14:paraId="4C0D2680" w14:textId="77777777" w:rsidR="005D1423" w:rsidRPr="001E0C6D" w:rsidRDefault="005D1423" w:rsidP="005D1423">
            <w:pPr>
              <w:pStyle w:val="Tabletext"/>
              <w:jc w:val="center"/>
            </w:pPr>
            <w:r w:rsidRPr="001E0C6D">
              <w:t>-</w:t>
            </w:r>
          </w:p>
        </w:tc>
      </w:tr>
      <w:tr w:rsidR="005D1423" w14:paraId="09F8CEDB" w14:textId="77777777" w:rsidTr="00BC0293">
        <w:trPr>
          <w:cantSplit/>
        </w:trPr>
        <w:tc>
          <w:tcPr>
            <w:tcW w:w="1680" w:type="dxa"/>
            <w:tcBorders>
              <w:top w:val="single" w:sz="4" w:space="0" w:color="auto"/>
              <w:left w:val="nil"/>
              <w:bottom w:val="single" w:sz="4" w:space="0" w:color="auto"/>
              <w:right w:val="nil"/>
            </w:tcBorders>
          </w:tcPr>
          <w:p w14:paraId="7AEEE90D" w14:textId="77777777" w:rsidR="005D1423" w:rsidRPr="001E0C6D" w:rsidRDefault="005D1423" w:rsidP="005D1423">
            <w:pPr>
              <w:pStyle w:val="Tabletext"/>
            </w:pPr>
            <w:r w:rsidRPr="001E0C6D">
              <w:t>2007–08</w:t>
            </w:r>
          </w:p>
        </w:tc>
        <w:tc>
          <w:tcPr>
            <w:tcW w:w="2359" w:type="dxa"/>
            <w:tcBorders>
              <w:top w:val="single" w:sz="4" w:space="0" w:color="auto"/>
              <w:left w:val="nil"/>
              <w:bottom w:val="single" w:sz="4" w:space="0" w:color="auto"/>
              <w:right w:val="nil"/>
            </w:tcBorders>
            <w:vAlign w:val="bottom"/>
          </w:tcPr>
          <w:p w14:paraId="3A6F9B86" w14:textId="77777777" w:rsidR="005D1423" w:rsidRPr="001E0C6D" w:rsidRDefault="005D1423" w:rsidP="005D1423">
            <w:pPr>
              <w:pStyle w:val="Tabletext"/>
              <w:jc w:val="center"/>
            </w:pPr>
            <w:r w:rsidRPr="001E0C6D">
              <w:t>99.1</w:t>
            </w:r>
          </w:p>
        </w:tc>
        <w:tc>
          <w:tcPr>
            <w:tcW w:w="2492" w:type="dxa"/>
            <w:tcBorders>
              <w:top w:val="single" w:sz="4" w:space="0" w:color="auto"/>
              <w:left w:val="nil"/>
              <w:bottom w:val="single" w:sz="4" w:space="0" w:color="auto"/>
              <w:right w:val="nil"/>
            </w:tcBorders>
            <w:vAlign w:val="bottom"/>
          </w:tcPr>
          <w:p w14:paraId="66AE2AA2" w14:textId="77777777" w:rsidR="005D1423" w:rsidRPr="001E0C6D" w:rsidRDefault="005D1423" w:rsidP="005D1423">
            <w:pPr>
              <w:pStyle w:val="Tabletext"/>
              <w:jc w:val="center"/>
            </w:pPr>
            <w:r w:rsidRPr="001E0C6D">
              <w:t>388,857</w:t>
            </w:r>
          </w:p>
        </w:tc>
        <w:tc>
          <w:tcPr>
            <w:tcW w:w="2495" w:type="dxa"/>
            <w:tcBorders>
              <w:top w:val="single" w:sz="4" w:space="0" w:color="auto"/>
              <w:left w:val="nil"/>
              <w:bottom w:val="single" w:sz="4" w:space="0" w:color="auto"/>
              <w:right w:val="nil"/>
            </w:tcBorders>
          </w:tcPr>
          <w:p w14:paraId="42A68994" w14:textId="77777777" w:rsidR="005D1423" w:rsidRPr="001E0C6D" w:rsidRDefault="005D1423" w:rsidP="005D1423">
            <w:pPr>
              <w:pStyle w:val="Tabletext"/>
              <w:jc w:val="center"/>
            </w:pPr>
            <w:r w:rsidRPr="001E0C6D">
              <w:t>-</w:t>
            </w:r>
          </w:p>
        </w:tc>
      </w:tr>
      <w:tr w:rsidR="005D1423" w14:paraId="374ECB70" w14:textId="77777777" w:rsidTr="00BC0293">
        <w:trPr>
          <w:cantSplit/>
        </w:trPr>
        <w:tc>
          <w:tcPr>
            <w:tcW w:w="1680" w:type="dxa"/>
            <w:tcBorders>
              <w:top w:val="single" w:sz="4" w:space="0" w:color="auto"/>
              <w:left w:val="nil"/>
              <w:bottom w:val="single" w:sz="4" w:space="0" w:color="auto"/>
              <w:right w:val="nil"/>
            </w:tcBorders>
          </w:tcPr>
          <w:p w14:paraId="2924641A" w14:textId="77777777" w:rsidR="005D1423" w:rsidRPr="001E0C6D" w:rsidRDefault="005D1423" w:rsidP="005D1423">
            <w:pPr>
              <w:pStyle w:val="Tabletext"/>
            </w:pPr>
            <w:r w:rsidRPr="001E0C6D">
              <w:t>2008–09</w:t>
            </w:r>
          </w:p>
        </w:tc>
        <w:tc>
          <w:tcPr>
            <w:tcW w:w="2359" w:type="dxa"/>
            <w:tcBorders>
              <w:top w:val="single" w:sz="4" w:space="0" w:color="auto"/>
              <w:left w:val="nil"/>
              <w:bottom w:val="single" w:sz="4" w:space="0" w:color="auto"/>
              <w:right w:val="nil"/>
            </w:tcBorders>
            <w:vAlign w:val="bottom"/>
          </w:tcPr>
          <w:p w14:paraId="74210A4A" w14:textId="77777777" w:rsidR="005D1423" w:rsidRPr="001E0C6D" w:rsidRDefault="005D1423" w:rsidP="005D1423">
            <w:pPr>
              <w:pStyle w:val="Tabletext"/>
              <w:jc w:val="center"/>
            </w:pPr>
            <w:r w:rsidRPr="001E0C6D">
              <w:t>100.7</w:t>
            </w:r>
          </w:p>
        </w:tc>
        <w:tc>
          <w:tcPr>
            <w:tcW w:w="2492" w:type="dxa"/>
            <w:tcBorders>
              <w:top w:val="single" w:sz="4" w:space="0" w:color="auto"/>
              <w:left w:val="nil"/>
              <w:bottom w:val="single" w:sz="4" w:space="0" w:color="auto"/>
              <w:right w:val="nil"/>
            </w:tcBorders>
            <w:vAlign w:val="bottom"/>
          </w:tcPr>
          <w:p w14:paraId="3294B8B6" w14:textId="77777777" w:rsidR="005D1423" w:rsidRPr="001E0C6D" w:rsidRDefault="005D1423" w:rsidP="005D1423">
            <w:pPr>
              <w:pStyle w:val="Tabletext"/>
              <w:jc w:val="center"/>
            </w:pPr>
            <w:r w:rsidRPr="001E0C6D">
              <w:t>446,531</w:t>
            </w:r>
          </w:p>
        </w:tc>
        <w:tc>
          <w:tcPr>
            <w:tcW w:w="2495" w:type="dxa"/>
            <w:tcBorders>
              <w:top w:val="single" w:sz="4" w:space="0" w:color="auto"/>
              <w:left w:val="nil"/>
              <w:bottom w:val="single" w:sz="4" w:space="0" w:color="auto"/>
              <w:right w:val="nil"/>
            </w:tcBorders>
          </w:tcPr>
          <w:p w14:paraId="0E7EF377" w14:textId="77777777" w:rsidR="005D1423" w:rsidRPr="001E0C6D" w:rsidRDefault="005D1423" w:rsidP="005D1423">
            <w:pPr>
              <w:pStyle w:val="Tabletext"/>
              <w:jc w:val="center"/>
            </w:pPr>
            <w:r w:rsidRPr="001E0C6D">
              <w:t>-</w:t>
            </w:r>
          </w:p>
        </w:tc>
      </w:tr>
      <w:tr w:rsidR="005D1423" w14:paraId="751C460D" w14:textId="77777777" w:rsidTr="00BC0293">
        <w:trPr>
          <w:cantSplit/>
        </w:trPr>
        <w:tc>
          <w:tcPr>
            <w:tcW w:w="1680" w:type="dxa"/>
            <w:tcBorders>
              <w:top w:val="single" w:sz="4" w:space="0" w:color="auto"/>
              <w:left w:val="nil"/>
              <w:bottom w:val="single" w:sz="4" w:space="0" w:color="auto"/>
              <w:right w:val="nil"/>
            </w:tcBorders>
          </w:tcPr>
          <w:p w14:paraId="64DF4BCC" w14:textId="77777777" w:rsidR="005D1423" w:rsidRPr="001E0C6D" w:rsidRDefault="005D1423" w:rsidP="005D1423">
            <w:pPr>
              <w:pStyle w:val="Tabletext"/>
            </w:pPr>
            <w:r w:rsidRPr="001E0C6D">
              <w:t>2009–10</w:t>
            </w:r>
          </w:p>
        </w:tc>
        <w:tc>
          <w:tcPr>
            <w:tcW w:w="2359" w:type="dxa"/>
            <w:tcBorders>
              <w:top w:val="single" w:sz="4" w:space="0" w:color="auto"/>
              <w:left w:val="nil"/>
              <w:bottom w:val="single" w:sz="4" w:space="0" w:color="auto"/>
              <w:right w:val="nil"/>
            </w:tcBorders>
            <w:vAlign w:val="bottom"/>
          </w:tcPr>
          <w:p w14:paraId="656BAF38" w14:textId="77777777" w:rsidR="005D1423" w:rsidRPr="001E0C6D" w:rsidRDefault="005D1423" w:rsidP="005D1423">
            <w:pPr>
              <w:pStyle w:val="Tabletext"/>
              <w:jc w:val="center"/>
            </w:pPr>
            <w:r w:rsidRPr="001E0C6D">
              <w:t>98.0</w:t>
            </w:r>
          </w:p>
        </w:tc>
        <w:tc>
          <w:tcPr>
            <w:tcW w:w="2492" w:type="dxa"/>
            <w:tcBorders>
              <w:top w:val="single" w:sz="4" w:space="0" w:color="auto"/>
              <w:left w:val="nil"/>
              <w:bottom w:val="single" w:sz="4" w:space="0" w:color="auto"/>
              <w:right w:val="nil"/>
            </w:tcBorders>
            <w:vAlign w:val="bottom"/>
          </w:tcPr>
          <w:p w14:paraId="6F2DD693" w14:textId="77777777" w:rsidR="005D1423" w:rsidRPr="001E0C6D" w:rsidRDefault="005D1423" w:rsidP="005D1423">
            <w:pPr>
              <w:pStyle w:val="Tabletext"/>
              <w:jc w:val="center"/>
            </w:pPr>
            <w:r w:rsidRPr="001E0C6D">
              <w:t>447,590</w:t>
            </w:r>
          </w:p>
        </w:tc>
        <w:tc>
          <w:tcPr>
            <w:tcW w:w="2495" w:type="dxa"/>
            <w:tcBorders>
              <w:top w:val="single" w:sz="4" w:space="0" w:color="auto"/>
              <w:left w:val="nil"/>
              <w:bottom w:val="single" w:sz="4" w:space="0" w:color="auto"/>
              <w:right w:val="nil"/>
            </w:tcBorders>
          </w:tcPr>
          <w:p w14:paraId="4C8DC06F" w14:textId="77777777" w:rsidR="005D1423" w:rsidRPr="001E0C6D" w:rsidRDefault="005D1423" w:rsidP="005D1423">
            <w:pPr>
              <w:pStyle w:val="Tabletext"/>
              <w:jc w:val="center"/>
            </w:pPr>
            <w:r w:rsidRPr="001E0C6D">
              <w:t>-</w:t>
            </w:r>
          </w:p>
        </w:tc>
      </w:tr>
      <w:tr w:rsidR="005D1423" w14:paraId="6E8DA004" w14:textId="77777777" w:rsidTr="00BC0293">
        <w:trPr>
          <w:cantSplit/>
        </w:trPr>
        <w:tc>
          <w:tcPr>
            <w:tcW w:w="1680" w:type="dxa"/>
            <w:tcBorders>
              <w:top w:val="single" w:sz="4" w:space="0" w:color="auto"/>
              <w:left w:val="nil"/>
              <w:bottom w:val="single" w:sz="4" w:space="0" w:color="auto"/>
              <w:right w:val="nil"/>
            </w:tcBorders>
          </w:tcPr>
          <w:p w14:paraId="58B857DC" w14:textId="77777777" w:rsidR="005D1423" w:rsidRPr="001E0C6D" w:rsidRDefault="005D1423" w:rsidP="005D1423">
            <w:pPr>
              <w:pStyle w:val="Tabletext"/>
            </w:pPr>
            <w:r w:rsidRPr="001E0C6D">
              <w:t>2010–11</w:t>
            </w:r>
          </w:p>
        </w:tc>
        <w:tc>
          <w:tcPr>
            <w:tcW w:w="2359" w:type="dxa"/>
            <w:tcBorders>
              <w:top w:val="single" w:sz="4" w:space="0" w:color="auto"/>
              <w:left w:val="nil"/>
              <w:bottom w:val="single" w:sz="4" w:space="0" w:color="auto"/>
              <w:right w:val="nil"/>
            </w:tcBorders>
          </w:tcPr>
          <w:p w14:paraId="330F6592" w14:textId="77777777" w:rsidR="005D1423" w:rsidRPr="001E0C6D" w:rsidRDefault="005D1423" w:rsidP="005D1423">
            <w:pPr>
              <w:pStyle w:val="Tabletext"/>
              <w:jc w:val="center"/>
            </w:pPr>
            <w:r w:rsidRPr="001E0C6D">
              <w:t>-</w:t>
            </w:r>
          </w:p>
        </w:tc>
        <w:tc>
          <w:tcPr>
            <w:tcW w:w="2492" w:type="dxa"/>
            <w:tcBorders>
              <w:top w:val="single" w:sz="4" w:space="0" w:color="auto"/>
              <w:left w:val="nil"/>
              <w:bottom w:val="single" w:sz="4" w:space="0" w:color="auto"/>
              <w:right w:val="nil"/>
            </w:tcBorders>
            <w:vAlign w:val="bottom"/>
          </w:tcPr>
          <w:p w14:paraId="70B852ED" w14:textId="77777777" w:rsidR="005D1423" w:rsidRPr="001E0C6D" w:rsidRDefault="005D1423" w:rsidP="005D1423">
            <w:pPr>
              <w:pStyle w:val="Tabletext"/>
              <w:jc w:val="center"/>
            </w:pPr>
            <w:r w:rsidRPr="001E0C6D">
              <w:t>490,748</w:t>
            </w:r>
          </w:p>
        </w:tc>
        <w:tc>
          <w:tcPr>
            <w:tcW w:w="2495" w:type="dxa"/>
            <w:tcBorders>
              <w:top w:val="single" w:sz="4" w:space="0" w:color="auto"/>
              <w:left w:val="nil"/>
              <w:bottom w:val="single" w:sz="4" w:space="0" w:color="auto"/>
              <w:right w:val="nil"/>
            </w:tcBorders>
            <w:vAlign w:val="bottom"/>
          </w:tcPr>
          <w:p w14:paraId="6A523379" w14:textId="77777777" w:rsidR="005D1423" w:rsidRPr="001E0C6D" w:rsidRDefault="005D1423" w:rsidP="005D1423">
            <w:pPr>
              <w:pStyle w:val="Tabletext"/>
              <w:jc w:val="center"/>
            </w:pPr>
            <w:r w:rsidRPr="001E0C6D">
              <w:t>110.5</w:t>
            </w:r>
          </w:p>
        </w:tc>
      </w:tr>
      <w:tr w:rsidR="005D1423" w14:paraId="20DDC974" w14:textId="77777777" w:rsidTr="00BC0293">
        <w:trPr>
          <w:cantSplit/>
        </w:trPr>
        <w:tc>
          <w:tcPr>
            <w:tcW w:w="1680" w:type="dxa"/>
            <w:tcBorders>
              <w:top w:val="single" w:sz="4" w:space="0" w:color="auto"/>
              <w:left w:val="nil"/>
              <w:bottom w:val="single" w:sz="4" w:space="0" w:color="auto"/>
              <w:right w:val="nil"/>
            </w:tcBorders>
          </w:tcPr>
          <w:p w14:paraId="4A40AB58" w14:textId="77777777" w:rsidR="005D1423" w:rsidRPr="001E0C6D" w:rsidRDefault="005D1423" w:rsidP="005D1423">
            <w:pPr>
              <w:pStyle w:val="Tabletext"/>
            </w:pPr>
            <w:r w:rsidRPr="001E0C6D">
              <w:t>2011–12</w:t>
            </w:r>
          </w:p>
        </w:tc>
        <w:tc>
          <w:tcPr>
            <w:tcW w:w="2359" w:type="dxa"/>
            <w:tcBorders>
              <w:top w:val="single" w:sz="4" w:space="0" w:color="auto"/>
              <w:left w:val="nil"/>
              <w:bottom w:val="single" w:sz="4" w:space="0" w:color="auto"/>
              <w:right w:val="nil"/>
            </w:tcBorders>
          </w:tcPr>
          <w:p w14:paraId="2DFA2C68" w14:textId="77777777" w:rsidR="005D1423" w:rsidRPr="001E0C6D" w:rsidRDefault="005D1423" w:rsidP="005D1423">
            <w:pPr>
              <w:pStyle w:val="Tabletext"/>
              <w:jc w:val="center"/>
            </w:pPr>
            <w:r w:rsidRPr="001E0C6D">
              <w:t>-</w:t>
            </w:r>
          </w:p>
        </w:tc>
        <w:tc>
          <w:tcPr>
            <w:tcW w:w="2492" w:type="dxa"/>
            <w:tcBorders>
              <w:top w:val="single" w:sz="4" w:space="0" w:color="auto"/>
              <w:left w:val="nil"/>
              <w:bottom w:val="single" w:sz="4" w:space="0" w:color="auto"/>
              <w:right w:val="nil"/>
            </w:tcBorders>
            <w:vAlign w:val="bottom"/>
          </w:tcPr>
          <w:p w14:paraId="718658A9" w14:textId="77777777" w:rsidR="005D1423" w:rsidRPr="001E0C6D" w:rsidRDefault="005D1423" w:rsidP="005D1423">
            <w:pPr>
              <w:pStyle w:val="Tabletext"/>
              <w:jc w:val="center"/>
            </w:pPr>
            <w:r w:rsidRPr="001E0C6D">
              <w:t>519,067</w:t>
            </w:r>
          </w:p>
        </w:tc>
        <w:tc>
          <w:tcPr>
            <w:tcW w:w="2495" w:type="dxa"/>
            <w:tcBorders>
              <w:top w:val="single" w:sz="4" w:space="0" w:color="auto"/>
              <w:left w:val="nil"/>
              <w:bottom w:val="single" w:sz="4" w:space="0" w:color="auto"/>
              <w:right w:val="nil"/>
            </w:tcBorders>
            <w:vAlign w:val="bottom"/>
          </w:tcPr>
          <w:p w14:paraId="4A044527" w14:textId="77777777" w:rsidR="005D1423" w:rsidRPr="001E0C6D" w:rsidRDefault="005D1423" w:rsidP="005D1423">
            <w:pPr>
              <w:pStyle w:val="Tabletext"/>
              <w:jc w:val="center"/>
            </w:pPr>
            <w:r w:rsidRPr="001E0C6D">
              <w:t>115.5</w:t>
            </w:r>
          </w:p>
        </w:tc>
      </w:tr>
      <w:tr w:rsidR="005D1423" w14:paraId="73DEB992" w14:textId="77777777" w:rsidTr="00BC0293">
        <w:trPr>
          <w:cantSplit/>
        </w:trPr>
        <w:tc>
          <w:tcPr>
            <w:tcW w:w="1680" w:type="dxa"/>
            <w:tcBorders>
              <w:top w:val="single" w:sz="4" w:space="0" w:color="auto"/>
              <w:left w:val="nil"/>
              <w:bottom w:val="single" w:sz="4" w:space="0" w:color="auto"/>
              <w:right w:val="nil"/>
            </w:tcBorders>
          </w:tcPr>
          <w:p w14:paraId="77862A46" w14:textId="77777777" w:rsidR="005D1423" w:rsidRPr="001E0C6D" w:rsidRDefault="005D1423" w:rsidP="005D1423">
            <w:pPr>
              <w:pStyle w:val="Tabletext"/>
            </w:pPr>
            <w:r w:rsidRPr="001E0C6D">
              <w:t>2012–13</w:t>
            </w:r>
          </w:p>
        </w:tc>
        <w:tc>
          <w:tcPr>
            <w:tcW w:w="2359" w:type="dxa"/>
            <w:tcBorders>
              <w:top w:val="single" w:sz="4" w:space="0" w:color="auto"/>
              <w:left w:val="nil"/>
              <w:bottom w:val="single" w:sz="4" w:space="0" w:color="auto"/>
              <w:right w:val="nil"/>
            </w:tcBorders>
          </w:tcPr>
          <w:p w14:paraId="7110B60A" w14:textId="77777777" w:rsidR="005D1423" w:rsidRPr="001E0C6D" w:rsidRDefault="005D1423" w:rsidP="005D1423">
            <w:pPr>
              <w:pStyle w:val="Tabletext"/>
              <w:jc w:val="center"/>
            </w:pPr>
            <w:r w:rsidRPr="001E0C6D">
              <w:t>-</w:t>
            </w:r>
          </w:p>
        </w:tc>
        <w:tc>
          <w:tcPr>
            <w:tcW w:w="2492" w:type="dxa"/>
            <w:tcBorders>
              <w:top w:val="single" w:sz="4" w:space="0" w:color="auto"/>
              <w:left w:val="nil"/>
              <w:bottom w:val="single" w:sz="4" w:space="0" w:color="auto"/>
              <w:right w:val="nil"/>
            </w:tcBorders>
            <w:vAlign w:val="bottom"/>
          </w:tcPr>
          <w:p w14:paraId="29248C27" w14:textId="77777777" w:rsidR="005D1423" w:rsidRPr="001E0C6D" w:rsidRDefault="005D1423" w:rsidP="005D1423">
            <w:pPr>
              <w:pStyle w:val="Tabletext"/>
              <w:jc w:val="center"/>
            </w:pPr>
            <w:r w:rsidRPr="001E0C6D">
              <w:t>521,165</w:t>
            </w:r>
          </w:p>
        </w:tc>
        <w:tc>
          <w:tcPr>
            <w:tcW w:w="2495" w:type="dxa"/>
            <w:tcBorders>
              <w:top w:val="single" w:sz="4" w:space="0" w:color="auto"/>
              <w:left w:val="nil"/>
              <w:bottom w:val="single" w:sz="4" w:space="0" w:color="auto"/>
              <w:right w:val="nil"/>
            </w:tcBorders>
            <w:vAlign w:val="bottom"/>
          </w:tcPr>
          <w:p w14:paraId="7A218B02" w14:textId="77777777" w:rsidR="005D1423" w:rsidRPr="001E0C6D" w:rsidRDefault="005D1423" w:rsidP="005D1423">
            <w:pPr>
              <w:pStyle w:val="Tabletext"/>
              <w:jc w:val="center"/>
            </w:pPr>
            <w:r w:rsidRPr="001E0C6D">
              <w:t>115.9</w:t>
            </w:r>
          </w:p>
        </w:tc>
      </w:tr>
      <w:tr w:rsidR="005D1423" w14:paraId="10D57F35" w14:textId="77777777" w:rsidTr="00BC0293">
        <w:trPr>
          <w:cantSplit/>
        </w:trPr>
        <w:tc>
          <w:tcPr>
            <w:tcW w:w="1680" w:type="dxa"/>
            <w:tcBorders>
              <w:top w:val="single" w:sz="4" w:space="0" w:color="auto"/>
              <w:left w:val="nil"/>
              <w:bottom w:val="single" w:sz="4" w:space="0" w:color="auto"/>
              <w:right w:val="nil"/>
            </w:tcBorders>
          </w:tcPr>
          <w:p w14:paraId="4281FAF8" w14:textId="77777777" w:rsidR="005D1423" w:rsidRPr="001E0C6D" w:rsidRDefault="005D1423" w:rsidP="005D1423">
            <w:pPr>
              <w:pStyle w:val="Tabletext"/>
            </w:pPr>
            <w:r w:rsidRPr="001E0C6D">
              <w:t>2013–14</w:t>
            </w:r>
          </w:p>
        </w:tc>
        <w:tc>
          <w:tcPr>
            <w:tcW w:w="2359" w:type="dxa"/>
            <w:tcBorders>
              <w:top w:val="single" w:sz="4" w:space="0" w:color="auto"/>
              <w:left w:val="nil"/>
              <w:bottom w:val="single" w:sz="4" w:space="0" w:color="auto"/>
              <w:right w:val="nil"/>
            </w:tcBorders>
          </w:tcPr>
          <w:p w14:paraId="0F85C959" w14:textId="77777777" w:rsidR="005D1423" w:rsidRPr="001E0C6D" w:rsidRDefault="005D1423" w:rsidP="005D1423">
            <w:pPr>
              <w:pStyle w:val="Tabletext"/>
              <w:jc w:val="center"/>
            </w:pPr>
            <w:r w:rsidRPr="001E0C6D">
              <w:t>-</w:t>
            </w:r>
          </w:p>
        </w:tc>
        <w:tc>
          <w:tcPr>
            <w:tcW w:w="2492" w:type="dxa"/>
            <w:tcBorders>
              <w:top w:val="single" w:sz="4" w:space="0" w:color="auto"/>
              <w:left w:val="nil"/>
              <w:bottom w:val="single" w:sz="4" w:space="0" w:color="auto"/>
              <w:right w:val="nil"/>
            </w:tcBorders>
            <w:vAlign w:val="bottom"/>
          </w:tcPr>
          <w:p w14:paraId="1A8A193A" w14:textId="77777777" w:rsidR="005D1423" w:rsidRPr="001E0C6D" w:rsidRDefault="005D1423" w:rsidP="005D1423">
            <w:pPr>
              <w:pStyle w:val="Tabletext"/>
              <w:jc w:val="center"/>
            </w:pPr>
            <w:r w:rsidRPr="001E0C6D">
              <w:t>542,112</w:t>
            </w:r>
          </w:p>
        </w:tc>
        <w:tc>
          <w:tcPr>
            <w:tcW w:w="2495" w:type="dxa"/>
            <w:tcBorders>
              <w:top w:val="single" w:sz="4" w:space="0" w:color="auto"/>
              <w:left w:val="nil"/>
              <w:bottom w:val="single" w:sz="4" w:space="0" w:color="auto"/>
              <w:right w:val="nil"/>
            </w:tcBorders>
            <w:vAlign w:val="bottom"/>
          </w:tcPr>
          <w:p w14:paraId="3EF67AE5" w14:textId="77777777" w:rsidR="005D1423" w:rsidRPr="001E0C6D" w:rsidRDefault="005D1423" w:rsidP="005D1423">
            <w:pPr>
              <w:pStyle w:val="Tabletext"/>
              <w:jc w:val="center"/>
            </w:pPr>
            <w:r w:rsidRPr="001E0C6D">
              <w:t>119.6</w:t>
            </w:r>
          </w:p>
        </w:tc>
      </w:tr>
      <w:tr w:rsidR="005D1423" w14:paraId="71D829B2" w14:textId="77777777" w:rsidTr="00BC0293">
        <w:trPr>
          <w:cantSplit/>
        </w:trPr>
        <w:tc>
          <w:tcPr>
            <w:tcW w:w="1680" w:type="dxa"/>
            <w:tcBorders>
              <w:top w:val="single" w:sz="4" w:space="0" w:color="auto"/>
              <w:left w:val="nil"/>
              <w:bottom w:val="single" w:sz="4" w:space="0" w:color="auto"/>
              <w:right w:val="nil"/>
            </w:tcBorders>
          </w:tcPr>
          <w:p w14:paraId="697DC9D3" w14:textId="77777777" w:rsidR="005D1423" w:rsidRPr="001E0C6D" w:rsidRDefault="005D1423" w:rsidP="005D1423">
            <w:pPr>
              <w:pStyle w:val="Tabletext"/>
            </w:pPr>
            <w:r w:rsidRPr="001E0C6D">
              <w:t>2014–15</w:t>
            </w:r>
          </w:p>
        </w:tc>
        <w:tc>
          <w:tcPr>
            <w:tcW w:w="2359" w:type="dxa"/>
            <w:tcBorders>
              <w:top w:val="single" w:sz="4" w:space="0" w:color="auto"/>
              <w:left w:val="nil"/>
              <w:bottom w:val="single" w:sz="4" w:space="0" w:color="auto"/>
              <w:right w:val="nil"/>
            </w:tcBorders>
          </w:tcPr>
          <w:p w14:paraId="19B49EFD" w14:textId="77777777" w:rsidR="005D1423" w:rsidRPr="001E0C6D" w:rsidRDefault="005D1423" w:rsidP="005D1423">
            <w:pPr>
              <w:pStyle w:val="Tabletext"/>
              <w:jc w:val="center"/>
            </w:pPr>
            <w:r w:rsidRPr="001E0C6D">
              <w:t>-</w:t>
            </w:r>
          </w:p>
        </w:tc>
        <w:tc>
          <w:tcPr>
            <w:tcW w:w="2492" w:type="dxa"/>
            <w:tcBorders>
              <w:top w:val="single" w:sz="4" w:space="0" w:color="auto"/>
              <w:left w:val="nil"/>
              <w:bottom w:val="single" w:sz="4" w:space="0" w:color="auto"/>
              <w:right w:val="nil"/>
            </w:tcBorders>
            <w:vAlign w:val="bottom"/>
          </w:tcPr>
          <w:p w14:paraId="414402A3" w14:textId="77777777" w:rsidR="005D1423" w:rsidRPr="001E0C6D" w:rsidRDefault="005D1423" w:rsidP="005D1423">
            <w:pPr>
              <w:pStyle w:val="Tabletext"/>
              <w:jc w:val="center"/>
            </w:pPr>
            <w:r w:rsidRPr="001E0C6D">
              <w:t>536,862</w:t>
            </w:r>
          </w:p>
        </w:tc>
        <w:tc>
          <w:tcPr>
            <w:tcW w:w="2495" w:type="dxa"/>
            <w:tcBorders>
              <w:top w:val="single" w:sz="4" w:space="0" w:color="auto"/>
              <w:left w:val="nil"/>
              <w:bottom w:val="single" w:sz="4" w:space="0" w:color="auto"/>
              <w:right w:val="nil"/>
            </w:tcBorders>
            <w:vAlign w:val="bottom"/>
          </w:tcPr>
          <w:p w14:paraId="6925FFEE" w14:textId="77777777" w:rsidR="005D1423" w:rsidRPr="001E0C6D" w:rsidRDefault="005D1423" w:rsidP="005D1423">
            <w:pPr>
              <w:pStyle w:val="Tabletext"/>
              <w:jc w:val="center"/>
            </w:pPr>
            <w:r w:rsidRPr="001E0C6D">
              <w:t>118.7</w:t>
            </w:r>
          </w:p>
        </w:tc>
      </w:tr>
      <w:tr w:rsidR="005D1423" w14:paraId="560BE0B3" w14:textId="77777777" w:rsidTr="00C44BDF">
        <w:trPr>
          <w:cantSplit/>
        </w:trPr>
        <w:tc>
          <w:tcPr>
            <w:tcW w:w="1680" w:type="dxa"/>
            <w:tcBorders>
              <w:top w:val="single" w:sz="4" w:space="0" w:color="auto"/>
              <w:left w:val="nil"/>
              <w:bottom w:val="single" w:sz="12" w:space="0" w:color="auto"/>
              <w:right w:val="nil"/>
            </w:tcBorders>
          </w:tcPr>
          <w:p w14:paraId="0CC48282" w14:textId="77777777" w:rsidR="005D1423" w:rsidRPr="001E0C6D" w:rsidRDefault="005D1423" w:rsidP="005D1423">
            <w:pPr>
              <w:pStyle w:val="Tabletext"/>
            </w:pPr>
            <w:r w:rsidRPr="001E0C6D">
              <w:t>2015–16</w:t>
            </w:r>
          </w:p>
        </w:tc>
        <w:tc>
          <w:tcPr>
            <w:tcW w:w="2359" w:type="dxa"/>
            <w:tcBorders>
              <w:top w:val="single" w:sz="4" w:space="0" w:color="auto"/>
              <w:left w:val="nil"/>
              <w:bottom w:val="single" w:sz="12" w:space="0" w:color="auto"/>
              <w:right w:val="nil"/>
            </w:tcBorders>
          </w:tcPr>
          <w:p w14:paraId="69CF7DFB" w14:textId="77777777" w:rsidR="005D1423" w:rsidRPr="001E0C6D" w:rsidRDefault="005D1423" w:rsidP="005D1423">
            <w:pPr>
              <w:pStyle w:val="Tabletext"/>
              <w:jc w:val="center"/>
            </w:pPr>
            <w:r w:rsidRPr="001E0C6D">
              <w:t>-</w:t>
            </w:r>
          </w:p>
        </w:tc>
        <w:tc>
          <w:tcPr>
            <w:tcW w:w="2492" w:type="dxa"/>
            <w:tcBorders>
              <w:top w:val="single" w:sz="4" w:space="0" w:color="auto"/>
              <w:left w:val="nil"/>
              <w:bottom w:val="single" w:sz="12" w:space="0" w:color="auto"/>
              <w:right w:val="nil"/>
            </w:tcBorders>
            <w:vAlign w:val="bottom"/>
          </w:tcPr>
          <w:p w14:paraId="5820EE55" w14:textId="77777777" w:rsidR="005D1423" w:rsidRPr="001E0C6D" w:rsidRDefault="005D1423" w:rsidP="005D1423">
            <w:pPr>
              <w:pStyle w:val="Tabletext"/>
              <w:jc w:val="center"/>
            </w:pPr>
            <w:r w:rsidRPr="001E0C6D">
              <w:t>536,695</w:t>
            </w:r>
          </w:p>
        </w:tc>
        <w:tc>
          <w:tcPr>
            <w:tcW w:w="2495" w:type="dxa"/>
            <w:tcBorders>
              <w:top w:val="single" w:sz="4" w:space="0" w:color="auto"/>
              <w:left w:val="nil"/>
              <w:bottom w:val="single" w:sz="12" w:space="0" w:color="auto"/>
              <w:right w:val="nil"/>
            </w:tcBorders>
            <w:vAlign w:val="bottom"/>
          </w:tcPr>
          <w:p w14:paraId="02641F28" w14:textId="77777777" w:rsidR="005D1423" w:rsidRPr="001E0C6D" w:rsidRDefault="005D1423" w:rsidP="005D1423">
            <w:pPr>
              <w:pStyle w:val="Tabletext"/>
              <w:jc w:val="center"/>
            </w:pPr>
            <w:r w:rsidRPr="001E0C6D">
              <w:t>118.6</w:t>
            </w:r>
          </w:p>
        </w:tc>
      </w:tr>
    </w:tbl>
    <w:p w14:paraId="20B82273" w14:textId="77777777" w:rsidR="005D1423" w:rsidRDefault="005D1423" w:rsidP="005D1423"/>
    <w:p w14:paraId="530E6414" w14:textId="77777777" w:rsidR="00E25A11" w:rsidRPr="001E0C6D" w:rsidRDefault="00E25A11" w:rsidP="00E25A11">
      <w:r w:rsidRPr="001E0C6D">
        <w:fldChar w:fldCharType="begin"/>
      </w:r>
      <w:r w:rsidRPr="001E0C6D">
        <w:instrText xml:space="preserve"> REF _Ref481759231 \h  \* MERGEFORMAT </w:instrText>
      </w:r>
      <w:r w:rsidRPr="001E0C6D">
        <w:fldChar w:fldCharType="separate"/>
      </w:r>
      <w:r w:rsidR="00ED08CC" w:rsidRPr="001E0C6D">
        <w:t xml:space="preserve">Figure </w:t>
      </w:r>
      <w:r w:rsidR="00ED08CC">
        <w:t>8</w:t>
      </w:r>
      <w:r w:rsidRPr="001E0C6D">
        <w:fldChar w:fldCharType="end"/>
      </w:r>
      <w:r w:rsidRPr="001E0C6D">
        <w:t xml:space="preserve"> illustrates the relationship between GOS and </w:t>
      </w:r>
      <w:proofErr w:type="spellStart"/>
      <w:r w:rsidRPr="001E0C6D">
        <w:t>AbaF</w:t>
      </w:r>
      <w:proofErr w:type="spellEnd"/>
      <w:r w:rsidRPr="001E0C6D">
        <w:t xml:space="preserve"> sponsorship values (red dots) and the linear model based on this relationship (grey line). The 95 per cent confidence and prediction intervals (inner green dashed and outer orange dotted lines, respectively) show where the true results may lie with 95 per cent certainty.</w:t>
      </w:r>
    </w:p>
    <w:p w14:paraId="6A2225FC" w14:textId="77777777" w:rsidR="00E25A11" w:rsidRPr="001E0C6D" w:rsidRDefault="00E25A11" w:rsidP="005D1423">
      <w:pPr>
        <w:pStyle w:val="Figureheading"/>
      </w:pPr>
      <w:bookmarkStart w:id="99" w:name="_Ref481759231"/>
      <w:bookmarkStart w:id="100" w:name="_Toc486587624"/>
      <w:r w:rsidRPr="001E0C6D">
        <w:t xml:space="preserve">Figure </w:t>
      </w:r>
      <w:fldSimple w:instr=" SEQ Figure \* ARABIC ">
        <w:r w:rsidR="00ED08CC">
          <w:rPr>
            <w:noProof/>
          </w:rPr>
          <w:t>8</w:t>
        </w:r>
      </w:fldSimple>
      <w:bookmarkEnd w:id="99"/>
      <w:r w:rsidRPr="001E0C6D">
        <w:t>. GOS—</w:t>
      </w:r>
      <w:proofErr w:type="spellStart"/>
      <w:r w:rsidRPr="001E0C6D">
        <w:t>AbaF</w:t>
      </w:r>
      <w:proofErr w:type="spellEnd"/>
      <w:r w:rsidRPr="001E0C6D">
        <w:t xml:space="preserve"> sponsorship linear model with confidence and prediction intervals</w:t>
      </w:r>
      <w:bookmarkEnd w:id="100"/>
    </w:p>
    <w:p w14:paraId="3B1822C4" w14:textId="77777777" w:rsidR="00E25A11" w:rsidRPr="001E0C6D" w:rsidRDefault="00E25A11" w:rsidP="00E25A11">
      <w:r w:rsidRPr="001E0C6D">
        <w:rPr>
          <w:noProof/>
          <w:lang w:eastAsia="zh-TW" w:bidi="hi-IN"/>
        </w:rPr>
        <w:drawing>
          <wp:inline distT="0" distB="0" distL="0" distR="0" wp14:anchorId="07DADDC3" wp14:editId="727A3F6E">
            <wp:extent cx="5731340" cy="3614882"/>
            <wp:effectExtent l="0" t="0" r="3175" b="5080"/>
            <wp:docPr id="46" name="Picture 46" descr="This is a regression line chart showing AbaF sponsorships estimates rise as GOS rises. It is an illustration of figures presented in Table 11. Whereby, the starting points are $64.5 million for AbaF and $235 billion for GOS in financial year 2001–02; which then rise to estimates of $118.6 million for AbaF as GOS value reaches $536.7 billion in financial year 2015–16. The measures are in millions of Australian dollars. The chart also presents upper and lower confidence and prediction intervals, which widen from 2010–11 financial year values onwards, illustrating that the accuracy of the predictions for each year are continuously reducing as the prediction years grow more distant from 2010–11. " title="Figure 8. GOS—AbaF sponsorship linear model with confidence and prediction interva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Downloads\Figure 8. GOS sponsorship.jpeg"/>
                    <pic:cNvPicPr>
                      <a:picLocks noChangeAspect="1" noChangeArrowheads="1"/>
                    </pic:cNvPicPr>
                  </pic:nvPicPr>
                  <pic:blipFill rotWithShape="1">
                    <a:blip r:embed="rId30">
                      <a:extLst>
                        <a:ext uri="{28A0092B-C50C-407E-A947-70E740481C1C}">
                          <a14:useLocalDpi xmlns:a14="http://schemas.microsoft.com/office/drawing/2010/main" val="0"/>
                        </a:ext>
                      </a:extLst>
                    </a:blip>
                    <a:srcRect/>
                    <a:stretch/>
                  </pic:blipFill>
                  <pic:spPr bwMode="auto">
                    <a:xfrm>
                      <a:off x="0" y="0"/>
                      <a:ext cx="5731510" cy="3614989"/>
                    </a:xfrm>
                    <a:prstGeom prst="rect">
                      <a:avLst/>
                    </a:prstGeom>
                    <a:noFill/>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inline>
        </w:drawing>
      </w:r>
    </w:p>
    <w:p w14:paraId="27FA9A76" w14:textId="77777777" w:rsidR="00E25A11" w:rsidRPr="001E0C6D" w:rsidRDefault="00E25A11" w:rsidP="00E25A11">
      <w:r w:rsidRPr="001E0C6D">
        <w:br w:type="page"/>
      </w:r>
    </w:p>
    <w:p w14:paraId="540471DD" w14:textId="77777777" w:rsidR="005D1423" w:rsidRDefault="00E25A11" w:rsidP="005D1423">
      <w:pPr>
        <w:pStyle w:val="Heading3"/>
      </w:pPr>
      <w:bookmarkStart w:id="101" w:name="_Toc486261314"/>
      <w:bookmarkStart w:id="102" w:name="_Toc486319735"/>
      <w:r w:rsidRPr="001E0C6D">
        <w:t>Models 7–9. Contrasting sponsorships estimates</w:t>
      </w:r>
      <w:bookmarkEnd w:id="101"/>
      <w:bookmarkEnd w:id="102"/>
    </w:p>
    <w:p w14:paraId="499112B0" w14:textId="77777777" w:rsidR="00E25A11" w:rsidRPr="001E0C6D" w:rsidRDefault="00E25A11" w:rsidP="00E25A11">
      <w:r w:rsidRPr="001E0C6D">
        <w:t>Overall private sector arts sponsorships in Australia are estimated to have grown over a period of six years, from $98.0 million in 2009–10 to between $107.8 million and $118.6 million in 2015–16.</w:t>
      </w:r>
    </w:p>
    <w:p w14:paraId="5D86B6E3" w14:textId="77777777" w:rsidR="005D1423" w:rsidRDefault="00E25A11" w:rsidP="00E25A11">
      <w:r w:rsidRPr="001E0C6D">
        <w:t>The models used to produce the sponsorship component of the total support also provided a broad range of estimates for each given year (</w:t>
      </w:r>
      <w:r w:rsidR="00ED08CC">
        <w:fldChar w:fldCharType="begin"/>
      </w:r>
      <w:r w:rsidR="00ED08CC">
        <w:instrText xml:space="preserve"> REF _Ref482084301  \* MERGEFORMAT </w:instrText>
      </w:r>
      <w:r w:rsidR="00ED08CC">
        <w:fldChar w:fldCharType="separate"/>
      </w:r>
      <w:r w:rsidR="00ED08CC" w:rsidRPr="001E0C6D">
        <w:t xml:space="preserve">Table </w:t>
      </w:r>
      <w:r w:rsidR="00ED08CC">
        <w:t>12</w:t>
      </w:r>
      <w:r w:rsidR="00ED08CC">
        <w:fldChar w:fldCharType="end"/>
      </w:r>
      <w:r w:rsidRPr="001E0C6D">
        <w:t>). The two linear models are significant and had medium to strong prediction levels, with GOS having significantly stronger prediction power. Given the divergence between the model outcomes, the estimates should be treated with caution.</w:t>
      </w:r>
    </w:p>
    <w:p w14:paraId="14231136" w14:textId="77777777" w:rsidR="00E25A11" w:rsidRDefault="00E25A11" w:rsidP="005D1423">
      <w:pPr>
        <w:pStyle w:val="Tablefigureheading"/>
      </w:pPr>
      <w:bookmarkStart w:id="103" w:name="_Ref482084301"/>
      <w:bookmarkStart w:id="104" w:name="_Toc486587638"/>
      <w:r w:rsidRPr="001E0C6D">
        <w:t xml:space="preserve">Table </w:t>
      </w:r>
      <w:fldSimple w:instr=" SEQ Table \* ARABIC ">
        <w:r w:rsidR="00ED08CC">
          <w:rPr>
            <w:noProof/>
          </w:rPr>
          <w:t>12</w:t>
        </w:r>
      </w:fldSimple>
      <w:bookmarkEnd w:id="103"/>
      <w:r w:rsidRPr="001E0C6D">
        <w:t>. Summary of estimated private sector sponsorship</w:t>
      </w:r>
      <w:bookmarkEnd w:id="104"/>
    </w:p>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CellMar>
          <w:top w:w="57" w:type="dxa"/>
          <w:bottom w:w="57" w:type="dxa"/>
        </w:tblCellMar>
        <w:tblLook w:val="04A0" w:firstRow="1" w:lastRow="0" w:firstColumn="1" w:lastColumn="0" w:noHBand="0" w:noVBand="1"/>
        <w:tblDescription w:val="Table 3. GOS data projections of AbaF estimates"/>
      </w:tblPr>
      <w:tblGrid>
        <w:gridCol w:w="1680"/>
        <w:gridCol w:w="2359"/>
        <w:gridCol w:w="2492"/>
        <w:gridCol w:w="2495"/>
      </w:tblGrid>
      <w:tr w:rsidR="005D1423" w14:paraId="59EA8A71" w14:textId="77777777" w:rsidTr="00BC0293">
        <w:trPr>
          <w:cantSplit/>
          <w:tblHeader/>
        </w:trPr>
        <w:tc>
          <w:tcPr>
            <w:tcW w:w="1680" w:type="dxa"/>
            <w:tcBorders>
              <w:top w:val="nil"/>
              <w:left w:val="nil"/>
              <w:bottom w:val="thickThinLargeGap" w:sz="24" w:space="0" w:color="auto"/>
              <w:right w:val="nil"/>
            </w:tcBorders>
            <w:shd w:val="clear" w:color="auto" w:fill="113652"/>
          </w:tcPr>
          <w:p w14:paraId="205809EE" w14:textId="77777777" w:rsidR="005D1423" w:rsidRDefault="005D1423" w:rsidP="005D1423">
            <w:pPr>
              <w:pStyle w:val="Tableheading"/>
            </w:pPr>
            <w:r>
              <w:t>Financial year</w:t>
            </w:r>
          </w:p>
        </w:tc>
        <w:tc>
          <w:tcPr>
            <w:tcW w:w="2359" w:type="dxa"/>
            <w:tcBorders>
              <w:top w:val="nil"/>
              <w:left w:val="nil"/>
              <w:bottom w:val="thickThinLargeGap" w:sz="24" w:space="0" w:color="auto"/>
              <w:right w:val="nil"/>
            </w:tcBorders>
            <w:shd w:val="clear" w:color="auto" w:fill="113652"/>
          </w:tcPr>
          <w:p w14:paraId="6C81A39C" w14:textId="432FA33A" w:rsidR="005D1423" w:rsidRDefault="005B4B7C" w:rsidP="005D1423">
            <w:pPr>
              <w:pStyle w:val="Tableheadingcentred"/>
            </w:pPr>
            <w:r>
              <w:t xml:space="preserve">Model 9: </w:t>
            </w:r>
            <w:proofErr w:type="spellStart"/>
            <w:r>
              <w:t>AbaF</w:t>
            </w:r>
            <w:proofErr w:type="spellEnd"/>
            <w:r>
              <w:t xml:space="preserve"> 1.6</w:t>
            </w:r>
            <w:r w:rsidR="005D1423" w:rsidRPr="001E0C6D">
              <w:t>%</w:t>
            </w:r>
          </w:p>
          <w:p w14:paraId="446E81B2" w14:textId="77777777" w:rsidR="005D1423" w:rsidRPr="001E0C6D" w:rsidRDefault="005D1423" w:rsidP="005D1423">
            <w:pPr>
              <w:pStyle w:val="Tableheadingcentred"/>
            </w:pPr>
            <w:r w:rsidRPr="001E0C6D">
              <w:t>($ million)</w:t>
            </w:r>
          </w:p>
        </w:tc>
        <w:tc>
          <w:tcPr>
            <w:tcW w:w="2492" w:type="dxa"/>
            <w:tcBorders>
              <w:top w:val="nil"/>
              <w:left w:val="nil"/>
              <w:bottom w:val="thickThinLargeGap" w:sz="24" w:space="0" w:color="auto"/>
              <w:right w:val="nil"/>
            </w:tcBorders>
            <w:shd w:val="clear" w:color="auto" w:fill="113652"/>
          </w:tcPr>
          <w:p w14:paraId="5E726467" w14:textId="77777777" w:rsidR="005D1423" w:rsidRDefault="005D1423" w:rsidP="005D1423">
            <w:pPr>
              <w:pStyle w:val="Tableheadingcentred"/>
            </w:pPr>
            <w:r w:rsidRPr="001E0C6D">
              <w:t>Model 10: AMPAG</w:t>
            </w:r>
          </w:p>
          <w:p w14:paraId="65829BFB" w14:textId="77777777" w:rsidR="005D1423" w:rsidRPr="001E0C6D" w:rsidRDefault="005D1423" w:rsidP="005D1423">
            <w:pPr>
              <w:pStyle w:val="Tableheadingcentred"/>
            </w:pPr>
            <w:r w:rsidRPr="001E0C6D">
              <w:t>sponsorship ($ million)</w:t>
            </w:r>
          </w:p>
        </w:tc>
        <w:tc>
          <w:tcPr>
            <w:tcW w:w="2495" w:type="dxa"/>
            <w:tcBorders>
              <w:top w:val="nil"/>
              <w:left w:val="nil"/>
              <w:bottom w:val="thickThinLargeGap" w:sz="24" w:space="0" w:color="auto"/>
              <w:right w:val="nil"/>
            </w:tcBorders>
            <w:shd w:val="clear" w:color="auto" w:fill="113652"/>
          </w:tcPr>
          <w:p w14:paraId="5EA6E0D8" w14:textId="77777777" w:rsidR="005D1423" w:rsidRDefault="005D1423" w:rsidP="005D1423">
            <w:pPr>
              <w:pStyle w:val="Tableheadingcentred"/>
            </w:pPr>
            <w:r w:rsidRPr="001E0C6D">
              <w:t>Model 11: GOS</w:t>
            </w:r>
          </w:p>
          <w:p w14:paraId="430CB78E" w14:textId="77777777" w:rsidR="005D1423" w:rsidRPr="001E0C6D" w:rsidRDefault="005D1423" w:rsidP="005D1423">
            <w:pPr>
              <w:pStyle w:val="Tableheadingcentred"/>
            </w:pPr>
            <w:r w:rsidRPr="001E0C6D">
              <w:t>($ million)</w:t>
            </w:r>
          </w:p>
        </w:tc>
      </w:tr>
      <w:tr w:rsidR="005D1423" w14:paraId="05A6185F" w14:textId="77777777" w:rsidTr="00C44BDF">
        <w:trPr>
          <w:cantSplit/>
        </w:trPr>
        <w:tc>
          <w:tcPr>
            <w:tcW w:w="1680" w:type="dxa"/>
            <w:tcBorders>
              <w:top w:val="thickThinLargeGap" w:sz="24" w:space="0" w:color="auto"/>
              <w:left w:val="nil"/>
              <w:bottom w:val="single" w:sz="4" w:space="0" w:color="auto"/>
              <w:right w:val="nil"/>
            </w:tcBorders>
          </w:tcPr>
          <w:p w14:paraId="15CDF250" w14:textId="77777777" w:rsidR="005D1423" w:rsidRPr="001E0C6D" w:rsidRDefault="005D1423" w:rsidP="005D1423">
            <w:pPr>
              <w:pStyle w:val="Tabletext"/>
            </w:pPr>
            <w:r w:rsidRPr="001E0C6D">
              <w:t>2010-11</w:t>
            </w:r>
          </w:p>
        </w:tc>
        <w:tc>
          <w:tcPr>
            <w:tcW w:w="2359" w:type="dxa"/>
            <w:tcBorders>
              <w:top w:val="thickThinLargeGap" w:sz="24" w:space="0" w:color="auto"/>
              <w:left w:val="nil"/>
              <w:bottom w:val="single" w:sz="4" w:space="0" w:color="auto"/>
              <w:right w:val="nil"/>
            </w:tcBorders>
            <w:vAlign w:val="bottom"/>
          </w:tcPr>
          <w:p w14:paraId="18D591B3" w14:textId="77777777" w:rsidR="005D1423" w:rsidRPr="001E0C6D" w:rsidRDefault="005D1423" w:rsidP="005D1423">
            <w:pPr>
              <w:pStyle w:val="Tabletext"/>
              <w:jc w:val="center"/>
            </w:pPr>
            <w:r w:rsidRPr="001E0C6D">
              <w:t>99.6</w:t>
            </w:r>
          </w:p>
        </w:tc>
        <w:tc>
          <w:tcPr>
            <w:tcW w:w="2492" w:type="dxa"/>
            <w:tcBorders>
              <w:top w:val="thickThinLargeGap" w:sz="24" w:space="0" w:color="auto"/>
              <w:left w:val="nil"/>
              <w:bottom w:val="single" w:sz="4" w:space="0" w:color="auto"/>
              <w:right w:val="nil"/>
            </w:tcBorders>
            <w:vAlign w:val="bottom"/>
          </w:tcPr>
          <w:p w14:paraId="54434110" w14:textId="77777777" w:rsidR="005D1423" w:rsidRPr="001E0C6D" w:rsidRDefault="005D1423" w:rsidP="005D1423">
            <w:pPr>
              <w:pStyle w:val="Tabletext"/>
              <w:jc w:val="center"/>
            </w:pPr>
            <w:r w:rsidRPr="001E0C6D">
              <w:t>102.9</w:t>
            </w:r>
          </w:p>
        </w:tc>
        <w:tc>
          <w:tcPr>
            <w:tcW w:w="2495" w:type="dxa"/>
            <w:tcBorders>
              <w:top w:val="thickThinLargeGap" w:sz="24" w:space="0" w:color="auto"/>
              <w:left w:val="nil"/>
              <w:bottom w:val="single" w:sz="4" w:space="0" w:color="auto"/>
              <w:right w:val="nil"/>
            </w:tcBorders>
            <w:vAlign w:val="bottom"/>
          </w:tcPr>
          <w:p w14:paraId="3323F621" w14:textId="77777777" w:rsidR="005D1423" w:rsidRPr="001E0C6D" w:rsidRDefault="005D1423" w:rsidP="005D1423">
            <w:pPr>
              <w:pStyle w:val="Tabletext"/>
              <w:jc w:val="center"/>
            </w:pPr>
            <w:r w:rsidRPr="001E0C6D">
              <w:t>110.5</w:t>
            </w:r>
          </w:p>
        </w:tc>
      </w:tr>
      <w:tr w:rsidR="005D1423" w14:paraId="7BF058F0" w14:textId="77777777" w:rsidTr="00BC0293">
        <w:trPr>
          <w:cantSplit/>
        </w:trPr>
        <w:tc>
          <w:tcPr>
            <w:tcW w:w="1680" w:type="dxa"/>
            <w:tcBorders>
              <w:top w:val="single" w:sz="4" w:space="0" w:color="auto"/>
              <w:left w:val="nil"/>
              <w:bottom w:val="single" w:sz="4" w:space="0" w:color="auto"/>
              <w:right w:val="nil"/>
            </w:tcBorders>
          </w:tcPr>
          <w:p w14:paraId="5001B9D2" w14:textId="77777777" w:rsidR="005D1423" w:rsidRPr="001E0C6D" w:rsidRDefault="005D1423" w:rsidP="005D1423">
            <w:pPr>
              <w:pStyle w:val="Tabletext"/>
            </w:pPr>
            <w:r w:rsidRPr="001E0C6D">
              <w:t>2011-12</w:t>
            </w:r>
          </w:p>
        </w:tc>
        <w:tc>
          <w:tcPr>
            <w:tcW w:w="2359" w:type="dxa"/>
            <w:tcBorders>
              <w:top w:val="single" w:sz="4" w:space="0" w:color="auto"/>
              <w:left w:val="nil"/>
              <w:bottom w:val="single" w:sz="4" w:space="0" w:color="auto"/>
              <w:right w:val="nil"/>
            </w:tcBorders>
            <w:vAlign w:val="bottom"/>
          </w:tcPr>
          <w:p w14:paraId="6D4287CD" w14:textId="77777777" w:rsidR="005D1423" w:rsidRPr="001E0C6D" w:rsidRDefault="005D1423" w:rsidP="005D1423">
            <w:pPr>
              <w:pStyle w:val="Tabletext"/>
              <w:jc w:val="center"/>
            </w:pPr>
            <w:r w:rsidRPr="001E0C6D">
              <w:t>101.2</w:t>
            </w:r>
          </w:p>
        </w:tc>
        <w:tc>
          <w:tcPr>
            <w:tcW w:w="2492" w:type="dxa"/>
            <w:tcBorders>
              <w:top w:val="single" w:sz="4" w:space="0" w:color="auto"/>
              <w:left w:val="nil"/>
              <w:bottom w:val="single" w:sz="4" w:space="0" w:color="auto"/>
              <w:right w:val="nil"/>
            </w:tcBorders>
            <w:vAlign w:val="bottom"/>
          </w:tcPr>
          <w:p w14:paraId="2C60AD7F" w14:textId="77777777" w:rsidR="005D1423" w:rsidRPr="001E0C6D" w:rsidRDefault="005D1423" w:rsidP="005D1423">
            <w:pPr>
              <w:pStyle w:val="Tabletext"/>
              <w:jc w:val="center"/>
            </w:pPr>
            <w:r w:rsidRPr="001E0C6D">
              <w:t>115.9</w:t>
            </w:r>
          </w:p>
        </w:tc>
        <w:tc>
          <w:tcPr>
            <w:tcW w:w="2495" w:type="dxa"/>
            <w:tcBorders>
              <w:top w:val="single" w:sz="4" w:space="0" w:color="auto"/>
              <w:left w:val="nil"/>
              <w:bottom w:val="single" w:sz="4" w:space="0" w:color="auto"/>
              <w:right w:val="nil"/>
            </w:tcBorders>
            <w:vAlign w:val="bottom"/>
          </w:tcPr>
          <w:p w14:paraId="13ECBBE1" w14:textId="77777777" w:rsidR="005D1423" w:rsidRPr="001E0C6D" w:rsidRDefault="005D1423" w:rsidP="005D1423">
            <w:pPr>
              <w:pStyle w:val="Tabletext"/>
              <w:jc w:val="center"/>
            </w:pPr>
            <w:r w:rsidRPr="001E0C6D">
              <w:t>115.5</w:t>
            </w:r>
          </w:p>
        </w:tc>
      </w:tr>
      <w:tr w:rsidR="005D1423" w14:paraId="1A03BCB8" w14:textId="77777777" w:rsidTr="00BC0293">
        <w:trPr>
          <w:cantSplit/>
        </w:trPr>
        <w:tc>
          <w:tcPr>
            <w:tcW w:w="1680" w:type="dxa"/>
            <w:tcBorders>
              <w:top w:val="single" w:sz="4" w:space="0" w:color="auto"/>
              <w:left w:val="nil"/>
              <w:bottom w:val="single" w:sz="4" w:space="0" w:color="auto"/>
              <w:right w:val="nil"/>
            </w:tcBorders>
          </w:tcPr>
          <w:p w14:paraId="4E90E3DA" w14:textId="77777777" w:rsidR="005D1423" w:rsidRPr="001E0C6D" w:rsidRDefault="005D1423" w:rsidP="005D1423">
            <w:pPr>
              <w:pStyle w:val="Tabletext"/>
            </w:pPr>
            <w:r w:rsidRPr="001E0C6D">
              <w:t>2012-13</w:t>
            </w:r>
          </w:p>
        </w:tc>
        <w:tc>
          <w:tcPr>
            <w:tcW w:w="2359" w:type="dxa"/>
            <w:tcBorders>
              <w:top w:val="single" w:sz="4" w:space="0" w:color="auto"/>
              <w:left w:val="nil"/>
              <w:bottom w:val="single" w:sz="4" w:space="0" w:color="auto"/>
              <w:right w:val="nil"/>
            </w:tcBorders>
            <w:vAlign w:val="bottom"/>
          </w:tcPr>
          <w:p w14:paraId="2781F4FE" w14:textId="77777777" w:rsidR="005D1423" w:rsidRPr="001E0C6D" w:rsidRDefault="005D1423" w:rsidP="005D1423">
            <w:pPr>
              <w:pStyle w:val="Tabletext"/>
              <w:jc w:val="center"/>
            </w:pPr>
            <w:r w:rsidRPr="001E0C6D">
              <w:t>102.8</w:t>
            </w:r>
          </w:p>
        </w:tc>
        <w:tc>
          <w:tcPr>
            <w:tcW w:w="2492" w:type="dxa"/>
            <w:tcBorders>
              <w:top w:val="single" w:sz="4" w:space="0" w:color="auto"/>
              <w:left w:val="nil"/>
              <w:bottom w:val="single" w:sz="4" w:space="0" w:color="auto"/>
              <w:right w:val="nil"/>
            </w:tcBorders>
            <w:vAlign w:val="bottom"/>
          </w:tcPr>
          <w:p w14:paraId="3FA08319" w14:textId="77777777" w:rsidR="005D1423" w:rsidRPr="001E0C6D" w:rsidRDefault="005D1423" w:rsidP="005D1423">
            <w:pPr>
              <w:pStyle w:val="Tabletext"/>
              <w:jc w:val="center"/>
            </w:pPr>
            <w:r w:rsidRPr="001E0C6D">
              <w:t>122.5</w:t>
            </w:r>
          </w:p>
        </w:tc>
        <w:tc>
          <w:tcPr>
            <w:tcW w:w="2495" w:type="dxa"/>
            <w:tcBorders>
              <w:top w:val="single" w:sz="4" w:space="0" w:color="auto"/>
              <w:left w:val="nil"/>
              <w:bottom w:val="single" w:sz="4" w:space="0" w:color="auto"/>
              <w:right w:val="nil"/>
            </w:tcBorders>
            <w:vAlign w:val="bottom"/>
          </w:tcPr>
          <w:p w14:paraId="0BD23339" w14:textId="77777777" w:rsidR="005D1423" w:rsidRPr="001E0C6D" w:rsidRDefault="005D1423" w:rsidP="005D1423">
            <w:pPr>
              <w:pStyle w:val="Tabletext"/>
              <w:jc w:val="center"/>
            </w:pPr>
            <w:r w:rsidRPr="001E0C6D">
              <w:t>115.9</w:t>
            </w:r>
          </w:p>
        </w:tc>
      </w:tr>
      <w:tr w:rsidR="005D1423" w14:paraId="37767D17" w14:textId="77777777" w:rsidTr="00BC0293">
        <w:trPr>
          <w:cantSplit/>
        </w:trPr>
        <w:tc>
          <w:tcPr>
            <w:tcW w:w="1680" w:type="dxa"/>
            <w:tcBorders>
              <w:top w:val="single" w:sz="4" w:space="0" w:color="auto"/>
              <w:left w:val="nil"/>
              <w:bottom w:val="single" w:sz="4" w:space="0" w:color="auto"/>
              <w:right w:val="nil"/>
            </w:tcBorders>
          </w:tcPr>
          <w:p w14:paraId="1C6B9C5D" w14:textId="77777777" w:rsidR="005D1423" w:rsidRPr="001E0C6D" w:rsidRDefault="005D1423" w:rsidP="005D1423">
            <w:pPr>
              <w:pStyle w:val="Tabletext"/>
            </w:pPr>
            <w:r w:rsidRPr="001E0C6D">
              <w:t>2013-14</w:t>
            </w:r>
          </w:p>
        </w:tc>
        <w:tc>
          <w:tcPr>
            <w:tcW w:w="2359" w:type="dxa"/>
            <w:tcBorders>
              <w:top w:val="single" w:sz="4" w:space="0" w:color="auto"/>
              <w:left w:val="nil"/>
              <w:bottom w:val="single" w:sz="4" w:space="0" w:color="auto"/>
              <w:right w:val="nil"/>
            </w:tcBorders>
            <w:vAlign w:val="bottom"/>
          </w:tcPr>
          <w:p w14:paraId="675A5421" w14:textId="77777777" w:rsidR="005D1423" w:rsidRPr="001E0C6D" w:rsidRDefault="005D1423" w:rsidP="005D1423">
            <w:pPr>
              <w:pStyle w:val="Tabletext"/>
              <w:jc w:val="center"/>
            </w:pPr>
            <w:r w:rsidRPr="001E0C6D">
              <w:t>104.4</w:t>
            </w:r>
          </w:p>
        </w:tc>
        <w:tc>
          <w:tcPr>
            <w:tcW w:w="2492" w:type="dxa"/>
            <w:tcBorders>
              <w:top w:val="single" w:sz="4" w:space="0" w:color="auto"/>
              <w:left w:val="nil"/>
              <w:bottom w:val="single" w:sz="4" w:space="0" w:color="auto"/>
              <w:right w:val="nil"/>
            </w:tcBorders>
            <w:vAlign w:val="bottom"/>
          </w:tcPr>
          <w:p w14:paraId="0F5A669C" w14:textId="77777777" w:rsidR="005D1423" w:rsidRPr="001E0C6D" w:rsidRDefault="005D1423" w:rsidP="005D1423">
            <w:pPr>
              <w:pStyle w:val="Tabletext"/>
              <w:jc w:val="center"/>
            </w:pPr>
            <w:r w:rsidRPr="001E0C6D">
              <w:t>134.0</w:t>
            </w:r>
          </w:p>
        </w:tc>
        <w:tc>
          <w:tcPr>
            <w:tcW w:w="2495" w:type="dxa"/>
            <w:tcBorders>
              <w:top w:val="single" w:sz="4" w:space="0" w:color="auto"/>
              <w:left w:val="nil"/>
              <w:bottom w:val="single" w:sz="4" w:space="0" w:color="auto"/>
              <w:right w:val="nil"/>
            </w:tcBorders>
            <w:vAlign w:val="bottom"/>
          </w:tcPr>
          <w:p w14:paraId="1A1F2260" w14:textId="77777777" w:rsidR="005D1423" w:rsidRPr="001E0C6D" w:rsidRDefault="005D1423" w:rsidP="005D1423">
            <w:pPr>
              <w:pStyle w:val="Tabletext"/>
              <w:jc w:val="center"/>
            </w:pPr>
            <w:r w:rsidRPr="001E0C6D">
              <w:t>119.6</w:t>
            </w:r>
          </w:p>
        </w:tc>
      </w:tr>
      <w:tr w:rsidR="005D1423" w14:paraId="7B987E7E" w14:textId="77777777" w:rsidTr="00BC0293">
        <w:trPr>
          <w:cantSplit/>
        </w:trPr>
        <w:tc>
          <w:tcPr>
            <w:tcW w:w="1680" w:type="dxa"/>
            <w:tcBorders>
              <w:top w:val="single" w:sz="4" w:space="0" w:color="auto"/>
              <w:left w:val="nil"/>
              <w:bottom w:val="single" w:sz="4" w:space="0" w:color="auto"/>
              <w:right w:val="nil"/>
            </w:tcBorders>
          </w:tcPr>
          <w:p w14:paraId="57A9A861" w14:textId="77777777" w:rsidR="005D1423" w:rsidRPr="001E0C6D" w:rsidRDefault="005D1423" w:rsidP="005D1423">
            <w:pPr>
              <w:pStyle w:val="Tabletext"/>
            </w:pPr>
            <w:r w:rsidRPr="001E0C6D">
              <w:t>2014-15</w:t>
            </w:r>
          </w:p>
        </w:tc>
        <w:tc>
          <w:tcPr>
            <w:tcW w:w="2359" w:type="dxa"/>
            <w:tcBorders>
              <w:top w:val="single" w:sz="4" w:space="0" w:color="auto"/>
              <w:left w:val="nil"/>
              <w:bottom w:val="single" w:sz="4" w:space="0" w:color="auto"/>
              <w:right w:val="nil"/>
            </w:tcBorders>
            <w:vAlign w:val="bottom"/>
          </w:tcPr>
          <w:p w14:paraId="22AD86F4" w14:textId="77777777" w:rsidR="005D1423" w:rsidRPr="001E0C6D" w:rsidRDefault="005D1423" w:rsidP="005D1423">
            <w:pPr>
              <w:pStyle w:val="Tabletext"/>
              <w:jc w:val="center"/>
            </w:pPr>
            <w:r w:rsidRPr="001E0C6D">
              <w:t>106.1</w:t>
            </w:r>
          </w:p>
        </w:tc>
        <w:tc>
          <w:tcPr>
            <w:tcW w:w="2492" w:type="dxa"/>
            <w:tcBorders>
              <w:top w:val="single" w:sz="4" w:space="0" w:color="auto"/>
              <w:left w:val="nil"/>
              <w:bottom w:val="single" w:sz="4" w:space="0" w:color="auto"/>
              <w:right w:val="nil"/>
            </w:tcBorders>
            <w:vAlign w:val="bottom"/>
          </w:tcPr>
          <w:p w14:paraId="761EFFD3" w14:textId="77777777" w:rsidR="005D1423" w:rsidRPr="001E0C6D" w:rsidRDefault="005D1423" w:rsidP="005D1423">
            <w:pPr>
              <w:pStyle w:val="Tabletext"/>
              <w:jc w:val="center"/>
            </w:pPr>
            <w:r w:rsidRPr="001E0C6D">
              <w:t>155.8</w:t>
            </w:r>
          </w:p>
        </w:tc>
        <w:tc>
          <w:tcPr>
            <w:tcW w:w="2495" w:type="dxa"/>
            <w:tcBorders>
              <w:top w:val="single" w:sz="4" w:space="0" w:color="auto"/>
              <w:left w:val="nil"/>
              <w:bottom w:val="single" w:sz="4" w:space="0" w:color="auto"/>
              <w:right w:val="nil"/>
            </w:tcBorders>
            <w:vAlign w:val="bottom"/>
          </w:tcPr>
          <w:p w14:paraId="1E4942E8" w14:textId="77777777" w:rsidR="005D1423" w:rsidRPr="001E0C6D" w:rsidRDefault="005D1423" w:rsidP="005D1423">
            <w:pPr>
              <w:pStyle w:val="Tabletext"/>
              <w:jc w:val="center"/>
            </w:pPr>
            <w:r w:rsidRPr="001E0C6D">
              <w:t>118.7</w:t>
            </w:r>
          </w:p>
        </w:tc>
      </w:tr>
      <w:tr w:rsidR="005D1423" w14:paraId="64CC2BB3" w14:textId="77777777" w:rsidTr="00C44BDF">
        <w:trPr>
          <w:cantSplit/>
        </w:trPr>
        <w:tc>
          <w:tcPr>
            <w:tcW w:w="1680" w:type="dxa"/>
            <w:tcBorders>
              <w:top w:val="single" w:sz="4" w:space="0" w:color="auto"/>
              <w:left w:val="nil"/>
              <w:bottom w:val="single" w:sz="12" w:space="0" w:color="auto"/>
              <w:right w:val="nil"/>
            </w:tcBorders>
          </w:tcPr>
          <w:p w14:paraId="24399B2A" w14:textId="77777777" w:rsidR="005D1423" w:rsidRPr="001E0C6D" w:rsidRDefault="005D1423" w:rsidP="005D1423">
            <w:pPr>
              <w:pStyle w:val="Tabletext"/>
            </w:pPr>
            <w:r w:rsidRPr="001E0C6D">
              <w:t>2015-16</w:t>
            </w:r>
          </w:p>
        </w:tc>
        <w:tc>
          <w:tcPr>
            <w:tcW w:w="2359" w:type="dxa"/>
            <w:tcBorders>
              <w:top w:val="single" w:sz="4" w:space="0" w:color="auto"/>
              <w:left w:val="nil"/>
              <w:bottom w:val="single" w:sz="12" w:space="0" w:color="auto"/>
              <w:right w:val="nil"/>
            </w:tcBorders>
            <w:vAlign w:val="bottom"/>
          </w:tcPr>
          <w:p w14:paraId="5102699B" w14:textId="77777777" w:rsidR="005D1423" w:rsidRPr="001E0C6D" w:rsidRDefault="005D1423" w:rsidP="005D1423">
            <w:pPr>
              <w:pStyle w:val="Tabletext"/>
              <w:jc w:val="center"/>
            </w:pPr>
            <w:r w:rsidRPr="001E0C6D">
              <w:t>107.8</w:t>
            </w:r>
          </w:p>
        </w:tc>
        <w:tc>
          <w:tcPr>
            <w:tcW w:w="2492" w:type="dxa"/>
            <w:tcBorders>
              <w:top w:val="single" w:sz="4" w:space="0" w:color="auto"/>
              <w:left w:val="nil"/>
              <w:bottom w:val="single" w:sz="12" w:space="0" w:color="auto"/>
              <w:right w:val="nil"/>
            </w:tcBorders>
          </w:tcPr>
          <w:p w14:paraId="649A46DC" w14:textId="77777777" w:rsidR="005D1423" w:rsidRPr="001E0C6D" w:rsidRDefault="005D1423" w:rsidP="005D1423">
            <w:pPr>
              <w:pStyle w:val="Tabletext"/>
              <w:jc w:val="center"/>
            </w:pPr>
            <w:r w:rsidRPr="001E0C6D">
              <w:t>-</w:t>
            </w:r>
          </w:p>
        </w:tc>
        <w:tc>
          <w:tcPr>
            <w:tcW w:w="2495" w:type="dxa"/>
            <w:tcBorders>
              <w:top w:val="single" w:sz="4" w:space="0" w:color="auto"/>
              <w:left w:val="nil"/>
              <w:bottom w:val="single" w:sz="12" w:space="0" w:color="auto"/>
              <w:right w:val="nil"/>
            </w:tcBorders>
            <w:vAlign w:val="bottom"/>
          </w:tcPr>
          <w:p w14:paraId="0D9D40D0" w14:textId="77777777" w:rsidR="005D1423" w:rsidRPr="001E0C6D" w:rsidRDefault="005D1423" w:rsidP="005D1423">
            <w:pPr>
              <w:pStyle w:val="Tabletext"/>
              <w:jc w:val="center"/>
            </w:pPr>
            <w:r w:rsidRPr="001E0C6D">
              <w:t>118.6</w:t>
            </w:r>
          </w:p>
        </w:tc>
      </w:tr>
    </w:tbl>
    <w:p w14:paraId="07B55E74" w14:textId="77777777" w:rsidR="005D1423" w:rsidRDefault="005D1423" w:rsidP="005D1423"/>
    <w:p w14:paraId="53F5353F" w14:textId="77777777" w:rsidR="00E25A11" w:rsidRPr="001E0C6D" w:rsidRDefault="00ED08CC" w:rsidP="00E25A11">
      <w:r>
        <w:fldChar w:fldCharType="begin"/>
      </w:r>
      <w:r>
        <w:instrText xml:space="preserve"> REF _Ref482084340  \* MERGEFORMAT </w:instrText>
      </w:r>
      <w:r>
        <w:fldChar w:fldCharType="separate"/>
      </w:r>
      <w:r w:rsidRPr="001E0C6D">
        <w:t xml:space="preserve">Figure </w:t>
      </w:r>
      <w:r>
        <w:t>9</w:t>
      </w:r>
      <w:r>
        <w:fldChar w:fldCharType="end"/>
      </w:r>
      <w:r w:rsidR="00E25A11" w:rsidRPr="001E0C6D">
        <w:t xml:space="preserve"> illustrates movements of the three models’ predictions with AMPAG again having significant divergence.</w:t>
      </w:r>
    </w:p>
    <w:p w14:paraId="01089911" w14:textId="77777777" w:rsidR="00E25A11" w:rsidRPr="001E0C6D" w:rsidRDefault="00E25A11" w:rsidP="005D1423">
      <w:pPr>
        <w:pStyle w:val="Figureheading"/>
      </w:pPr>
      <w:bookmarkStart w:id="105" w:name="_Ref482084340"/>
      <w:bookmarkStart w:id="106" w:name="_Toc486587625"/>
      <w:r w:rsidRPr="001E0C6D">
        <w:t xml:space="preserve">Figure </w:t>
      </w:r>
      <w:fldSimple w:instr=" SEQ Figure \* ARABIC ">
        <w:r w:rsidR="00ED08CC">
          <w:rPr>
            <w:noProof/>
          </w:rPr>
          <w:t>9</w:t>
        </w:r>
      </w:fldSimple>
      <w:bookmarkEnd w:id="105"/>
      <w:r w:rsidRPr="001E0C6D">
        <w:t>. Private sector estimated sponsorship for arts in Australia</w:t>
      </w:r>
      <w:bookmarkEnd w:id="106"/>
    </w:p>
    <w:p w14:paraId="41E4D939" w14:textId="77777777" w:rsidR="00E25A11" w:rsidRPr="001E0C6D" w:rsidRDefault="00E25A11" w:rsidP="00E25A11">
      <w:r w:rsidRPr="001E0C6D">
        <w:rPr>
          <w:noProof/>
          <w:lang w:eastAsia="zh-TW" w:bidi="hi-IN"/>
        </w:rPr>
        <w:drawing>
          <wp:inline distT="0" distB="0" distL="0" distR="0" wp14:anchorId="56E044A3" wp14:editId="74B60DC8">
            <wp:extent cx="5736590" cy="4011295"/>
            <wp:effectExtent l="0" t="0" r="0" b="8255"/>
            <wp:docPr id="15" name="Picture 15" descr="This is a line chart encompassing all the data points present in all the tables that relate to arts sponsorships, which are tables 9, 10 and 11. It provides a comparison of growth projections of private sector sponsorships as modelled on AbaF separately with AMPAG, GOS, and a 1.6 per cent conservative growth of AbaF. The chart shows sponsorships at around $60 million in 2001–02 for all variables, but predictions start to diverge from financial year 2009–10.  The chart shows relatively steady difference between the GOS model and 1.6 conservative growth, with GOS recording higher estimates. GOS estimates finish at around $120 million in 2015–16 while AbaF 1.6 per cent growth finishes at around $110 million in 2015–16. AMPAG estimates start below GOS, but strong growth estimates overtake GOS from 2012–13 and strongly diverge from there on as GOS estimates stall. AMPAG estimates finish at around $160 million in 2014–15." title="Figure 9. Private sector estimated sponsorship for arts in Austral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736590" cy="4011295"/>
                    </a:xfrm>
                    <a:prstGeom prst="rect">
                      <a:avLst/>
                    </a:prstGeom>
                    <a:noFill/>
                  </pic:spPr>
                </pic:pic>
              </a:graphicData>
            </a:graphic>
          </wp:inline>
        </w:drawing>
      </w:r>
    </w:p>
    <w:p w14:paraId="036E3475" w14:textId="77777777" w:rsidR="00E25A11" w:rsidRPr="001E0C6D" w:rsidRDefault="00E25A11" w:rsidP="00E25A11">
      <w:pPr>
        <w:sectPr w:rsidR="00E25A11" w:rsidRPr="001E0C6D" w:rsidSect="00E25A11">
          <w:footnotePr>
            <w:numFmt w:val="chicago"/>
            <w:numRestart w:val="eachPage"/>
          </w:footnotePr>
          <w:endnotePr>
            <w:numFmt w:val="decimal"/>
          </w:endnotePr>
          <w:type w:val="continuous"/>
          <w:pgSz w:w="11906" w:h="16838"/>
          <w:pgMar w:top="1440" w:right="1440" w:bottom="1440" w:left="1440" w:header="708" w:footer="328" w:gutter="0"/>
          <w:pgNumType w:start="1"/>
          <w:cols w:space="708"/>
          <w:docGrid w:linePitch="360"/>
        </w:sectPr>
      </w:pPr>
    </w:p>
    <w:p w14:paraId="35DF15CA" w14:textId="77777777" w:rsidR="00E25A11" w:rsidRPr="001E0C6D" w:rsidRDefault="00E25A11" w:rsidP="009310B1">
      <w:pPr>
        <w:pStyle w:val="Heading2"/>
      </w:pPr>
      <w:bookmarkStart w:id="107" w:name="_Toc486261315"/>
      <w:bookmarkStart w:id="108" w:name="_Toc486319736"/>
      <w:bookmarkStart w:id="109" w:name="_Ref468347739"/>
      <w:bookmarkStart w:id="110" w:name="_Toc468868246"/>
      <w:r w:rsidRPr="001E0C6D">
        <w:t>Appendix 1. Research boundaries</w:t>
      </w:r>
      <w:bookmarkEnd w:id="107"/>
      <w:bookmarkEnd w:id="108"/>
    </w:p>
    <w:p w14:paraId="4A53C372" w14:textId="77777777" w:rsidR="00E25A11" w:rsidRPr="001E0C6D" w:rsidRDefault="00E25A11" w:rsidP="00E25A11">
      <w:r w:rsidRPr="001E0C6D">
        <w:t>The estimates provided in this background statistical paper are based on a range of data sources, none of which map completely to overall private sector support for the arts. Consequently, the estimates should be considered as indicative only.</w:t>
      </w:r>
    </w:p>
    <w:p w14:paraId="0A7DB6D2" w14:textId="77777777" w:rsidR="005D1423" w:rsidRDefault="00E25A11" w:rsidP="00E25A11">
      <w:r w:rsidRPr="001E0C6D">
        <w:t>Two challenges needed to be addressed in order to provide these estimates. The first was determining the population to be estimated and whether it should be based on expenditure by contributors or income received from contributors. The second was that the data collection undertaken for this paper has identified some gaps in data availability on both the donor and recipient sides.</w:t>
      </w:r>
    </w:p>
    <w:p w14:paraId="13DB57EE" w14:textId="77777777" w:rsidR="005D1423" w:rsidRDefault="00E25A11" w:rsidP="00E25A11">
      <w:r w:rsidRPr="001E0C6D">
        <w:t>A number of data sets were considered in developing this paper (see the ‘data collection’ section in Appendix 2). No single data set is representative of the total arts organisations population (see Appendices 3 and 4) and could not be used on its own to estimate the private sector support for the arts sector at a national level.</w:t>
      </w:r>
    </w:p>
    <w:p w14:paraId="60C8FD6E" w14:textId="77777777" w:rsidR="005D1423" w:rsidRDefault="00E25A11" w:rsidP="00E25A11">
      <w:r w:rsidRPr="001E0C6D">
        <w:t>The Australia Business Arts Foundation (</w:t>
      </w:r>
      <w:proofErr w:type="spellStart"/>
      <w:r w:rsidRPr="001E0C6D">
        <w:t>AbaF</w:t>
      </w:r>
      <w:proofErr w:type="spellEnd"/>
      <w:r w:rsidRPr="001E0C6D">
        <w:t xml:space="preserve">) and the Australian Bureau of Statistics (ABS) prior survey-based results, estimating total private sector support for the arts, were also obtained. </w:t>
      </w:r>
      <w:proofErr w:type="spellStart"/>
      <w:r w:rsidRPr="001E0C6D">
        <w:t>AbaF</w:t>
      </w:r>
      <w:proofErr w:type="spellEnd"/>
      <w:r w:rsidRPr="001E0C6D">
        <w:t xml:space="preserve"> survey results were used in concert with the available data sets to produce some limited extrapolations of the total support in the non-surveyed years.</w:t>
      </w:r>
    </w:p>
    <w:p w14:paraId="19AF591A" w14:textId="77777777" w:rsidR="00E25A11" w:rsidRPr="001E0C6D" w:rsidRDefault="00E25A11" w:rsidP="00E25A11">
      <w:r w:rsidRPr="001E0C6D">
        <w:t>Additionally, the same methods were used to produce limited extrapolations of the donations and sponsorship segments of the total support. While these independent estimates fall within the confidence interval of the total support, the numbers should not be summed to determine the overall level of support.</w:t>
      </w:r>
    </w:p>
    <w:p w14:paraId="76FA02C0" w14:textId="77777777" w:rsidR="005D1423" w:rsidRDefault="00E25A11" w:rsidP="00E25A11">
      <w:r w:rsidRPr="001E0C6D">
        <w:t>The exploration of data availability and useability confirmed an absence of a single available database that can be used for a direct estimation of total yearly private sector support for the arts in Australia. Likewise, the sponsorship and donations components of the support could not be directly estimated.</w:t>
      </w:r>
    </w:p>
    <w:p w14:paraId="70486473" w14:textId="77777777" w:rsidR="005D1423" w:rsidRDefault="00E25A11" w:rsidP="00E25A11">
      <w:r w:rsidRPr="001E0C6D">
        <w:t xml:space="preserve">Extrapolating from data produced by past </w:t>
      </w:r>
      <w:proofErr w:type="spellStart"/>
      <w:r w:rsidRPr="001E0C6D">
        <w:t>AbaF</w:t>
      </w:r>
      <w:proofErr w:type="spellEnd"/>
      <w:r w:rsidRPr="001E0C6D">
        <w:t xml:space="preserve"> surveys has enabled estimates to be provided for total support for the non-surveyed years through the use of a regression method using </w:t>
      </w:r>
      <w:proofErr w:type="spellStart"/>
      <w:r w:rsidRPr="001E0C6D">
        <w:t>AbaF</w:t>
      </w:r>
      <w:proofErr w:type="spellEnd"/>
      <w:r w:rsidRPr="001E0C6D">
        <w:t>, AMPAG and business profitability (gross operating surplus (GOS) data). The same method was applied for extrapolating donations and sponsorship components.</w:t>
      </w:r>
    </w:p>
    <w:p w14:paraId="244294C7" w14:textId="77777777" w:rsidR="00E25A11" w:rsidRPr="001E0C6D" w:rsidRDefault="00E25A11" w:rsidP="00E25A11">
      <w:r w:rsidRPr="001E0C6D">
        <w:t>By regressing estimated support outside of the data range and with a small number of data points, estimated results are inevitably indicative. The arbitrary nature of the models dealing with the lowest growth rate, pertaining to the donations and sponsorship sections, should be taken with a degree of caution due to the unevenness in the historical growth rates.</w:t>
      </w:r>
    </w:p>
    <w:p w14:paraId="295259A8" w14:textId="77777777" w:rsidR="00E25A11" w:rsidRPr="001E0C6D" w:rsidRDefault="00E25A11" w:rsidP="00E25A11">
      <w:r w:rsidRPr="001E0C6D">
        <w:br w:type="page"/>
      </w:r>
    </w:p>
    <w:p w14:paraId="574640D2" w14:textId="77777777" w:rsidR="00E25A11" w:rsidRPr="001E0C6D" w:rsidRDefault="00E25A11" w:rsidP="009310B1">
      <w:pPr>
        <w:pStyle w:val="Heading2"/>
      </w:pPr>
      <w:bookmarkStart w:id="111" w:name="_Toc486261316"/>
      <w:bookmarkStart w:id="112" w:name="_Toc486319737"/>
      <w:r w:rsidRPr="001E0C6D">
        <w:t>Appendix 2. Methodology</w:t>
      </w:r>
      <w:bookmarkEnd w:id="111"/>
      <w:bookmarkEnd w:id="112"/>
    </w:p>
    <w:p w14:paraId="3D319A5F" w14:textId="77777777" w:rsidR="00E25A11" w:rsidRPr="001E0C6D" w:rsidRDefault="00E25A11" w:rsidP="009310B1">
      <w:pPr>
        <w:pStyle w:val="Heading3"/>
      </w:pPr>
      <w:bookmarkStart w:id="113" w:name="_Toc468868226"/>
      <w:bookmarkStart w:id="114" w:name="_Toc486261317"/>
      <w:bookmarkStart w:id="115" w:name="_Toc486319738"/>
      <w:r w:rsidRPr="001E0C6D">
        <w:t>Defining private sector support for the arts</w:t>
      </w:r>
      <w:bookmarkEnd w:id="113"/>
      <w:bookmarkEnd w:id="114"/>
      <w:bookmarkEnd w:id="115"/>
    </w:p>
    <w:p w14:paraId="32FBFF6F" w14:textId="77777777" w:rsidR="00E25A11" w:rsidRPr="001E0C6D" w:rsidRDefault="00E25A11" w:rsidP="00E25A11">
      <w:r w:rsidRPr="001E0C6D">
        <w:t>The population estimated in this paper comprises support to arts organisations from private sector sources:</w:t>
      </w:r>
    </w:p>
    <w:p w14:paraId="088325C3" w14:textId="77777777" w:rsidR="00E25A11" w:rsidRPr="001E0C6D" w:rsidRDefault="00E25A11" w:rsidP="00E926EA">
      <w:pPr>
        <w:pStyle w:val="Bulletlevel1"/>
      </w:pPr>
      <w:r w:rsidRPr="001E0C6D">
        <w:t>philanthropy and support expenditure that comprises arts and culture contributions to ‘non</w:t>
      </w:r>
      <w:r w:rsidRPr="001E0C6D">
        <w:noBreakHyphen/>
        <w:t>earned’ income from business sources, individuals and ancillary funds, trusts and foundations; or</w:t>
      </w:r>
    </w:p>
    <w:p w14:paraId="2A4C548D" w14:textId="77777777" w:rsidR="00E25A11" w:rsidRPr="001E0C6D" w:rsidRDefault="00E25A11" w:rsidP="00E926EA">
      <w:pPr>
        <w:pStyle w:val="Bulletlevel1"/>
      </w:pPr>
      <w:r w:rsidRPr="001E0C6D">
        <w:t>philanthropy and support ‘non-earned’ income received from private sources.</w:t>
      </w:r>
    </w:p>
    <w:p w14:paraId="4D546D3A" w14:textId="77777777" w:rsidR="00E25A11" w:rsidRPr="001E0C6D" w:rsidRDefault="00E25A11" w:rsidP="00E25A11">
      <w:r w:rsidRPr="001E0C6D">
        <w:t>Both populations are set out in further detail in Appendices 3 and 4.</w:t>
      </w:r>
    </w:p>
    <w:p w14:paraId="3AEF3944" w14:textId="77777777" w:rsidR="00E25A11" w:rsidRPr="001E0C6D" w:rsidRDefault="00E25A11" w:rsidP="009310B1">
      <w:pPr>
        <w:pStyle w:val="Heading3"/>
      </w:pPr>
      <w:bookmarkStart w:id="116" w:name="_Toc468868227"/>
      <w:bookmarkStart w:id="117" w:name="_Toc486261318"/>
      <w:bookmarkStart w:id="118" w:name="_Toc486319739"/>
      <w:r w:rsidRPr="001E0C6D">
        <w:t>Data collection</w:t>
      </w:r>
      <w:bookmarkEnd w:id="116"/>
      <w:bookmarkEnd w:id="117"/>
      <w:bookmarkEnd w:id="118"/>
    </w:p>
    <w:p w14:paraId="0674AE76" w14:textId="77777777" w:rsidR="005D1423" w:rsidRDefault="00E25A11" w:rsidP="00E25A11">
      <w:r w:rsidRPr="001E0C6D">
        <w:t xml:space="preserve">Data sets that we were in a position to consider, besides the </w:t>
      </w:r>
      <w:proofErr w:type="spellStart"/>
      <w:r w:rsidRPr="001E0C6D">
        <w:t>AbaF</w:t>
      </w:r>
      <w:proofErr w:type="spellEnd"/>
      <w:r w:rsidRPr="001E0C6D">
        <w:t xml:space="preserve"> and ABS figures outlined below (see the ‘previous estimates of surveys section’) include (see </w:t>
      </w:r>
      <w:r w:rsidRPr="001E0C6D">
        <w:fldChar w:fldCharType="begin"/>
      </w:r>
      <w:r w:rsidRPr="001E0C6D">
        <w:instrText xml:space="preserve"> REF _Ref467859157 \h  \* MERGEFORMAT </w:instrText>
      </w:r>
      <w:r w:rsidRPr="001E0C6D">
        <w:fldChar w:fldCharType="separate"/>
      </w:r>
      <w:r w:rsidR="00ED08CC" w:rsidRPr="001E0C6D">
        <w:t xml:space="preserve">Figure </w:t>
      </w:r>
      <w:r w:rsidR="00ED08CC">
        <w:t>10</w:t>
      </w:r>
      <w:r w:rsidRPr="001E0C6D">
        <w:fldChar w:fldCharType="end"/>
      </w:r>
      <w:r w:rsidRPr="001E0C6D">
        <w:t>):</w:t>
      </w:r>
    </w:p>
    <w:p w14:paraId="4555A6A7" w14:textId="77777777" w:rsidR="005D1423" w:rsidRDefault="00E25A11" w:rsidP="00E926EA">
      <w:pPr>
        <w:pStyle w:val="Bulletlevel1"/>
      </w:pPr>
      <w:r w:rsidRPr="001E0C6D">
        <w:t>Australian Charities and Not-for-profits Commission (ACNC), 2012–13 to 2014–15: ACNC commenced operations in December 2012 and collects data supplied by charities and not-for-profit organisations. Registered organisations supply information via their annual information statement, with publically available data published on data.gov.au. Data collected includes name, charity size, number of responsible persons, operating states and charity purpose. The data considered was open data as provided through data.gov.au.</w:t>
      </w:r>
    </w:p>
    <w:p w14:paraId="01E740F2" w14:textId="77777777" w:rsidR="00E25A11" w:rsidRPr="001E0C6D" w:rsidRDefault="00E25A11" w:rsidP="00E926EA">
      <w:pPr>
        <w:pStyle w:val="Bulletlevel1"/>
      </w:pPr>
      <w:r w:rsidRPr="001E0C6D">
        <w:t>Australian Cultural Fund (ACF), 2003–04 to 2014–15: ACF is a fundraising platform for Australian artists established by the Australian Government to encourage donations to the arts. It is currently managed by Creative Partnerships Australia and provides data containing aggregate donations received state by state. The data considered were aggregated totals per year.</w:t>
      </w:r>
    </w:p>
    <w:p w14:paraId="1FB32316" w14:textId="77777777" w:rsidR="00E25A11" w:rsidRPr="001E0C6D" w:rsidRDefault="00E25A11" w:rsidP="00E926EA">
      <w:pPr>
        <w:pStyle w:val="Bulletlevel1"/>
      </w:pPr>
      <w:r w:rsidRPr="001E0C6D">
        <w:t>Australian Major Performing Arts Group (AMPAG), 2001–02 to 2014–15: AMPAG is the representative body of Australia’s 28 major performing arts companies. AMPAG publishes annual sponsorship and philanthropy survey results outlining aggregate sponsorships and donations given to its members</w:t>
      </w:r>
      <w:r w:rsidRPr="00991DF4">
        <w:rPr>
          <w:vertAlign w:val="superscript"/>
        </w:rPr>
        <w:endnoteReference w:id="11"/>
      </w:r>
      <w:r w:rsidRPr="001E0C6D">
        <w:t>. The data considered were aggregated totals by year.</w:t>
      </w:r>
    </w:p>
    <w:p w14:paraId="3655CC0D" w14:textId="77777777" w:rsidR="00E25A11" w:rsidRPr="001E0C6D" w:rsidRDefault="00E25A11" w:rsidP="00E25A11">
      <w:r w:rsidRPr="001E0C6D">
        <w:br w:type="page"/>
      </w:r>
    </w:p>
    <w:p w14:paraId="1481DD07" w14:textId="77777777" w:rsidR="00E25A11" w:rsidRPr="001E0C6D" w:rsidRDefault="00E25A11" w:rsidP="009310B1">
      <w:pPr>
        <w:pStyle w:val="Figureheading"/>
      </w:pPr>
      <w:bookmarkStart w:id="119" w:name="_Ref467859157"/>
      <w:bookmarkStart w:id="120" w:name="_Toc468348957"/>
      <w:bookmarkStart w:id="121" w:name="_Toc486587626"/>
      <w:r w:rsidRPr="001E0C6D">
        <w:t xml:space="preserve">Figure </w:t>
      </w:r>
      <w:fldSimple w:instr=" SEQ Figure \* ARABIC ">
        <w:r w:rsidR="00ED08CC">
          <w:rPr>
            <w:noProof/>
          </w:rPr>
          <w:t>10</w:t>
        </w:r>
      </w:fldSimple>
      <w:bookmarkEnd w:id="119"/>
      <w:r w:rsidRPr="001E0C6D">
        <w:t>. Data set availability and relative time spans</w:t>
      </w:r>
      <w:bookmarkEnd w:id="120"/>
      <w:bookmarkEnd w:id="121"/>
    </w:p>
    <w:p w14:paraId="550901E6" w14:textId="77777777" w:rsidR="00E25A11" w:rsidRPr="001E0C6D" w:rsidRDefault="00E25A11" w:rsidP="00E25A11">
      <w:r w:rsidRPr="001E0C6D">
        <w:rPr>
          <w:noProof/>
          <w:lang w:eastAsia="zh-TW" w:bidi="hi-IN"/>
        </w:rPr>
        <w:drawing>
          <wp:inline distT="0" distB="0" distL="0" distR="0" wp14:anchorId="073BB96E" wp14:editId="19456989">
            <wp:extent cx="5731510" cy="1771650"/>
            <wp:effectExtent l="0" t="0" r="2540" b="0"/>
            <wp:docPr id="7" name="Picture 7" descr="This is a bar chart illustrating financial year spans of various data sets, which include ACF (from 2000–01 to 2014–15), ACNC (from 2012–13 to 2014–15), AMPAG (from 2001–02 to 2014–15), GOS (from 2000–01 to 2015–16), ABS (2014–15), and AbaF (from 2001–02 to 2009–10)." title="Figure 10. Data set availability and relative time spa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5731510" cy="1771650"/>
                    </a:xfrm>
                    <a:prstGeom prst="rect">
                      <a:avLst/>
                    </a:prstGeom>
                  </pic:spPr>
                </pic:pic>
              </a:graphicData>
            </a:graphic>
          </wp:inline>
        </w:drawing>
      </w:r>
    </w:p>
    <w:p w14:paraId="559AC2C6" w14:textId="77777777" w:rsidR="005D1423" w:rsidRDefault="00E25A11" w:rsidP="00E25A11">
      <w:r w:rsidRPr="001E0C6D">
        <w:t>Not all data collected was necessarily mature and complete. That is, each data set reflected the life of the program it was linked to. In general, when a program or an agency is in its commencing stages, initial utilisation of the scheme and its reporting may take a period of time to reach potential and stabilise. Until then, data may be sporadic and aggregate changes may be lumpy, which is the case with the early periods of data from ACF and ACNC. In this regard, BCAR has only used mature data that could be consistently used for modelling from 2001–02 onwards, which in this case is AMPAG data.</w:t>
      </w:r>
    </w:p>
    <w:p w14:paraId="2D2F0730" w14:textId="77777777" w:rsidR="00E25A11" w:rsidRPr="001E0C6D" w:rsidRDefault="00E25A11" w:rsidP="00E25A11">
      <w:r w:rsidRPr="001E0C6D">
        <w:t>Due to the nature of the arts-specific data, an additional data confrontation was required. The ABS measure of GOS was used for this purpose (see model 3 below).</w:t>
      </w:r>
    </w:p>
    <w:p w14:paraId="00338D70" w14:textId="77777777" w:rsidR="00E25A11" w:rsidRPr="001E0C6D" w:rsidRDefault="00E25A11" w:rsidP="009310B1">
      <w:pPr>
        <w:pStyle w:val="Heading3"/>
      </w:pPr>
      <w:bookmarkStart w:id="122" w:name="_Toc466634320"/>
      <w:bookmarkStart w:id="123" w:name="_Toc468868228"/>
      <w:bookmarkStart w:id="124" w:name="_Toc486261319"/>
      <w:bookmarkStart w:id="125" w:name="_Toc486319740"/>
      <w:r w:rsidRPr="001E0C6D">
        <w:t>Data representativeness</w:t>
      </w:r>
      <w:bookmarkEnd w:id="122"/>
      <w:bookmarkEnd w:id="123"/>
      <w:bookmarkEnd w:id="124"/>
      <w:bookmarkEnd w:id="125"/>
    </w:p>
    <w:p w14:paraId="54C5C2B9" w14:textId="77777777" w:rsidR="005D1423" w:rsidRDefault="00E25A11" w:rsidP="00E25A11">
      <w:r w:rsidRPr="001E0C6D">
        <w:t>The data sets could not be used to estimate the population of interest, private sector support for the arts sector across Australia, as they are not representative of the arts sector as a whole. ACNC pertains only to organisations that are registered as charities and not-for</w:t>
      </w:r>
      <w:r w:rsidRPr="001E0C6D">
        <w:noBreakHyphen/>
        <w:t>profits with the ACNC. AMPAG represents the 28 major performing arts organisations also funded by the Australian and state governments. ACF data relates only to organisations and individuals that have used the scheme. However, these data sets could be used in the future, as additional data sets become available and their proportional relationships is established with respect to the population of interest as a whole.</w:t>
      </w:r>
    </w:p>
    <w:p w14:paraId="41CC2686" w14:textId="77777777" w:rsidR="005D1423" w:rsidRDefault="00E25A11" w:rsidP="009310B1">
      <w:pPr>
        <w:pStyle w:val="Heading3"/>
      </w:pPr>
      <w:bookmarkStart w:id="126" w:name="_Toc466634321"/>
      <w:bookmarkStart w:id="127" w:name="_Toc468868229"/>
      <w:bookmarkStart w:id="128" w:name="_Toc486261320"/>
      <w:bookmarkStart w:id="129" w:name="_Toc486319741"/>
      <w:r w:rsidRPr="001E0C6D">
        <w:t>Previous estimates of survey results</w:t>
      </w:r>
      <w:bookmarkEnd w:id="126"/>
      <w:bookmarkEnd w:id="127"/>
      <w:bookmarkEnd w:id="128"/>
      <w:bookmarkEnd w:id="129"/>
    </w:p>
    <w:p w14:paraId="4FEEB972" w14:textId="77777777" w:rsidR="00E25A11" w:rsidRPr="001E0C6D" w:rsidRDefault="00E25A11" w:rsidP="00E25A11">
      <w:r w:rsidRPr="001E0C6D">
        <w:t xml:space="preserve">In the past, surveys have been undertaken by </w:t>
      </w:r>
      <w:proofErr w:type="spellStart"/>
      <w:r w:rsidRPr="001E0C6D">
        <w:t>AbaF</w:t>
      </w:r>
      <w:proofErr w:type="spellEnd"/>
      <w:r w:rsidRPr="001E0C6D">
        <w:t xml:space="preserve"> (2001–02 to 2009–10) and the ABS (2014–15) to estimate private sector support to the arts. Both </w:t>
      </w:r>
      <w:proofErr w:type="spellStart"/>
      <w:r w:rsidRPr="001E0C6D">
        <w:t>AbaF</w:t>
      </w:r>
      <w:proofErr w:type="spellEnd"/>
      <w:r w:rsidRPr="001E0C6D">
        <w:t xml:space="preserve"> and ABS survey-based estimates were designed to capture the arts sector as a whole and can be considered as representative, with </w:t>
      </w:r>
      <w:proofErr w:type="spellStart"/>
      <w:r w:rsidRPr="001E0C6D">
        <w:t>AbaF</w:t>
      </w:r>
      <w:proofErr w:type="spellEnd"/>
      <w:r w:rsidRPr="001E0C6D">
        <w:t xml:space="preserve"> geared toward organisations that are eligible tax deductible gift recipients.</w:t>
      </w:r>
    </w:p>
    <w:p w14:paraId="144D314B" w14:textId="77777777" w:rsidR="005D1423" w:rsidRDefault="00E25A11" w:rsidP="00E25A11">
      <w:proofErr w:type="spellStart"/>
      <w:r w:rsidRPr="001E0C6D">
        <w:t>AbaF</w:t>
      </w:r>
      <w:proofErr w:type="spellEnd"/>
      <w:r w:rsidRPr="001E0C6D">
        <w:t xml:space="preserve"> and ABS survey-based estimates are outlined in </w:t>
      </w:r>
      <w:r w:rsidRPr="001E0C6D">
        <w:fldChar w:fldCharType="begin"/>
      </w:r>
      <w:r w:rsidRPr="001E0C6D">
        <w:instrText xml:space="preserve"> REF _Ref468881859 \h  \* MERGEFORMAT </w:instrText>
      </w:r>
      <w:r w:rsidRPr="001E0C6D">
        <w:fldChar w:fldCharType="separate"/>
      </w:r>
      <w:r w:rsidR="00ED08CC" w:rsidRPr="001E0C6D">
        <w:t xml:space="preserve">Table </w:t>
      </w:r>
      <w:r w:rsidR="00ED08CC">
        <w:t>13</w:t>
      </w:r>
      <w:r w:rsidRPr="001E0C6D">
        <w:fldChar w:fldCharType="end"/>
      </w:r>
      <w:r w:rsidRPr="001E0C6D">
        <w:t xml:space="preserve"> below.</w:t>
      </w:r>
    </w:p>
    <w:p w14:paraId="7068CCC8" w14:textId="77777777" w:rsidR="00E25A11" w:rsidRPr="001E0C6D" w:rsidRDefault="00E25A11" w:rsidP="00E25A11">
      <w:r w:rsidRPr="001E0C6D">
        <w:br w:type="page"/>
      </w:r>
    </w:p>
    <w:p w14:paraId="7F84F9E1" w14:textId="77777777" w:rsidR="00E25A11" w:rsidRDefault="00E25A11" w:rsidP="009310B1">
      <w:pPr>
        <w:pStyle w:val="Tablefigureheading"/>
      </w:pPr>
      <w:bookmarkStart w:id="130" w:name="_Ref468881859"/>
      <w:bookmarkStart w:id="131" w:name="_Ref467859263"/>
      <w:bookmarkStart w:id="132" w:name="_Toc468348973"/>
      <w:bookmarkStart w:id="133" w:name="_Toc486587639"/>
      <w:r w:rsidRPr="001E0C6D">
        <w:t xml:space="preserve">Table </w:t>
      </w:r>
      <w:fldSimple w:instr=" SEQ Table \* ARABIC ">
        <w:r w:rsidR="00ED08CC">
          <w:rPr>
            <w:noProof/>
          </w:rPr>
          <w:t>13</w:t>
        </w:r>
      </w:fldSimple>
      <w:bookmarkEnd w:id="130"/>
      <w:r w:rsidRPr="001E0C6D">
        <w:t xml:space="preserve">. Survey-based estimates of total private sector support for arts: </w:t>
      </w:r>
      <w:proofErr w:type="spellStart"/>
      <w:r w:rsidRPr="001E0C6D">
        <w:t>AbaF</w:t>
      </w:r>
      <w:proofErr w:type="spellEnd"/>
      <w:r w:rsidRPr="001E0C6D">
        <w:t xml:space="preserve"> and ABS</w:t>
      </w:r>
      <w:bookmarkEnd w:id="131"/>
      <w:bookmarkEnd w:id="132"/>
      <w:bookmarkEnd w:id="133"/>
    </w:p>
    <w:tbl>
      <w:tblPr>
        <w:tblStyle w:val="TableGrid"/>
        <w:tblW w:w="8931" w:type="dxa"/>
        <w:tblBorders>
          <w:top w:val="none" w:sz="0" w:space="0" w:color="auto"/>
          <w:left w:val="none" w:sz="0" w:space="0" w:color="auto"/>
          <w:right w:val="none" w:sz="0" w:space="0" w:color="auto"/>
          <w:insideH w:val="none" w:sz="0" w:space="0" w:color="auto"/>
          <w:insideV w:val="none" w:sz="0" w:space="0" w:color="auto"/>
        </w:tblBorders>
        <w:tblCellMar>
          <w:top w:w="57" w:type="dxa"/>
          <w:bottom w:w="57" w:type="dxa"/>
        </w:tblCellMar>
        <w:tblLook w:val="04A0" w:firstRow="1" w:lastRow="0" w:firstColumn="1" w:lastColumn="0" w:noHBand="0" w:noVBand="1"/>
        <w:tblDescription w:val="Table 1. AbaF total support estimate with 4.0 per cent growth projection"/>
      </w:tblPr>
      <w:tblGrid>
        <w:gridCol w:w="1701"/>
        <w:gridCol w:w="3615"/>
        <w:gridCol w:w="3615"/>
      </w:tblGrid>
      <w:tr w:rsidR="005D1423" w14:paraId="1042B7B7" w14:textId="77777777" w:rsidTr="00BC0293">
        <w:trPr>
          <w:cantSplit/>
          <w:tblHeader/>
        </w:trPr>
        <w:tc>
          <w:tcPr>
            <w:tcW w:w="1701" w:type="dxa"/>
            <w:tcBorders>
              <w:top w:val="nil"/>
              <w:left w:val="nil"/>
              <w:bottom w:val="thickThinLargeGap" w:sz="24" w:space="0" w:color="auto"/>
              <w:right w:val="nil"/>
            </w:tcBorders>
            <w:shd w:val="clear" w:color="auto" w:fill="113652"/>
          </w:tcPr>
          <w:p w14:paraId="2B733C3A" w14:textId="77777777" w:rsidR="005D1423" w:rsidRDefault="005D1423" w:rsidP="005D1423">
            <w:pPr>
              <w:pStyle w:val="Tableheading"/>
            </w:pPr>
            <w:r>
              <w:t>Financial year</w:t>
            </w:r>
          </w:p>
        </w:tc>
        <w:tc>
          <w:tcPr>
            <w:tcW w:w="3615" w:type="dxa"/>
            <w:tcBorders>
              <w:top w:val="nil"/>
              <w:left w:val="nil"/>
              <w:bottom w:val="thickThinLargeGap" w:sz="24" w:space="0" w:color="auto"/>
              <w:right w:val="nil"/>
            </w:tcBorders>
            <w:shd w:val="clear" w:color="auto" w:fill="113652"/>
          </w:tcPr>
          <w:p w14:paraId="7EDA50E9" w14:textId="77777777" w:rsidR="005D1423" w:rsidRPr="001E0C6D" w:rsidRDefault="005D1423" w:rsidP="005D1423">
            <w:pPr>
              <w:pStyle w:val="Tableheadingcentred"/>
            </w:pPr>
            <w:proofErr w:type="spellStart"/>
            <w:r w:rsidRPr="001E0C6D">
              <w:t>AbaF</w:t>
            </w:r>
            <w:proofErr w:type="spellEnd"/>
            <w:r w:rsidRPr="001E0C6D">
              <w:t xml:space="preserve"> ($ million)</w:t>
            </w:r>
          </w:p>
        </w:tc>
        <w:tc>
          <w:tcPr>
            <w:tcW w:w="3615" w:type="dxa"/>
            <w:tcBorders>
              <w:top w:val="nil"/>
              <w:left w:val="nil"/>
              <w:bottom w:val="thickThinLargeGap" w:sz="24" w:space="0" w:color="auto"/>
              <w:right w:val="nil"/>
            </w:tcBorders>
            <w:shd w:val="clear" w:color="auto" w:fill="113652"/>
          </w:tcPr>
          <w:p w14:paraId="185F04AA" w14:textId="77777777" w:rsidR="005D1423" w:rsidRPr="001E0C6D" w:rsidRDefault="005D1423" w:rsidP="005D1423">
            <w:pPr>
              <w:pStyle w:val="Tableheadingcentred"/>
            </w:pPr>
            <w:r w:rsidRPr="001E0C6D">
              <w:t>ABS ($ million)</w:t>
            </w:r>
          </w:p>
        </w:tc>
      </w:tr>
      <w:tr w:rsidR="005D1423" w14:paraId="5F957761" w14:textId="77777777" w:rsidTr="00E926EA">
        <w:trPr>
          <w:cantSplit/>
        </w:trPr>
        <w:tc>
          <w:tcPr>
            <w:tcW w:w="1701" w:type="dxa"/>
            <w:tcBorders>
              <w:top w:val="thickThinLargeGap" w:sz="24" w:space="0" w:color="auto"/>
              <w:left w:val="nil"/>
              <w:bottom w:val="single" w:sz="4" w:space="0" w:color="auto"/>
              <w:right w:val="nil"/>
            </w:tcBorders>
          </w:tcPr>
          <w:p w14:paraId="6A8EA5AB" w14:textId="77777777" w:rsidR="005D1423" w:rsidRPr="001E0C6D" w:rsidRDefault="005D1423" w:rsidP="005D1423">
            <w:pPr>
              <w:pStyle w:val="Tabletext"/>
            </w:pPr>
            <w:r w:rsidRPr="001E0C6D">
              <w:t>2001–02</w:t>
            </w:r>
          </w:p>
        </w:tc>
        <w:tc>
          <w:tcPr>
            <w:tcW w:w="3615" w:type="dxa"/>
            <w:tcBorders>
              <w:top w:val="thickThinLargeGap" w:sz="24" w:space="0" w:color="auto"/>
              <w:left w:val="nil"/>
              <w:bottom w:val="single" w:sz="4" w:space="0" w:color="auto"/>
              <w:right w:val="nil"/>
            </w:tcBorders>
          </w:tcPr>
          <w:p w14:paraId="7D76882E" w14:textId="77777777" w:rsidR="005D1423" w:rsidRPr="001E0C6D" w:rsidRDefault="005D1423" w:rsidP="005D1423">
            <w:pPr>
              <w:pStyle w:val="Tabletext"/>
              <w:jc w:val="center"/>
            </w:pPr>
            <w:r w:rsidRPr="001E0C6D">
              <w:t>111.6</w:t>
            </w:r>
          </w:p>
        </w:tc>
        <w:tc>
          <w:tcPr>
            <w:tcW w:w="3615" w:type="dxa"/>
            <w:tcBorders>
              <w:top w:val="thickThinLargeGap" w:sz="24" w:space="0" w:color="auto"/>
              <w:left w:val="nil"/>
              <w:bottom w:val="single" w:sz="4" w:space="0" w:color="auto"/>
              <w:right w:val="nil"/>
            </w:tcBorders>
          </w:tcPr>
          <w:p w14:paraId="47533E9A" w14:textId="77777777" w:rsidR="005D1423" w:rsidRPr="001E0C6D" w:rsidRDefault="005D1423" w:rsidP="005D1423">
            <w:pPr>
              <w:pStyle w:val="Tabletext"/>
              <w:jc w:val="center"/>
            </w:pPr>
            <w:r w:rsidRPr="001E0C6D">
              <w:t>-</w:t>
            </w:r>
          </w:p>
        </w:tc>
      </w:tr>
      <w:tr w:rsidR="005D1423" w14:paraId="3EB61682" w14:textId="77777777" w:rsidTr="00BC0293">
        <w:trPr>
          <w:cantSplit/>
        </w:trPr>
        <w:tc>
          <w:tcPr>
            <w:tcW w:w="1701" w:type="dxa"/>
            <w:tcBorders>
              <w:top w:val="single" w:sz="4" w:space="0" w:color="auto"/>
              <w:left w:val="nil"/>
              <w:bottom w:val="single" w:sz="4" w:space="0" w:color="auto"/>
              <w:right w:val="nil"/>
            </w:tcBorders>
          </w:tcPr>
          <w:p w14:paraId="0411B17D" w14:textId="77777777" w:rsidR="005D1423" w:rsidRPr="001E0C6D" w:rsidRDefault="005D1423" w:rsidP="005D1423">
            <w:pPr>
              <w:pStyle w:val="Tabletext"/>
            </w:pPr>
            <w:r w:rsidRPr="001E0C6D">
              <w:t>2002–03</w:t>
            </w:r>
          </w:p>
        </w:tc>
        <w:tc>
          <w:tcPr>
            <w:tcW w:w="3615" w:type="dxa"/>
            <w:tcBorders>
              <w:top w:val="single" w:sz="4" w:space="0" w:color="auto"/>
              <w:left w:val="nil"/>
              <w:bottom w:val="single" w:sz="4" w:space="0" w:color="auto"/>
              <w:right w:val="nil"/>
            </w:tcBorders>
          </w:tcPr>
          <w:p w14:paraId="35D2B571" w14:textId="77777777" w:rsidR="005D1423" w:rsidRPr="001E0C6D" w:rsidRDefault="005D1423" w:rsidP="005D1423">
            <w:pPr>
              <w:pStyle w:val="Tabletext"/>
              <w:jc w:val="center"/>
            </w:pPr>
            <w:r w:rsidRPr="001E0C6D">
              <w:t>120.7</w:t>
            </w:r>
          </w:p>
        </w:tc>
        <w:tc>
          <w:tcPr>
            <w:tcW w:w="3615" w:type="dxa"/>
            <w:tcBorders>
              <w:top w:val="single" w:sz="4" w:space="0" w:color="auto"/>
              <w:left w:val="nil"/>
              <w:bottom w:val="single" w:sz="4" w:space="0" w:color="auto"/>
              <w:right w:val="nil"/>
            </w:tcBorders>
          </w:tcPr>
          <w:p w14:paraId="6F879042" w14:textId="77777777" w:rsidR="005D1423" w:rsidRPr="001E0C6D" w:rsidRDefault="005D1423" w:rsidP="005D1423">
            <w:pPr>
              <w:pStyle w:val="Tabletext"/>
              <w:jc w:val="center"/>
            </w:pPr>
            <w:r w:rsidRPr="001E0C6D">
              <w:t>-</w:t>
            </w:r>
          </w:p>
        </w:tc>
      </w:tr>
      <w:tr w:rsidR="005D1423" w14:paraId="51529455" w14:textId="77777777" w:rsidTr="00BC0293">
        <w:trPr>
          <w:cantSplit/>
        </w:trPr>
        <w:tc>
          <w:tcPr>
            <w:tcW w:w="1701" w:type="dxa"/>
            <w:tcBorders>
              <w:top w:val="single" w:sz="4" w:space="0" w:color="auto"/>
              <w:left w:val="nil"/>
              <w:bottom w:val="single" w:sz="4" w:space="0" w:color="auto"/>
              <w:right w:val="nil"/>
            </w:tcBorders>
          </w:tcPr>
          <w:p w14:paraId="6A8A4DAB" w14:textId="77777777" w:rsidR="005D1423" w:rsidRPr="001E0C6D" w:rsidRDefault="005D1423" w:rsidP="005D1423">
            <w:pPr>
              <w:pStyle w:val="Tabletext"/>
            </w:pPr>
            <w:r w:rsidRPr="001E0C6D">
              <w:t>2003–04</w:t>
            </w:r>
          </w:p>
        </w:tc>
        <w:tc>
          <w:tcPr>
            <w:tcW w:w="3615" w:type="dxa"/>
            <w:tcBorders>
              <w:top w:val="single" w:sz="4" w:space="0" w:color="auto"/>
              <w:left w:val="nil"/>
              <w:bottom w:val="single" w:sz="4" w:space="0" w:color="auto"/>
              <w:right w:val="nil"/>
            </w:tcBorders>
          </w:tcPr>
          <w:p w14:paraId="56D28E28" w14:textId="77777777" w:rsidR="005D1423" w:rsidRPr="001E0C6D" w:rsidRDefault="005D1423" w:rsidP="005D1423">
            <w:pPr>
              <w:pStyle w:val="Tabletext"/>
              <w:jc w:val="center"/>
            </w:pPr>
            <w:r w:rsidRPr="001E0C6D">
              <w:t>127.0</w:t>
            </w:r>
          </w:p>
        </w:tc>
        <w:tc>
          <w:tcPr>
            <w:tcW w:w="3615" w:type="dxa"/>
            <w:tcBorders>
              <w:top w:val="single" w:sz="4" w:space="0" w:color="auto"/>
              <w:left w:val="nil"/>
              <w:bottom w:val="single" w:sz="4" w:space="0" w:color="auto"/>
              <w:right w:val="nil"/>
            </w:tcBorders>
          </w:tcPr>
          <w:p w14:paraId="66A48A17" w14:textId="77777777" w:rsidR="005D1423" w:rsidRPr="001E0C6D" w:rsidRDefault="005D1423" w:rsidP="005D1423">
            <w:pPr>
              <w:pStyle w:val="Tabletext"/>
              <w:jc w:val="center"/>
            </w:pPr>
            <w:r w:rsidRPr="001E0C6D">
              <w:t>-</w:t>
            </w:r>
          </w:p>
        </w:tc>
      </w:tr>
      <w:tr w:rsidR="005D1423" w14:paraId="6C029A69" w14:textId="77777777" w:rsidTr="00BC0293">
        <w:trPr>
          <w:cantSplit/>
        </w:trPr>
        <w:tc>
          <w:tcPr>
            <w:tcW w:w="1701" w:type="dxa"/>
            <w:tcBorders>
              <w:top w:val="single" w:sz="4" w:space="0" w:color="auto"/>
              <w:left w:val="nil"/>
              <w:bottom w:val="single" w:sz="4" w:space="0" w:color="auto"/>
              <w:right w:val="nil"/>
            </w:tcBorders>
          </w:tcPr>
          <w:p w14:paraId="68116402" w14:textId="77777777" w:rsidR="005D1423" w:rsidRPr="001E0C6D" w:rsidRDefault="005D1423" w:rsidP="005D1423">
            <w:pPr>
              <w:pStyle w:val="Tabletext"/>
            </w:pPr>
            <w:r w:rsidRPr="001E0C6D">
              <w:t>2004–05</w:t>
            </w:r>
          </w:p>
        </w:tc>
        <w:tc>
          <w:tcPr>
            <w:tcW w:w="3615" w:type="dxa"/>
            <w:tcBorders>
              <w:top w:val="single" w:sz="4" w:space="0" w:color="auto"/>
              <w:left w:val="nil"/>
              <w:bottom w:val="single" w:sz="4" w:space="0" w:color="auto"/>
              <w:right w:val="nil"/>
            </w:tcBorders>
          </w:tcPr>
          <w:p w14:paraId="7E36867A" w14:textId="77777777" w:rsidR="005D1423" w:rsidRPr="001E0C6D" w:rsidRDefault="005D1423" w:rsidP="005D1423">
            <w:pPr>
              <w:pStyle w:val="Tabletext"/>
              <w:jc w:val="center"/>
            </w:pPr>
            <w:r w:rsidRPr="001E0C6D">
              <w:t>138.2</w:t>
            </w:r>
          </w:p>
        </w:tc>
        <w:tc>
          <w:tcPr>
            <w:tcW w:w="3615" w:type="dxa"/>
            <w:tcBorders>
              <w:top w:val="single" w:sz="4" w:space="0" w:color="auto"/>
              <w:left w:val="nil"/>
              <w:bottom w:val="single" w:sz="4" w:space="0" w:color="auto"/>
              <w:right w:val="nil"/>
            </w:tcBorders>
          </w:tcPr>
          <w:p w14:paraId="0CD1E9CA" w14:textId="77777777" w:rsidR="005D1423" w:rsidRPr="001E0C6D" w:rsidRDefault="005D1423" w:rsidP="005D1423">
            <w:pPr>
              <w:pStyle w:val="Tabletext"/>
              <w:jc w:val="center"/>
            </w:pPr>
            <w:r w:rsidRPr="001E0C6D">
              <w:t>-</w:t>
            </w:r>
          </w:p>
        </w:tc>
      </w:tr>
      <w:tr w:rsidR="005D1423" w14:paraId="74940055" w14:textId="77777777" w:rsidTr="00BC0293">
        <w:trPr>
          <w:cantSplit/>
        </w:trPr>
        <w:tc>
          <w:tcPr>
            <w:tcW w:w="1701" w:type="dxa"/>
            <w:tcBorders>
              <w:top w:val="single" w:sz="4" w:space="0" w:color="auto"/>
              <w:left w:val="nil"/>
              <w:bottom w:val="single" w:sz="4" w:space="0" w:color="auto"/>
              <w:right w:val="nil"/>
            </w:tcBorders>
          </w:tcPr>
          <w:p w14:paraId="3AEA988B" w14:textId="77777777" w:rsidR="005D1423" w:rsidRPr="001E0C6D" w:rsidRDefault="005D1423" w:rsidP="005D1423">
            <w:pPr>
              <w:pStyle w:val="Tabletext"/>
            </w:pPr>
            <w:r w:rsidRPr="001E0C6D">
              <w:t>2005–06</w:t>
            </w:r>
          </w:p>
        </w:tc>
        <w:tc>
          <w:tcPr>
            <w:tcW w:w="3615" w:type="dxa"/>
            <w:tcBorders>
              <w:top w:val="single" w:sz="4" w:space="0" w:color="auto"/>
              <w:left w:val="nil"/>
              <w:bottom w:val="single" w:sz="4" w:space="0" w:color="auto"/>
              <w:right w:val="nil"/>
            </w:tcBorders>
          </w:tcPr>
          <w:p w14:paraId="54EAE3A3" w14:textId="77777777" w:rsidR="005D1423" w:rsidRPr="001E0C6D" w:rsidRDefault="005D1423" w:rsidP="005D1423">
            <w:pPr>
              <w:pStyle w:val="Tabletext"/>
              <w:jc w:val="center"/>
            </w:pPr>
            <w:r w:rsidRPr="001E0C6D">
              <w:t>168.8</w:t>
            </w:r>
          </w:p>
        </w:tc>
        <w:tc>
          <w:tcPr>
            <w:tcW w:w="3615" w:type="dxa"/>
            <w:tcBorders>
              <w:top w:val="single" w:sz="4" w:space="0" w:color="auto"/>
              <w:left w:val="nil"/>
              <w:bottom w:val="single" w:sz="4" w:space="0" w:color="auto"/>
              <w:right w:val="nil"/>
            </w:tcBorders>
          </w:tcPr>
          <w:p w14:paraId="522BC792" w14:textId="77777777" w:rsidR="005D1423" w:rsidRPr="001E0C6D" w:rsidRDefault="005D1423" w:rsidP="005D1423">
            <w:pPr>
              <w:pStyle w:val="Tabletext"/>
              <w:jc w:val="center"/>
            </w:pPr>
            <w:r w:rsidRPr="001E0C6D">
              <w:t>-</w:t>
            </w:r>
          </w:p>
        </w:tc>
      </w:tr>
      <w:tr w:rsidR="005D1423" w14:paraId="35AF40F5" w14:textId="77777777" w:rsidTr="00BC0293">
        <w:trPr>
          <w:cantSplit/>
        </w:trPr>
        <w:tc>
          <w:tcPr>
            <w:tcW w:w="1701" w:type="dxa"/>
            <w:tcBorders>
              <w:top w:val="single" w:sz="4" w:space="0" w:color="auto"/>
              <w:left w:val="nil"/>
              <w:bottom w:val="single" w:sz="4" w:space="0" w:color="auto"/>
              <w:right w:val="nil"/>
            </w:tcBorders>
          </w:tcPr>
          <w:p w14:paraId="6CDDA3FA" w14:textId="77777777" w:rsidR="005D1423" w:rsidRPr="001E0C6D" w:rsidRDefault="005D1423" w:rsidP="005D1423">
            <w:pPr>
              <w:pStyle w:val="Tabletext"/>
            </w:pPr>
            <w:r w:rsidRPr="001E0C6D">
              <w:t>2006–07</w:t>
            </w:r>
          </w:p>
        </w:tc>
        <w:tc>
          <w:tcPr>
            <w:tcW w:w="3615" w:type="dxa"/>
            <w:tcBorders>
              <w:top w:val="single" w:sz="4" w:space="0" w:color="auto"/>
              <w:left w:val="nil"/>
              <w:bottom w:val="single" w:sz="4" w:space="0" w:color="auto"/>
              <w:right w:val="nil"/>
            </w:tcBorders>
          </w:tcPr>
          <w:p w14:paraId="0DE8ABA1" w14:textId="77777777" w:rsidR="005D1423" w:rsidRPr="001E0C6D" w:rsidRDefault="005D1423" w:rsidP="005D1423">
            <w:pPr>
              <w:pStyle w:val="Tabletext"/>
              <w:jc w:val="center"/>
            </w:pPr>
            <w:r w:rsidRPr="001E0C6D">
              <w:t>178.7</w:t>
            </w:r>
          </w:p>
        </w:tc>
        <w:tc>
          <w:tcPr>
            <w:tcW w:w="3615" w:type="dxa"/>
            <w:tcBorders>
              <w:top w:val="single" w:sz="4" w:space="0" w:color="auto"/>
              <w:left w:val="nil"/>
              <w:bottom w:val="single" w:sz="4" w:space="0" w:color="auto"/>
              <w:right w:val="nil"/>
            </w:tcBorders>
          </w:tcPr>
          <w:p w14:paraId="320CF211" w14:textId="77777777" w:rsidR="005D1423" w:rsidRPr="001E0C6D" w:rsidRDefault="005D1423" w:rsidP="005D1423">
            <w:pPr>
              <w:pStyle w:val="Tabletext"/>
              <w:jc w:val="center"/>
            </w:pPr>
            <w:r w:rsidRPr="001E0C6D">
              <w:t>-</w:t>
            </w:r>
          </w:p>
        </w:tc>
      </w:tr>
      <w:tr w:rsidR="005D1423" w14:paraId="2BDD24CC" w14:textId="77777777" w:rsidTr="00BC0293">
        <w:trPr>
          <w:cantSplit/>
        </w:trPr>
        <w:tc>
          <w:tcPr>
            <w:tcW w:w="1701" w:type="dxa"/>
            <w:tcBorders>
              <w:top w:val="single" w:sz="4" w:space="0" w:color="auto"/>
              <w:left w:val="nil"/>
              <w:bottom w:val="single" w:sz="4" w:space="0" w:color="auto"/>
              <w:right w:val="nil"/>
            </w:tcBorders>
          </w:tcPr>
          <w:p w14:paraId="1F5BB51F" w14:textId="77777777" w:rsidR="005D1423" w:rsidRPr="001E0C6D" w:rsidRDefault="005D1423" w:rsidP="005D1423">
            <w:pPr>
              <w:pStyle w:val="Tabletext"/>
            </w:pPr>
            <w:r w:rsidRPr="001E0C6D">
              <w:t>2007–08</w:t>
            </w:r>
          </w:p>
        </w:tc>
        <w:tc>
          <w:tcPr>
            <w:tcW w:w="3615" w:type="dxa"/>
            <w:tcBorders>
              <w:top w:val="single" w:sz="4" w:space="0" w:color="auto"/>
              <w:left w:val="nil"/>
              <w:bottom w:val="single" w:sz="4" w:space="0" w:color="auto"/>
              <w:right w:val="nil"/>
            </w:tcBorders>
          </w:tcPr>
          <w:p w14:paraId="1C402FFE" w14:textId="77777777" w:rsidR="005D1423" w:rsidRPr="001E0C6D" w:rsidRDefault="005D1423" w:rsidP="005D1423">
            <w:pPr>
              <w:pStyle w:val="Tabletext"/>
              <w:jc w:val="center"/>
            </w:pPr>
            <w:r w:rsidRPr="001E0C6D">
              <w:t>204.0</w:t>
            </w:r>
          </w:p>
        </w:tc>
        <w:tc>
          <w:tcPr>
            <w:tcW w:w="3615" w:type="dxa"/>
            <w:tcBorders>
              <w:top w:val="single" w:sz="4" w:space="0" w:color="auto"/>
              <w:left w:val="nil"/>
              <w:bottom w:val="single" w:sz="4" w:space="0" w:color="auto"/>
              <w:right w:val="nil"/>
            </w:tcBorders>
          </w:tcPr>
          <w:p w14:paraId="657DF2EC" w14:textId="77777777" w:rsidR="005D1423" w:rsidRPr="001E0C6D" w:rsidRDefault="005D1423" w:rsidP="005D1423">
            <w:pPr>
              <w:pStyle w:val="Tabletext"/>
              <w:jc w:val="center"/>
            </w:pPr>
            <w:r w:rsidRPr="001E0C6D">
              <w:t>-</w:t>
            </w:r>
          </w:p>
        </w:tc>
      </w:tr>
      <w:tr w:rsidR="005D1423" w14:paraId="494309A7" w14:textId="77777777" w:rsidTr="00BC0293">
        <w:trPr>
          <w:cantSplit/>
        </w:trPr>
        <w:tc>
          <w:tcPr>
            <w:tcW w:w="1701" w:type="dxa"/>
            <w:tcBorders>
              <w:top w:val="single" w:sz="4" w:space="0" w:color="auto"/>
              <w:left w:val="nil"/>
              <w:bottom w:val="single" w:sz="4" w:space="0" w:color="auto"/>
              <w:right w:val="nil"/>
            </w:tcBorders>
          </w:tcPr>
          <w:p w14:paraId="5DD97083" w14:textId="77777777" w:rsidR="005D1423" w:rsidRPr="001E0C6D" w:rsidRDefault="005D1423" w:rsidP="005D1423">
            <w:pPr>
              <w:pStyle w:val="Tabletext"/>
            </w:pPr>
            <w:r w:rsidRPr="001E0C6D">
              <w:t>2008–09</w:t>
            </w:r>
          </w:p>
        </w:tc>
        <w:tc>
          <w:tcPr>
            <w:tcW w:w="3615" w:type="dxa"/>
            <w:tcBorders>
              <w:top w:val="single" w:sz="4" w:space="0" w:color="auto"/>
              <w:left w:val="nil"/>
              <w:bottom w:val="single" w:sz="4" w:space="0" w:color="auto"/>
              <w:right w:val="nil"/>
            </w:tcBorders>
          </w:tcPr>
          <w:p w14:paraId="79BE3996" w14:textId="77777777" w:rsidR="005D1423" w:rsidRPr="001E0C6D" w:rsidRDefault="005D1423" w:rsidP="005D1423">
            <w:pPr>
              <w:pStyle w:val="Tabletext"/>
              <w:jc w:val="center"/>
            </w:pPr>
            <w:r w:rsidRPr="001E0C6D">
              <w:t>212.1</w:t>
            </w:r>
          </w:p>
        </w:tc>
        <w:tc>
          <w:tcPr>
            <w:tcW w:w="3615" w:type="dxa"/>
            <w:tcBorders>
              <w:top w:val="single" w:sz="4" w:space="0" w:color="auto"/>
              <w:left w:val="nil"/>
              <w:bottom w:val="single" w:sz="4" w:space="0" w:color="auto"/>
              <w:right w:val="nil"/>
            </w:tcBorders>
          </w:tcPr>
          <w:p w14:paraId="11B43431" w14:textId="77777777" w:rsidR="005D1423" w:rsidRPr="001E0C6D" w:rsidRDefault="005D1423" w:rsidP="005D1423">
            <w:pPr>
              <w:pStyle w:val="Tabletext"/>
              <w:jc w:val="center"/>
            </w:pPr>
            <w:r w:rsidRPr="001E0C6D">
              <w:t>-</w:t>
            </w:r>
          </w:p>
        </w:tc>
      </w:tr>
      <w:tr w:rsidR="005D1423" w14:paraId="2FC75A8D" w14:textId="77777777" w:rsidTr="00BC0293">
        <w:trPr>
          <w:cantSplit/>
        </w:trPr>
        <w:tc>
          <w:tcPr>
            <w:tcW w:w="1701" w:type="dxa"/>
            <w:tcBorders>
              <w:top w:val="single" w:sz="4" w:space="0" w:color="auto"/>
              <w:left w:val="nil"/>
              <w:bottom w:val="single" w:sz="4" w:space="0" w:color="auto"/>
              <w:right w:val="nil"/>
            </w:tcBorders>
          </w:tcPr>
          <w:p w14:paraId="2BD61AF2" w14:textId="77777777" w:rsidR="005D1423" w:rsidRPr="001E0C6D" w:rsidRDefault="005D1423" w:rsidP="005D1423">
            <w:pPr>
              <w:pStyle w:val="Tabletext"/>
            </w:pPr>
            <w:r w:rsidRPr="001E0C6D">
              <w:t>2009–10</w:t>
            </w:r>
          </w:p>
        </w:tc>
        <w:tc>
          <w:tcPr>
            <w:tcW w:w="3615" w:type="dxa"/>
            <w:tcBorders>
              <w:top w:val="single" w:sz="4" w:space="0" w:color="auto"/>
              <w:left w:val="nil"/>
              <w:bottom w:val="single" w:sz="4" w:space="0" w:color="auto"/>
              <w:right w:val="nil"/>
            </w:tcBorders>
          </w:tcPr>
          <w:p w14:paraId="4FD47022" w14:textId="77777777" w:rsidR="005D1423" w:rsidRPr="001E0C6D" w:rsidRDefault="005D1423" w:rsidP="005D1423">
            <w:pPr>
              <w:pStyle w:val="Tabletext"/>
              <w:jc w:val="center"/>
            </w:pPr>
            <w:r w:rsidRPr="001E0C6D">
              <w:t>221.1</w:t>
            </w:r>
          </w:p>
        </w:tc>
        <w:tc>
          <w:tcPr>
            <w:tcW w:w="3615" w:type="dxa"/>
            <w:tcBorders>
              <w:top w:val="single" w:sz="4" w:space="0" w:color="auto"/>
              <w:left w:val="nil"/>
              <w:bottom w:val="single" w:sz="4" w:space="0" w:color="auto"/>
              <w:right w:val="nil"/>
            </w:tcBorders>
          </w:tcPr>
          <w:p w14:paraId="23DEA75D" w14:textId="77777777" w:rsidR="005D1423" w:rsidRPr="001E0C6D" w:rsidRDefault="005D1423" w:rsidP="005D1423">
            <w:pPr>
              <w:pStyle w:val="Tabletext"/>
              <w:jc w:val="center"/>
            </w:pPr>
            <w:r w:rsidRPr="001E0C6D">
              <w:t>-</w:t>
            </w:r>
          </w:p>
        </w:tc>
      </w:tr>
      <w:tr w:rsidR="005D1423" w14:paraId="437220EA" w14:textId="77777777" w:rsidTr="00BC0293">
        <w:trPr>
          <w:cantSplit/>
        </w:trPr>
        <w:tc>
          <w:tcPr>
            <w:tcW w:w="1701" w:type="dxa"/>
            <w:tcBorders>
              <w:top w:val="single" w:sz="4" w:space="0" w:color="auto"/>
              <w:left w:val="nil"/>
              <w:bottom w:val="single" w:sz="4" w:space="0" w:color="auto"/>
              <w:right w:val="nil"/>
            </w:tcBorders>
          </w:tcPr>
          <w:p w14:paraId="0DE99CCE" w14:textId="77777777" w:rsidR="005D1423" w:rsidRPr="001E0C6D" w:rsidRDefault="005D1423" w:rsidP="005D1423">
            <w:pPr>
              <w:pStyle w:val="Tabletext"/>
            </w:pPr>
            <w:r w:rsidRPr="001E0C6D">
              <w:t>2010–11</w:t>
            </w:r>
          </w:p>
        </w:tc>
        <w:tc>
          <w:tcPr>
            <w:tcW w:w="3615" w:type="dxa"/>
            <w:tcBorders>
              <w:top w:val="single" w:sz="4" w:space="0" w:color="auto"/>
              <w:left w:val="nil"/>
              <w:bottom w:val="single" w:sz="4" w:space="0" w:color="auto"/>
              <w:right w:val="nil"/>
            </w:tcBorders>
          </w:tcPr>
          <w:p w14:paraId="56314C8C" w14:textId="77777777" w:rsidR="005D1423" w:rsidRPr="001E0C6D" w:rsidRDefault="005D1423" w:rsidP="005D1423">
            <w:pPr>
              <w:pStyle w:val="Tabletext"/>
              <w:jc w:val="center"/>
            </w:pPr>
            <w:r w:rsidRPr="001E0C6D">
              <w:t>-</w:t>
            </w:r>
          </w:p>
        </w:tc>
        <w:tc>
          <w:tcPr>
            <w:tcW w:w="3615" w:type="dxa"/>
            <w:tcBorders>
              <w:top w:val="single" w:sz="4" w:space="0" w:color="auto"/>
              <w:left w:val="nil"/>
              <w:bottom w:val="single" w:sz="4" w:space="0" w:color="auto"/>
              <w:right w:val="nil"/>
            </w:tcBorders>
          </w:tcPr>
          <w:p w14:paraId="3C527C2A" w14:textId="77777777" w:rsidR="005D1423" w:rsidRPr="001E0C6D" w:rsidRDefault="005D1423" w:rsidP="005D1423">
            <w:pPr>
              <w:pStyle w:val="Tabletext"/>
              <w:jc w:val="center"/>
            </w:pPr>
            <w:r w:rsidRPr="001E0C6D">
              <w:t>-</w:t>
            </w:r>
          </w:p>
        </w:tc>
      </w:tr>
      <w:tr w:rsidR="005D1423" w14:paraId="1239BB68" w14:textId="77777777" w:rsidTr="00BC0293">
        <w:trPr>
          <w:cantSplit/>
        </w:trPr>
        <w:tc>
          <w:tcPr>
            <w:tcW w:w="1701" w:type="dxa"/>
            <w:tcBorders>
              <w:top w:val="single" w:sz="4" w:space="0" w:color="auto"/>
              <w:left w:val="nil"/>
              <w:bottom w:val="single" w:sz="4" w:space="0" w:color="auto"/>
              <w:right w:val="nil"/>
            </w:tcBorders>
          </w:tcPr>
          <w:p w14:paraId="0C6579B1" w14:textId="77777777" w:rsidR="005D1423" w:rsidRPr="001E0C6D" w:rsidRDefault="005D1423" w:rsidP="005D1423">
            <w:pPr>
              <w:pStyle w:val="Tabletext"/>
            </w:pPr>
            <w:r w:rsidRPr="001E0C6D">
              <w:t>2011–12</w:t>
            </w:r>
          </w:p>
        </w:tc>
        <w:tc>
          <w:tcPr>
            <w:tcW w:w="3615" w:type="dxa"/>
            <w:tcBorders>
              <w:top w:val="single" w:sz="4" w:space="0" w:color="auto"/>
              <w:left w:val="nil"/>
              <w:bottom w:val="single" w:sz="4" w:space="0" w:color="auto"/>
              <w:right w:val="nil"/>
            </w:tcBorders>
          </w:tcPr>
          <w:p w14:paraId="2BFA361F" w14:textId="77777777" w:rsidR="005D1423" w:rsidRPr="001E0C6D" w:rsidRDefault="005D1423" w:rsidP="005D1423">
            <w:pPr>
              <w:pStyle w:val="Tabletext"/>
              <w:jc w:val="center"/>
            </w:pPr>
            <w:r w:rsidRPr="001E0C6D">
              <w:t>-</w:t>
            </w:r>
          </w:p>
        </w:tc>
        <w:tc>
          <w:tcPr>
            <w:tcW w:w="3615" w:type="dxa"/>
            <w:tcBorders>
              <w:top w:val="single" w:sz="4" w:space="0" w:color="auto"/>
              <w:left w:val="nil"/>
              <w:bottom w:val="single" w:sz="4" w:space="0" w:color="auto"/>
              <w:right w:val="nil"/>
            </w:tcBorders>
          </w:tcPr>
          <w:p w14:paraId="38FB0D4B" w14:textId="77777777" w:rsidR="005D1423" w:rsidRPr="001E0C6D" w:rsidRDefault="005D1423" w:rsidP="005D1423">
            <w:pPr>
              <w:pStyle w:val="Tabletext"/>
              <w:jc w:val="center"/>
            </w:pPr>
            <w:r w:rsidRPr="001E0C6D">
              <w:t>-</w:t>
            </w:r>
          </w:p>
        </w:tc>
      </w:tr>
      <w:tr w:rsidR="005D1423" w14:paraId="3C97D8D1" w14:textId="77777777" w:rsidTr="00BC0293">
        <w:trPr>
          <w:cantSplit/>
        </w:trPr>
        <w:tc>
          <w:tcPr>
            <w:tcW w:w="1701" w:type="dxa"/>
            <w:tcBorders>
              <w:top w:val="single" w:sz="4" w:space="0" w:color="auto"/>
              <w:left w:val="nil"/>
              <w:bottom w:val="single" w:sz="4" w:space="0" w:color="auto"/>
              <w:right w:val="nil"/>
            </w:tcBorders>
          </w:tcPr>
          <w:p w14:paraId="4BD7515C" w14:textId="77777777" w:rsidR="005D1423" w:rsidRPr="001E0C6D" w:rsidRDefault="005D1423" w:rsidP="005D1423">
            <w:pPr>
              <w:pStyle w:val="Tabletext"/>
            </w:pPr>
            <w:r w:rsidRPr="001E0C6D">
              <w:t>2012–13</w:t>
            </w:r>
          </w:p>
        </w:tc>
        <w:tc>
          <w:tcPr>
            <w:tcW w:w="3615" w:type="dxa"/>
            <w:tcBorders>
              <w:top w:val="single" w:sz="4" w:space="0" w:color="auto"/>
              <w:left w:val="nil"/>
              <w:bottom w:val="single" w:sz="4" w:space="0" w:color="auto"/>
              <w:right w:val="nil"/>
            </w:tcBorders>
          </w:tcPr>
          <w:p w14:paraId="1E590254" w14:textId="77777777" w:rsidR="005D1423" w:rsidRPr="001E0C6D" w:rsidRDefault="005D1423" w:rsidP="005D1423">
            <w:pPr>
              <w:pStyle w:val="Tabletext"/>
              <w:jc w:val="center"/>
            </w:pPr>
            <w:r w:rsidRPr="001E0C6D">
              <w:t>-</w:t>
            </w:r>
          </w:p>
        </w:tc>
        <w:tc>
          <w:tcPr>
            <w:tcW w:w="3615" w:type="dxa"/>
            <w:tcBorders>
              <w:top w:val="single" w:sz="4" w:space="0" w:color="auto"/>
              <w:left w:val="nil"/>
              <w:bottom w:val="single" w:sz="4" w:space="0" w:color="auto"/>
              <w:right w:val="nil"/>
            </w:tcBorders>
          </w:tcPr>
          <w:p w14:paraId="57BB0411" w14:textId="77777777" w:rsidR="005D1423" w:rsidRPr="001E0C6D" w:rsidRDefault="005D1423" w:rsidP="005D1423">
            <w:pPr>
              <w:pStyle w:val="Tabletext"/>
              <w:jc w:val="center"/>
            </w:pPr>
            <w:r w:rsidRPr="001E0C6D">
              <w:t>-</w:t>
            </w:r>
          </w:p>
        </w:tc>
      </w:tr>
      <w:tr w:rsidR="005D1423" w14:paraId="6977720F" w14:textId="77777777" w:rsidTr="00BC0293">
        <w:trPr>
          <w:cantSplit/>
        </w:trPr>
        <w:tc>
          <w:tcPr>
            <w:tcW w:w="1701" w:type="dxa"/>
            <w:tcBorders>
              <w:top w:val="single" w:sz="4" w:space="0" w:color="auto"/>
              <w:left w:val="nil"/>
              <w:bottom w:val="single" w:sz="4" w:space="0" w:color="auto"/>
              <w:right w:val="nil"/>
            </w:tcBorders>
          </w:tcPr>
          <w:p w14:paraId="28659F32" w14:textId="77777777" w:rsidR="005D1423" w:rsidRPr="001E0C6D" w:rsidRDefault="005D1423" w:rsidP="005D1423">
            <w:pPr>
              <w:pStyle w:val="Tabletext"/>
            </w:pPr>
            <w:r w:rsidRPr="001E0C6D">
              <w:t>2013–14</w:t>
            </w:r>
          </w:p>
        </w:tc>
        <w:tc>
          <w:tcPr>
            <w:tcW w:w="3615" w:type="dxa"/>
            <w:tcBorders>
              <w:top w:val="single" w:sz="4" w:space="0" w:color="auto"/>
              <w:left w:val="nil"/>
              <w:bottom w:val="single" w:sz="4" w:space="0" w:color="auto"/>
              <w:right w:val="nil"/>
            </w:tcBorders>
          </w:tcPr>
          <w:p w14:paraId="5D990FC3" w14:textId="77777777" w:rsidR="005D1423" w:rsidRPr="001E0C6D" w:rsidRDefault="005D1423" w:rsidP="005D1423">
            <w:pPr>
              <w:pStyle w:val="Tabletext"/>
              <w:jc w:val="center"/>
            </w:pPr>
            <w:r w:rsidRPr="001E0C6D">
              <w:t>-</w:t>
            </w:r>
          </w:p>
        </w:tc>
        <w:tc>
          <w:tcPr>
            <w:tcW w:w="3615" w:type="dxa"/>
            <w:tcBorders>
              <w:top w:val="single" w:sz="4" w:space="0" w:color="auto"/>
              <w:left w:val="nil"/>
              <w:bottom w:val="single" w:sz="4" w:space="0" w:color="auto"/>
              <w:right w:val="nil"/>
            </w:tcBorders>
          </w:tcPr>
          <w:p w14:paraId="53FE9A6F" w14:textId="77777777" w:rsidR="005D1423" w:rsidRPr="001E0C6D" w:rsidRDefault="005D1423" w:rsidP="005D1423">
            <w:pPr>
              <w:pStyle w:val="Tabletext"/>
              <w:jc w:val="center"/>
            </w:pPr>
            <w:r w:rsidRPr="001E0C6D">
              <w:t>-</w:t>
            </w:r>
          </w:p>
        </w:tc>
      </w:tr>
      <w:tr w:rsidR="005D1423" w14:paraId="6B13E42C" w14:textId="77777777" w:rsidTr="00BC0293">
        <w:trPr>
          <w:cantSplit/>
        </w:trPr>
        <w:tc>
          <w:tcPr>
            <w:tcW w:w="1701" w:type="dxa"/>
            <w:tcBorders>
              <w:top w:val="single" w:sz="4" w:space="0" w:color="auto"/>
              <w:left w:val="nil"/>
              <w:bottom w:val="single" w:sz="4" w:space="0" w:color="auto"/>
              <w:right w:val="nil"/>
            </w:tcBorders>
          </w:tcPr>
          <w:p w14:paraId="265F8C35" w14:textId="77777777" w:rsidR="005D1423" w:rsidRPr="001E0C6D" w:rsidRDefault="005D1423" w:rsidP="005D1423">
            <w:pPr>
              <w:pStyle w:val="Tabletext"/>
            </w:pPr>
            <w:r w:rsidRPr="001E0C6D">
              <w:t>2014–15</w:t>
            </w:r>
          </w:p>
        </w:tc>
        <w:tc>
          <w:tcPr>
            <w:tcW w:w="3615" w:type="dxa"/>
            <w:tcBorders>
              <w:top w:val="single" w:sz="4" w:space="0" w:color="auto"/>
              <w:left w:val="nil"/>
              <w:bottom w:val="single" w:sz="4" w:space="0" w:color="auto"/>
              <w:right w:val="nil"/>
            </w:tcBorders>
          </w:tcPr>
          <w:p w14:paraId="3A92902A" w14:textId="77777777" w:rsidR="005D1423" w:rsidRPr="001E0C6D" w:rsidRDefault="005D1423" w:rsidP="005D1423">
            <w:pPr>
              <w:pStyle w:val="Tabletext"/>
              <w:jc w:val="center"/>
            </w:pPr>
            <w:r w:rsidRPr="001E0C6D">
              <w:t>-</w:t>
            </w:r>
          </w:p>
        </w:tc>
        <w:tc>
          <w:tcPr>
            <w:tcW w:w="3615" w:type="dxa"/>
            <w:tcBorders>
              <w:top w:val="single" w:sz="4" w:space="0" w:color="auto"/>
              <w:left w:val="nil"/>
              <w:bottom w:val="single" w:sz="4" w:space="0" w:color="auto"/>
              <w:right w:val="nil"/>
            </w:tcBorders>
          </w:tcPr>
          <w:p w14:paraId="23B17CF7" w14:textId="77777777" w:rsidR="005D1423" w:rsidRPr="001E0C6D" w:rsidRDefault="005D1423" w:rsidP="005D1423">
            <w:pPr>
              <w:pStyle w:val="Tabletext"/>
              <w:jc w:val="center"/>
            </w:pPr>
            <w:r w:rsidRPr="001E0C6D">
              <w:t>204.0</w:t>
            </w:r>
            <w:r w:rsidRPr="00991DF4">
              <w:rPr>
                <w:vertAlign w:val="superscript"/>
              </w:rPr>
              <w:endnoteReference w:id="12"/>
            </w:r>
          </w:p>
        </w:tc>
      </w:tr>
      <w:tr w:rsidR="005D1423" w14:paraId="3922DDFA" w14:textId="77777777" w:rsidTr="00E926EA">
        <w:trPr>
          <w:cantSplit/>
        </w:trPr>
        <w:tc>
          <w:tcPr>
            <w:tcW w:w="1701" w:type="dxa"/>
            <w:tcBorders>
              <w:top w:val="single" w:sz="4" w:space="0" w:color="auto"/>
              <w:left w:val="nil"/>
              <w:bottom w:val="single" w:sz="12" w:space="0" w:color="auto"/>
              <w:right w:val="nil"/>
            </w:tcBorders>
          </w:tcPr>
          <w:p w14:paraId="75256105" w14:textId="77777777" w:rsidR="005D1423" w:rsidRPr="001E0C6D" w:rsidRDefault="005D1423" w:rsidP="005D1423">
            <w:pPr>
              <w:pStyle w:val="Tabletext"/>
            </w:pPr>
            <w:r w:rsidRPr="001E0C6D">
              <w:t>2015–16</w:t>
            </w:r>
          </w:p>
        </w:tc>
        <w:tc>
          <w:tcPr>
            <w:tcW w:w="3615" w:type="dxa"/>
            <w:tcBorders>
              <w:top w:val="single" w:sz="4" w:space="0" w:color="auto"/>
              <w:left w:val="nil"/>
              <w:bottom w:val="single" w:sz="12" w:space="0" w:color="auto"/>
              <w:right w:val="nil"/>
            </w:tcBorders>
          </w:tcPr>
          <w:p w14:paraId="3607F288" w14:textId="77777777" w:rsidR="005D1423" w:rsidRPr="001E0C6D" w:rsidRDefault="005D1423" w:rsidP="005D1423">
            <w:pPr>
              <w:pStyle w:val="Tabletext"/>
              <w:jc w:val="center"/>
            </w:pPr>
            <w:r w:rsidRPr="001E0C6D">
              <w:t>-</w:t>
            </w:r>
          </w:p>
        </w:tc>
        <w:tc>
          <w:tcPr>
            <w:tcW w:w="3615" w:type="dxa"/>
            <w:tcBorders>
              <w:top w:val="single" w:sz="4" w:space="0" w:color="auto"/>
              <w:left w:val="nil"/>
              <w:bottom w:val="single" w:sz="12" w:space="0" w:color="auto"/>
              <w:right w:val="nil"/>
            </w:tcBorders>
          </w:tcPr>
          <w:p w14:paraId="69F00CAB" w14:textId="77777777" w:rsidR="005D1423" w:rsidRPr="001E0C6D" w:rsidRDefault="005D1423" w:rsidP="005D1423">
            <w:pPr>
              <w:pStyle w:val="Tabletext"/>
              <w:jc w:val="center"/>
            </w:pPr>
            <w:r w:rsidRPr="001E0C6D">
              <w:t>-</w:t>
            </w:r>
          </w:p>
        </w:tc>
      </w:tr>
    </w:tbl>
    <w:p w14:paraId="09AAA234" w14:textId="77777777" w:rsidR="009310B1" w:rsidRDefault="009310B1" w:rsidP="009310B1"/>
    <w:p w14:paraId="721D6B52" w14:textId="77777777" w:rsidR="005D1423" w:rsidRDefault="00E25A11" w:rsidP="009310B1">
      <w:pPr>
        <w:pStyle w:val="Heading3"/>
      </w:pPr>
      <w:bookmarkStart w:id="134" w:name="_Toc468868230"/>
      <w:bookmarkStart w:id="135" w:name="_Toc486261321"/>
      <w:bookmarkStart w:id="136" w:name="_Toc486319742"/>
      <w:bookmarkStart w:id="137" w:name="_Toc466634322"/>
      <w:r w:rsidRPr="001E0C6D">
        <w:t xml:space="preserve">Modelling on </w:t>
      </w:r>
      <w:proofErr w:type="spellStart"/>
      <w:r w:rsidRPr="001E0C6D">
        <w:t>AbaF</w:t>
      </w:r>
      <w:proofErr w:type="spellEnd"/>
      <w:r w:rsidRPr="001E0C6D">
        <w:t xml:space="preserve"> figures</w:t>
      </w:r>
      <w:bookmarkEnd w:id="134"/>
      <w:bookmarkEnd w:id="135"/>
      <w:bookmarkEnd w:id="136"/>
    </w:p>
    <w:p w14:paraId="6DAB1F19" w14:textId="77777777" w:rsidR="00E25A11" w:rsidRPr="001E0C6D" w:rsidRDefault="00E25A11" w:rsidP="00E25A11">
      <w:r w:rsidRPr="001E0C6D">
        <w:t>The BCAR did not identify and locate raw data sets that are representative of the population of interest, so prior survey estimates of the population have been used to produce overall estimates of private sector support for the arts.</w:t>
      </w:r>
    </w:p>
    <w:p w14:paraId="58D4FB17" w14:textId="77777777" w:rsidR="005D1423" w:rsidRDefault="00E25A11" w:rsidP="00E25A11">
      <w:r w:rsidRPr="001E0C6D">
        <w:t>The only ABS estimate available is for 2014–15, so it is unsuited for estimating trends over time, or for reconciling the various estimates derived from other sources. As such, the ABS 2014–15 data point has been used only to provide a high-level check of the projected estimates.</w:t>
      </w:r>
    </w:p>
    <w:p w14:paraId="7DB188AE" w14:textId="77777777" w:rsidR="00E25A11" w:rsidRPr="001E0C6D" w:rsidRDefault="00E25A11" w:rsidP="00E25A11">
      <w:r w:rsidRPr="001E0C6D">
        <w:t xml:space="preserve">Nine years of data, representing </w:t>
      </w:r>
      <w:proofErr w:type="spellStart"/>
      <w:r w:rsidRPr="001E0C6D">
        <w:t>AbaF</w:t>
      </w:r>
      <w:proofErr w:type="spellEnd"/>
      <w:r w:rsidRPr="001E0C6D">
        <w:t xml:space="preserve"> survey</w:t>
      </w:r>
      <w:r w:rsidRPr="001E0C6D">
        <w:noBreakHyphen/>
        <w:t>based estimates of private sector support for the arts, and its donations and sponsorship components, have been used to produce projections based on prior growth rates and simple linear regression. As the models are based on nine data points only, there is increased potential for issues with the fit of the models that may affect the precision of the estimates and create divergence in the models’ estimates. For example, the period includes the Global Financial Crisis, which affected individual and business incomes and therefore potentially the level of private sector support for the arts.</w:t>
      </w:r>
    </w:p>
    <w:bookmarkEnd w:id="137"/>
    <w:p w14:paraId="1ED5678F" w14:textId="77777777" w:rsidR="00E25A11" w:rsidRPr="001E0C6D" w:rsidRDefault="00E25A11" w:rsidP="00E25A11">
      <w:r w:rsidRPr="001E0C6D">
        <w:t>This approach produced the following models estimating total support (chapter 3):</w:t>
      </w:r>
    </w:p>
    <w:p w14:paraId="7BF2A599" w14:textId="77777777" w:rsidR="00E25A11" w:rsidRPr="001E0C6D" w:rsidRDefault="00E25A11" w:rsidP="00E926EA">
      <w:pPr>
        <w:pStyle w:val="Bulletlevel1"/>
      </w:pPr>
      <w:r w:rsidRPr="001E0C6D">
        <w:t xml:space="preserve">Model 1: </w:t>
      </w:r>
      <w:proofErr w:type="spellStart"/>
      <w:r w:rsidRPr="001E0C6D">
        <w:t>AbaF</w:t>
      </w:r>
      <w:proofErr w:type="spellEnd"/>
      <w:r w:rsidRPr="001E0C6D">
        <w:t xml:space="preserve"> total support projected with its lowest historical growth of 4.0 per cent.</w:t>
      </w:r>
    </w:p>
    <w:p w14:paraId="26C7D7D1" w14:textId="77777777" w:rsidR="00E25A11" w:rsidRPr="001E0C6D" w:rsidRDefault="00E25A11" w:rsidP="00E926EA">
      <w:pPr>
        <w:pStyle w:val="Bulletlevel1"/>
      </w:pPr>
      <w:r w:rsidRPr="001E0C6D">
        <w:t xml:space="preserve">Model 2: </w:t>
      </w:r>
      <w:proofErr w:type="spellStart"/>
      <w:r w:rsidRPr="001E0C6D">
        <w:t>AbaF</w:t>
      </w:r>
      <w:proofErr w:type="spellEnd"/>
      <w:r w:rsidRPr="001E0C6D">
        <w:t xml:space="preserve"> total support projected with AMPAG data.</w:t>
      </w:r>
    </w:p>
    <w:p w14:paraId="5BAF42DE" w14:textId="77777777" w:rsidR="00E25A11" w:rsidRPr="001E0C6D" w:rsidRDefault="00E25A11" w:rsidP="00E926EA">
      <w:pPr>
        <w:pStyle w:val="Bulletlevel1"/>
      </w:pPr>
      <w:r w:rsidRPr="001E0C6D">
        <w:t xml:space="preserve">Model 3: </w:t>
      </w:r>
      <w:proofErr w:type="spellStart"/>
      <w:r w:rsidRPr="001E0C6D">
        <w:t>AbaF</w:t>
      </w:r>
      <w:proofErr w:type="spellEnd"/>
      <w:r w:rsidRPr="001E0C6D">
        <w:t xml:space="preserve"> total support projected with GOS data.</w:t>
      </w:r>
    </w:p>
    <w:p w14:paraId="6DA52599" w14:textId="77777777" w:rsidR="005D1423" w:rsidRDefault="00E25A11" w:rsidP="00E25A11">
      <w:proofErr w:type="spellStart"/>
      <w:r w:rsidRPr="001E0C6D">
        <w:t>AbaF</w:t>
      </w:r>
      <w:proofErr w:type="spellEnd"/>
      <w:r w:rsidRPr="001E0C6D">
        <w:t xml:space="preserve"> survey</w:t>
      </w:r>
      <w:r w:rsidRPr="001E0C6D">
        <w:noBreakHyphen/>
        <w:t>based estimates were used as the dependent variables that were regressed on potential predictor data sets (AMPAG and GOS). Model 1 estimations were produced by calculating year-on-year positive 4 per cent growth, which was the lowest historical growth level recorded. Models 2 and 3 have average estimations produced by using a simple linear regression.</w:t>
      </w:r>
    </w:p>
    <w:p w14:paraId="73A04E72" w14:textId="77777777" w:rsidR="00E25A11" w:rsidRPr="001E0C6D" w:rsidRDefault="00E25A11" w:rsidP="00E25A11">
      <w:r w:rsidRPr="001E0C6D">
        <w:t>A similar approach was used to model donations estimates (chapter 4), producing the following models:</w:t>
      </w:r>
    </w:p>
    <w:p w14:paraId="67EE72F5" w14:textId="77777777" w:rsidR="00E25A11" w:rsidRPr="00E926EA" w:rsidRDefault="00E25A11" w:rsidP="00E926EA">
      <w:pPr>
        <w:pStyle w:val="Bulletlevel1"/>
      </w:pPr>
      <w:r w:rsidRPr="00E926EA">
        <w:t xml:space="preserve">Model 4: </w:t>
      </w:r>
      <w:proofErr w:type="spellStart"/>
      <w:r w:rsidRPr="00E926EA">
        <w:t>AbaF</w:t>
      </w:r>
      <w:proofErr w:type="spellEnd"/>
      <w:r w:rsidRPr="00E926EA">
        <w:t xml:space="preserve"> donations projected with its lowest positive historical growth of 6.2 per cent.</w:t>
      </w:r>
    </w:p>
    <w:p w14:paraId="41BD1179" w14:textId="77777777" w:rsidR="00E25A11" w:rsidRPr="00E926EA" w:rsidRDefault="00E25A11" w:rsidP="00E926EA">
      <w:pPr>
        <w:pStyle w:val="Bulletlevel1"/>
      </w:pPr>
      <w:r w:rsidRPr="00E926EA">
        <w:t xml:space="preserve">Model 5: </w:t>
      </w:r>
      <w:proofErr w:type="spellStart"/>
      <w:r w:rsidRPr="00E926EA">
        <w:t>AbaF</w:t>
      </w:r>
      <w:proofErr w:type="spellEnd"/>
      <w:r w:rsidRPr="00E926EA">
        <w:t xml:space="preserve"> donations estimates projected with AMPAG data.</w:t>
      </w:r>
    </w:p>
    <w:p w14:paraId="0D541B16" w14:textId="77777777" w:rsidR="00E25A11" w:rsidRPr="00E926EA" w:rsidRDefault="00E25A11" w:rsidP="00E926EA">
      <w:pPr>
        <w:pStyle w:val="Bulletlevel1"/>
      </w:pPr>
      <w:r w:rsidRPr="00E926EA">
        <w:t xml:space="preserve">Model 6: </w:t>
      </w:r>
      <w:proofErr w:type="spellStart"/>
      <w:r w:rsidRPr="00E926EA">
        <w:t>AbaF</w:t>
      </w:r>
      <w:proofErr w:type="spellEnd"/>
      <w:r w:rsidRPr="00E926EA">
        <w:t xml:space="preserve"> donations estimates projected with GOS data.</w:t>
      </w:r>
    </w:p>
    <w:p w14:paraId="6E9FE372" w14:textId="77777777" w:rsidR="00E25A11" w:rsidRPr="001E0C6D" w:rsidRDefault="00E25A11" w:rsidP="00E25A11">
      <w:r w:rsidRPr="001E0C6D">
        <w:t>Model 4 projections were produced by calculating year-on-year growth, which was 6.2 per cent for donations (its lowest growth). The negative growth figures, which were present in the donations estimates, were not considered as it would create a chain of estimated figures that are falling. This would be in direct contrast to the overall result for the total support that was estimated as positive, which would lead to Simpson’s paradox</w:t>
      </w:r>
      <w:r w:rsidRPr="00991DF4">
        <w:rPr>
          <w:vertAlign w:val="superscript"/>
        </w:rPr>
        <w:endnoteReference w:id="13"/>
      </w:r>
      <w:r w:rsidRPr="001E0C6D">
        <w:t xml:space="preserve">. This judgement was made mindful of the fact that </w:t>
      </w:r>
      <w:proofErr w:type="spellStart"/>
      <w:r w:rsidRPr="001E0C6D">
        <w:t>AbaF</w:t>
      </w:r>
      <w:proofErr w:type="spellEnd"/>
      <w:r w:rsidRPr="001E0C6D">
        <w:t xml:space="preserve"> sponsorship and donation estimates were deduced out of the total support, not the other way around.</w:t>
      </w:r>
    </w:p>
    <w:p w14:paraId="06E57F0F" w14:textId="77777777" w:rsidR="00E25A11" w:rsidRPr="001E0C6D" w:rsidRDefault="00E25A11" w:rsidP="00E25A11">
      <w:r w:rsidRPr="001E0C6D">
        <w:t xml:space="preserve">Models 5 and 6 average projections were produced using a simple linear regression. </w:t>
      </w:r>
      <w:proofErr w:type="spellStart"/>
      <w:r w:rsidRPr="001E0C6D">
        <w:t>AbaF</w:t>
      </w:r>
      <w:proofErr w:type="spellEnd"/>
      <w:r w:rsidRPr="001E0C6D">
        <w:t xml:space="preserve"> survey</w:t>
      </w:r>
      <w:r w:rsidRPr="001E0C6D">
        <w:noBreakHyphen/>
        <w:t>based donations estimates were used as the outcome variables that were regressed on the predictor data sets of AMPAG donations and GOS.</w:t>
      </w:r>
    </w:p>
    <w:p w14:paraId="2D4812A1" w14:textId="77777777" w:rsidR="00E25A11" w:rsidRPr="001E0C6D" w:rsidRDefault="00E25A11" w:rsidP="009310B1">
      <w:pPr>
        <w:keepNext/>
      </w:pPr>
      <w:r w:rsidRPr="001E0C6D">
        <w:t>This approach was also used to model sponsorship estimates (chapter 5), producing the following models:</w:t>
      </w:r>
    </w:p>
    <w:p w14:paraId="40FF7C76" w14:textId="77777777" w:rsidR="00E25A11" w:rsidRPr="001E0C6D" w:rsidRDefault="00E25A11" w:rsidP="00E926EA">
      <w:pPr>
        <w:pStyle w:val="Bulletlevel1"/>
      </w:pPr>
      <w:r w:rsidRPr="001E0C6D">
        <w:t xml:space="preserve">Model 7: </w:t>
      </w:r>
      <w:proofErr w:type="spellStart"/>
      <w:r w:rsidRPr="001E0C6D">
        <w:t>AbaF</w:t>
      </w:r>
      <w:proofErr w:type="spellEnd"/>
      <w:r w:rsidRPr="001E0C6D">
        <w:t xml:space="preserve"> sponsorship projected with its lowest positive historical growth of 1.6 per cent.</w:t>
      </w:r>
    </w:p>
    <w:p w14:paraId="245689C5" w14:textId="77777777" w:rsidR="00E25A11" w:rsidRPr="001E0C6D" w:rsidRDefault="00E25A11" w:rsidP="00E926EA">
      <w:pPr>
        <w:pStyle w:val="Bulletlevel1"/>
      </w:pPr>
      <w:r w:rsidRPr="001E0C6D">
        <w:t xml:space="preserve">Model 8: </w:t>
      </w:r>
      <w:proofErr w:type="spellStart"/>
      <w:r w:rsidRPr="001E0C6D">
        <w:t>AbaF</w:t>
      </w:r>
      <w:proofErr w:type="spellEnd"/>
      <w:r w:rsidRPr="001E0C6D">
        <w:t xml:space="preserve"> sponsorship estimates projected with AMPAG data.</w:t>
      </w:r>
    </w:p>
    <w:p w14:paraId="26F0084F" w14:textId="77777777" w:rsidR="00E25A11" w:rsidRPr="001E0C6D" w:rsidRDefault="00E25A11" w:rsidP="00E926EA">
      <w:pPr>
        <w:pStyle w:val="Bulletlevel1"/>
      </w:pPr>
      <w:r w:rsidRPr="001E0C6D">
        <w:t xml:space="preserve">Model 9: </w:t>
      </w:r>
      <w:proofErr w:type="spellStart"/>
      <w:r w:rsidRPr="001E0C6D">
        <w:t>AbaF</w:t>
      </w:r>
      <w:proofErr w:type="spellEnd"/>
      <w:r w:rsidRPr="001E0C6D">
        <w:t xml:space="preserve"> sponsorship estimates projected with GOS data.</w:t>
      </w:r>
    </w:p>
    <w:p w14:paraId="617B8BF3" w14:textId="77777777" w:rsidR="005D1423" w:rsidRDefault="00E25A11" w:rsidP="00E25A11">
      <w:r w:rsidRPr="001E0C6D">
        <w:t>As in chapters 1 and 2, model 7 estimations were produced by calculating year-on-year growth, which was 1.6 per cent for sponsorships (its lowest growth level). Again, the negative growth figures, which were present in the sponsorships estimates, were not considered as this would be in direct contrast to the overall result for total support, which was estimated as positive.</w:t>
      </w:r>
    </w:p>
    <w:p w14:paraId="5BB4CD88" w14:textId="77777777" w:rsidR="005D1423" w:rsidRDefault="00E25A11" w:rsidP="00E25A11">
      <w:r w:rsidRPr="001E0C6D">
        <w:t xml:space="preserve">Models 8 and 9 have average estimations produced by using a simple linear regression. </w:t>
      </w:r>
      <w:proofErr w:type="spellStart"/>
      <w:r w:rsidRPr="001E0C6D">
        <w:t>AbaF</w:t>
      </w:r>
      <w:proofErr w:type="spellEnd"/>
      <w:r w:rsidRPr="001E0C6D">
        <w:t xml:space="preserve"> survey-based sponsorship estimates were used as the outcome variables that were regressed on the predictor data sets of AMPAG sponsorship and GOS.</w:t>
      </w:r>
    </w:p>
    <w:p w14:paraId="423DB598" w14:textId="77777777" w:rsidR="005D1423" w:rsidRDefault="00E25A11" w:rsidP="00E25A11">
      <w:r w:rsidRPr="001E0C6D">
        <w:t>Simple linear regression is a logical starting point for any study of this nature. Multiple regression models were investigated but these models did not provide additional statistical prediction power in this instance. While other modelling options could have been explored (i.e. non-linear), the good modelling fit of simple linear regression rendered it unnecessary. Nonetheless, should additional data become available, these options could be explored.</w:t>
      </w:r>
    </w:p>
    <w:p w14:paraId="546C643B" w14:textId="77777777" w:rsidR="00E25A11" w:rsidRPr="001E0C6D" w:rsidRDefault="00E25A11" w:rsidP="00E25A11"/>
    <w:p w14:paraId="5D4E075F" w14:textId="77777777" w:rsidR="00E25A11" w:rsidRPr="001E0C6D" w:rsidRDefault="00E25A11" w:rsidP="00E25A11">
      <w:pPr>
        <w:sectPr w:rsidR="00E25A11" w:rsidRPr="001E0C6D" w:rsidSect="009D5F3C">
          <w:endnotePr>
            <w:numFmt w:val="decimal"/>
          </w:endnotePr>
          <w:pgSz w:w="11906" w:h="16838"/>
          <w:pgMar w:top="1440" w:right="1440" w:bottom="1440" w:left="1440" w:header="567" w:footer="328" w:gutter="0"/>
          <w:cols w:space="708"/>
          <w:titlePg/>
          <w:docGrid w:linePitch="360"/>
        </w:sectPr>
      </w:pPr>
    </w:p>
    <w:p w14:paraId="157D9C7C" w14:textId="77777777" w:rsidR="00E25A11" w:rsidRPr="001E0C6D" w:rsidRDefault="00E25A11" w:rsidP="005D1423">
      <w:pPr>
        <w:pStyle w:val="Heading2"/>
        <w:ind w:left="567"/>
      </w:pPr>
      <w:bookmarkStart w:id="138" w:name="_Toc486261322"/>
      <w:bookmarkStart w:id="139" w:name="_Toc486319743"/>
      <w:r w:rsidRPr="001E0C6D">
        <w:t>Appendix 3. Philanthropy and support expenditure</w:t>
      </w:r>
      <w:bookmarkEnd w:id="138"/>
      <w:bookmarkEnd w:id="139"/>
    </w:p>
    <w:p w14:paraId="0EE8F3C7" w14:textId="77777777" w:rsidR="00E25A11" w:rsidRPr="001E0C6D" w:rsidRDefault="00E25A11" w:rsidP="005D1423">
      <w:pPr>
        <w:pStyle w:val="Heading3"/>
        <w:ind w:left="567"/>
      </w:pPr>
      <w:bookmarkStart w:id="140" w:name="_Toc486319744"/>
      <w:r w:rsidRPr="001E0C6D">
        <w:t>Australian arts and culture population diagram of potential data sources</w:t>
      </w:r>
      <w:bookmarkEnd w:id="109"/>
      <w:bookmarkEnd w:id="110"/>
      <w:bookmarkEnd w:id="140"/>
    </w:p>
    <w:p w14:paraId="19DCCBA6" w14:textId="77777777" w:rsidR="00E25A11" w:rsidRPr="001E0C6D" w:rsidRDefault="00E25A11" w:rsidP="00E44746">
      <w:pPr>
        <w:ind w:left="567"/>
        <w:jc w:val="center"/>
      </w:pPr>
      <w:r w:rsidRPr="001E0C6D">
        <w:rPr>
          <w:noProof/>
          <w:lang w:eastAsia="zh-TW" w:bidi="hi-IN"/>
        </w:rPr>
        <w:drawing>
          <wp:inline distT="0" distB="0" distL="0" distR="0" wp14:anchorId="16EE6591" wp14:editId="05D4F4BD">
            <wp:extent cx="8171112" cy="5043596"/>
            <wp:effectExtent l="0" t="0" r="1905" b="5080"/>
            <wp:docPr id="3" name="Picture 3" descr="This is a hierarchical diagram of potential data sources on arts and culture relating to contributors to non-earned income. The first level division is between: government; individuals; ancillary funds, trusts and foundations; and corporate. &#10;Government is divided into: commonwealth, state and territory, and local government. Potential data sources at commonwealth level are: Australia Council, Australian Bureau of Statistics, Australian Cultural Fund, Commonwealth Budget Statements, Creative Partnerships Australia, Department of Communications and the Arts, Screen Australia.&#10;State and territory potential sources are: state and territory arts agencies, state and territory budget statements, Australian Bureau of Statistics. Potential data sources on local government are: Cultural Development Network, and Australian Bureau of Statistics.&#10;For second category in the first level division, the data on individuals is noted to be either registered or not-registered contributions to arts. In this regard, registered contribution is divided as either sought for tax deduction purpose or not sought. If the tax deduction is sought, the potential data sources are Australian Charities and Not-for-Profits Commission; Australian Taxation Office, and Register of Cultural Organisations.&#10;For the third category in the first level division (Ancillary funds, trusts and foundations) – the options are private or public. But the potential data sources are the same; annual business reports and the Australian Taxation Office.&#10;The final first level division is corporate, which breaks down to corporate philanthropy and two-way partnerships. The data on two-way partnerships could be sourced from annual business reports. The corporate philanthropy is divided by tax offset sought or not sought. If the tax offset is not sought then the data source could be the annual business reports again. If the tax offset is sought (DGR – deductible gift recipient status), then the potential data sources are annual business reports, Australian Taxation Office, Australian Charities and Not-for-Profits Commission, and Register of Australian Cultural Organisations.&#10;Overall, it is noted that access to data sources may be affected by confidentiality or privacy provisions.&#10;" title="Appendix 3: Philanthropy and support expenditure — Australian arts and culture population diagram of potential data sour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pt.gov.au\DFS\Home\MPavlovic\My Documents\Jobs+Projects\Arts\REPORT\visio attachments\REPORT - Attachment 1 - Expenditure approach v2 arts input NO HEADER.jp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8194591" cy="5058088"/>
                    </a:xfrm>
                    <a:prstGeom prst="rect">
                      <a:avLst/>
                    </a:prstGeom>
                    <a:noFill/>
                    <a:ln>
                      <a:noFill/>
                    </a:ln>
                  </pic:spPr>
                </pic:pic>
              </a:graphicData>
            </a:graphic>
          </wp:inline>
        </w:drawing>
      </w:r>
    </w:p>
    <w:p w14:paraId="467D552E" w14:textId="77777777" w:rsidR="00E25A11" w:rsidRPr="001E0C6D" w:rsidRDefault="00E25A11" w:rsidP="005D1423">
      <w:pPr>
        <w:pStyle w:val="Heading2"/>
        <w:ind w:left="567"/>
      </w:pPr>
      <w:bookmarkStart w:id="141" w:name="_Toc486261323"/>
      <w:bookmarkStart w:id="142" w:name="_Toc486319745"/>
      <w:bookmarkStart w:id="143" w:name="_Toc468104098"/>
      <w:bookmarkStart w:id="144" w:name="_Toc468105073"/>
      <w:bookmarkStart w:id="145" w:name="_Toc468105334"/>
      <w:bookmarkStart w:id="146" w:name="_Toc468105501"/>
      <w:bookmarkStart w:id="147" w:name="_Toc468105848"/>
      <w:bookmarkStart w:id="148" w:name="_Toc468105937"/>
      <w:bookmarkStart w:id="149" w:name="_Toc468106096"/>
      <w:bookmarkStart w:id="150" w:name="_Toc468106428"/>
      <w:bookmarkStart w:id="151" w:name="_Toc468106520"/>
      <w:bookmarkStart w:id="152" w:name="_Toc468868247"/>
      <w:r w:rsidRPr="001E0C6D">
        <w:t>Appendix 4. Philanthropy and support income</w:t>
      </w:r>
      <w:bookmarkEnd w:id="141"/>
      <w:bookmarkEnd w:id="142"/>
    </w:p>
    <w:p w14:paraId="51399030" w14:textId="77777777" w:rsidR="00E25A11" w:rsidRPr="001E0C6D" w:rsidRDefault="00E25A11" w:rsidP="005D1423">
      <w:pPr>
        <w:pStyle w:val="Heading3"/>
        <w:ind w:left="567"/>
      </w:pPr>
      <w:bookmarkStart w:id="153" w:name="_Toc486319746"/>
      <w:r w:rsidRPr="001E0C6D">
        <w:t>Australian arts and culture population diagram of potential data sources</w:t>
      </w:r>
      <w:bookmarkEnd w:id="153"/>
    </w:p>
    <w:bookmarkEnd w:id="143"/>
    <w:bookmarkEnd w:id="144"/>
    <w:bookmarkEnd w:id="145"/>
    <w:bookmarkEnd w:id="146"/>
    <w:bookmarkEnd w:id="147"/>
    <w:bookmarkEnd w:id="148"/>
    <w:bookmarkEnd w:id="149"/>
    <w:bookmarkEnd w:id="150"/>
    <w:bookmarkEnd w:id="151"/>
    <w:bookmarkEnd w:id="152"/>
    <w:p w14:paraId="285D7068" w14:textId="77777777" w:rsidR="00E25A11" w:rsidRPr="001E0C6D" w:rsidRDefault="00E25A11" w:rsidP="00E44746">
      <w:pPr>
        <w:ind w:left="567"/>
        <w:jc w:val="center"/>
        <w:sectPr w:rsidR="00E25A11" w:rsidRPr="001E0C6D" w:rsidSect="009D5F3C">
          <w:headerReference w:type="default" r:id="rId34"/>
          <w:footerReference w:type="default" r:id="rId35"/>
          <w:headerReference w:type="first" r:id="rId36"/>
          <w:footerReference w:type="first" r:id="rId37"/>
          <w:endnotePr>
            <w:numFmt w:val="decimal"/>
          </w:endnotePr>
          <w:pgSz w:w="16838" w:h="11906" w:orient="landscape"/>
          <w:pgMar w:top="720" w:right="720" w:bottom="720" w:left="720" w:header="567" w:footer="328" w:gutter="0"/>
          <w:cols w:space="708"/>
          <w:titlePg/>
          <w:docGrid w:linePitch="360"/>
        </w:sectPr>
      </w:pPr>
      <w:r w:rsidRPr="001E0C6D">
        <w:rPr>
          <w:noProof/>
          <w:lang w:eastAsia="zh-TW" w:bidi="hi-IN"/>
        </w:rPr>
        <w:drawing>
          <wp:inline distT="0" distB="0" distL="0" distR="0" wp14:anchorId="7394FF93" wp14:editId="459BA7F0">
            <wp:extent cx="7894679" cy="5195498"/>
            <wp:effectExtent l="0" t="0" r="0" b="5715"/>
            <wp:docPr id="42" name="Picture 42" descr="This is a hierarchical diagram of potential data sources on arts and culture entities of Australia. They constitute entities that would be receiving the support. This hierarchical diagram is based on incentive to register.&#10;The arts entities can be registered or not registered. No potential data sources are listed on entities that are not registered. &#10;Those that are registered are split into two groups: those that have a legal requirement to register and those that are registered because there is a potential for financial benefit. &#10;Potential data sources on entities that have a legal requirement to register are: Australian Charities and Not-for-Profits Commission; Australian Taxation Office; and Register of Cultural Organisations.&#10;Entities registered because there is a potential for financial benefit could be divided based on: recurrent government funding; grant funding via application; and tax deduction (DGR – deductible gift recipient status). Potential data sources on recurrent government funding are: Australian Major Performing Arts Group annual reports; state and territory arts and culture agencies annual reports, especially collecting agencies; and local government arts and culture agencies annual reports. &#10;&#10;Potential data sources on entities pertaining to grant funding via application are: Australian Council; Creative Partnerships Australia, including the Australian Cultural Fund; and Screen Australia.&#10;Finally, potential data sources on entities that have a deductible gift recipient status are: Australian Charities and Not-for-Profits Commission; Australian Taxation Office; Register of Cultural Organisations; and public libraries annual reports.&#10;Overall, it is noted that access to data sources may be affected by confidentiality or privacy provisions.&#10;" title="Appendix 4: Philanthropy and support income — Australian arts and culture population diagram of potential data sour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pt.gov.au\DFS\Home\MPavlovic\My Documents\Jobs+Projects\Arts\REPORT\visio attachments\REPORT - Attachment 2 - Income approach v2 arts input NO HEADER.jpg"/>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7926121" cy="5216190"/>
                    </a:xfrm>
                    <a:prstGeom prst="rect">
                      <a:avLst/>
                    </a:prstGeom>
                    <a:noFill/>
                    <a:ln>
                      <a:noFill/>
                    </a:ln>
                  </pic:spPr>
                </pic:pic>
              </a:graphicData>
            </a:graphic>
          </wp:inline>
        </w:drawing>
      </w:r>
    </w:p>
    <w:p w14:paraId="23AE1FFF" w14:textId="77777777" w:rsidR="00E25A11" w:rsidRPr="001E0C6D" w:rsidRDefault="00E25A11" w:rsidP="009310B1">
      <w:pPr>
        <w:pStyle w:val="Heading2"/>
      </w:pPr>
      <w:bookmarkStart w:id="154" w:name="_Toc468868249"/>
      <w:bookmarkStart w:id="155" w:name="_Toc486261324"/>
      <w:bookmarkStart w:id="156" w:name="_Toc486319747"/>
      <w:r w:rsidRPr="001E0C6D">
        <w:t>Appendix 5. Model 2</w:t>
      </w:r>
      <w:r w:rsidR="005D1423">
        <w:t>—</w:t>
      </w:r>
      <w:r w:rsidRPr="001E0C6D">
        <w:t xml:space="preserve">AMPAG on </w:t>
      </w:r>
      <w:proofErr w:type="spellStart"/>
      <w:r w:rsidRPr="001E0C6D">
        <w:t>AbaF</w:t>
      </w:r>
      <w:proofErr w:type="spellEnd"/>
      <w:r w:rsidRPr="001E0C6D">
        <w:t xml:space="preserve"> regression</w:t>
      </w:r>
      <w:bookmarkEnd w:id="154"/>
      <w:bookmarkEnd w:id="155"/>
      <w:bookmarkEnd w:id="156"/>
    </w:p>
    <w:p w14:paraId="6A0E47C9" w14:textId="77777777" w:rsidR="005D1423" w:rsidRDefault="00E25A11" w:rsidP="00E25A11">
      <w:r w:rsidRPr="001E0C6D">
        <w:t xml:space="preserve">Summary R output below indicates that the linear regression model of AMPAG total private sector support on estimated </w:t>
      </w:r>
      <w:proofErr w:type="spellStart"/>
      <w:r w:rsidRPr="001E0C6D">
        <w:t>AbaF</w:t>
      </w:r>
      <w:proofErr w:type="spellEnd"/>
      <w:r w:rsidRPr="001E0C6D">
        <w:t xml:space="preserve"> support is found to be significant (t = 13.179, p &lt; 0.001). The model suggests strong prediction levels (R2 adjusted = 0.9557).</w:t>
      </w:r>
    </w:p>
    <w:p w14:paraId="40E4D52B" w14:textId="77777777" w:rsidR="00E25A11" w:rsidRPr="001E0C6D" w:rsidRDefault="00E25A11" w:rsidP="00E25A11">
      <w:r w:rsidRPr="001E0C6D">
        <w:t>However, diagnostic charts (Residuals vs Fitted, Normal Q–Q, Cook’s distance) indicate some potential issues with the fit of the model, which may affect the precision of estimates. This is to be expected considering that the regression was produced on nine data points.</w:t>
      </w:r>
    </w:p>
    <w:p w14:paraId="25D2A2B9" w14:textId="77777777" w:rsidR="00E25A11" w:rsidRPr="001E0C6D" w:rsidRDefault="00E25A11" w:rsidP="00E25A11">
      <w:r w:rsidRPr="001E0C6D">
        <w:t>Summary R output of the model:</w:t>
      </w:r>
    </w:p>
    <w:p w14:paraId="1CB94D5B" w14:textId="77777777" w:rsidR="00E25A11" w:rsidRPr="001E0C6D" w:rsidRDefault="00E25A11" w:rsidP="00E25A11">
      <w:r w:rsidRPr="001E0C6D">
        <w:rPr>
          <w:noProof/>
          <w:lang w:eastAsia="zh-TW" w:bidi="hi-IN"/>
        </w:rPr>
        <w:drawing>
          <wp:inline distT="0" distB="0" distL="0" distR="0" wp14:anchorId="27A5F668" wp14:editId="24EAC18F">
            <wp:extent cx="4883108" cy="2520000"/>
            <wp:effectExtent l="0" t="0" r="0" b="0"/>
            <wp:docPr id="34" name="Picture 34" descr="Detailed statistical output for lm(formula = abaf.total.support.m ~ ampag.total.finyr.m, data = final.data); with t = 13.179, p &lt; 0.001, R2 adjusted = 0.9557. " title="Summary R output of model 2— AMPAG on AbaF regres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4883108" cy="2520000"/>
                    </a:xfrm>
                    <a:prstGeom prst="rect">
                      <a:avLst/>
                    </a:prstGeom>
                  </pic:spPr>
                </pic:pic>
              </a:graphicData>
            </a:graphic>
          </wp:inline>
        </w:drawing>
      </w:r>
    </w:p>
    <w:p w14:paraId="0BD94DBD" w14:textId="77777777" w:rsidR="00E25A11" w:rsidRPr="001E0C6D" w:rsidRDefault="00E25A11" w:rsidP="00E25A11">
      <w:r w:rsidRPr="001E0C6D">
        <w:rPr>
          <w:noProof/>
          <w:lang w:eastAsia="zh-TW" w:bidi="hi-IN"/>
        </w:rPr>
        <w:drawing>
          <wp:inline distT="0" distB="0" distL="0" distR="0" wp14:anchorId="5D105341" wp14:editId="5656C951">
            <wp:extent cx="5729599" cy="3771281"/>
            <wp:effectExtent l="0" t="0" r="5080" b="635"/>
            <wp:docPr id="56" name="Picture 56" descr="This is a residuals versus fitted values plot. Mindful that the model and hence the plot are based on only nine values – broadly, the points appear to be randomly scattered. " title="Diagnostic chart residuals versus fitted valu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Downloads\App 5 Fig 1.jpeg"/>
                    <pic:cNvPicPr>
                      <a:picLocks noChangeAspect="1" noChangeArrowheads="1"/>
                    </pic:cNvPicPr>
                  </pic:nvPicPr>
                  <pic:blipFill rotWithShape="1">
                    <a:blip r:embed="rId40">
                      <a:extLst>
                        <a:ext uri="{28A0092B-C50C-407E-A947-70E740481C1C}">
                          <a14:useLocalDpi xmlns:a14="http://schemas.microsoft.com/office/drawing/2010/main" val="0"/>
                        </a:ext>
                      </a:extLst>
                    </a:blip>
                    <a:srcRect/>
                    <a:stretch/>
                  </pic:blipFill>
                  <pic:spPr bwMode="auto">
                    <a:xfrm>
                      <a:off x="0" y="0"/>
                      <a:ext cx="5731510" cy="3772539"/>
                    </a:xfrm>
                    <a:prstGeom prst="rect">
                      <a:avLst/>
                    </a:prstGeom>
                    <a:noFill/>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inline>
        </w:drawing>
      </w:r>
    </w:p>
    <w:p w14:paraId="2A880F8C" w14:textId="77777777" w:rsidR="00E25A11" w:rsidRPr="001E0C6D" w:rsidRDefault="00E25A11" w:rsidP="00E25A11"/>
    <w:p w14:paraId="40C93711" w14:textId="77777777" w:rsidR="00E25A11" w:rsidRPr="001E0C6D" w:rsidRDefault="00E25A11" w:rsidP="00E25A11">
      <w:r w:rsidRPr="001E0C6D">
        <w:rPr>
          <w:noProof/>
          <w:lang w:eastAsia="zh-TW" w:bidi="hi-IN"/>
        </w:rPr>
        <w:drawing>
          <wp:inline distT="0" distB="0" distL="0" distR="0" wp14:anchorId="5A76070F" wp14:editId="7CF9B418">
            <wp:extent cx="5730992" cy="3778095"/>
            <wp:effectExtent l="0" t="0" r="3175" b="0"/>
            <wp:docPr id="59" name="Picture 59" descr="This is a normal Q-Q plot. Broadly, the points are following the normality line. Whereby, the first two and the last two points are below the normality line (more so at the beginning) and the middle section is on or just above the line. " title="Diagnostic chart – Normal Q-Q pl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Downloads\App 5 Fig 2.jpeg"/>
                    <pic:cNvPicPr>
                      <a:picLocks noChangeAspect="1" noChangeArrowheads="1"/>
                    </pic:cNvPicPr>
                  </pic:nvPicPr>
                  <pic:blipFill rotWithShape="1">
                    <a:blip r:embed="rId41">
                      <a:extLst>
                        <a:ext uri="{28A0092B-C50C-407E-A947-70E740481C1C}">
                          <a14:useLocalDpi xmlns:a14="http://schemas.microsoft.com/office/drawing/2010/main" val="0"/>
                        </a:ext>
                      </a:extLst>
                    </a:blip>
                    <a:srcRect/>
                    <a:stretch/>
                  </pic:blipFill>
                  <pic:spPr bwMode="auto">
                    <a:xfrm>
                      <a:off x="0" y="0"/>
                      <a:ext cx="5731510" cy="3778437"/>
                    </a:xfrm>
                    <a:prstGeom prst="rect">
                      <a:avLst/>
                    </a:prstGeom>
                    <a:noFill/>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inline>
        </w:drawing>
      </w:r>
    </w:p>
    <w:p w14:paraId="02524C6A" w14:textId="77777777" w:rsidR="00E25A11" w:rsidRPr="001E0C6D" w:rsidRDefault="00E25A11" w:rsidP="00E25A11"/>
    <w:p w14:paraId="2A4A2BB1" w14:textId="77777777" w:rsidR="00E25A11" w:rsidRPr="001E0C6D" w:rsidRDefault="00E25A11" w:rsidP="00E25A11">
      <w:r w:rsidRPr="001E0C6D">
        <w:rPr>
          <w:noProof/>
          <w:lang w:eastAsia="zh-TW" w:bidi="hi-IN"/>
        </w:rPr>
        <w:drawing>
          <wp:inline distT="0" distB="0" distL="0" distR="0" wp14:anchorId="127F0145" wp14:editId="2D6073FB">
            <wp:extent cx="5727697" cy="3761570"/>
            <wp:effectExtent l="0" t="0" r="6985" b="0"/>
            <wp:docPr id="61" name="Picture 61" descr="The two largest values reach up to 0.30, the other values remain around 0.15 or lower." title="Cook’s distance pl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Downloads\App 5 Fig 3.jpeg"/>
                    <pic:cNvPicPr>
                      <a:picLocks noChangeAspect="1" noChangeArrowheads="1"/>
                    </pic:cNvPicPr>
                  </pic:nvPicPr>
                  <pic:blipFill rotWithShape="1">
                    <a:blip r:embed="rId42">
                      <a:extLst>
                        <a:ext uri="{28A0092B-C50C-407E-A947-70E740481C1C}">
                          <a14:useLocalDpi xmlns:a14="http://schemas.microsoft.com/office/drawing/2010/main" val="0"/>
                        </a:ext>
                      </a:extLst>
                    </a:blip>
                    <a:srcRect/>
                    <a:stretch/>
                  </pic:blipFill>
                  <pic:spPr bwMode="auto">
                    <a:xfrm>
                      <a:off x="0" y="0"/>
                      <a:ext cx="5731510" cy="3764074"/>
                    </a:xfrm>
                    <a:prstGeom prst="rect">
                      <a:avLst/>
                    </a:prstGeom>
                    <a:noFill/>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inline>
        </w:drawing>
      </w:r>
    </w:p>
    <w:p w14:paraId="7A7AED15" w14:textId="77777777" w:rsidR="00E25A11" w:rsidRPr="001E0C6D" w:rsidRDefault="00E25A11" w:rsidP="00E25A11"/>
    <w:p w14:paraId="58E62FEB" w14:textId="77777777" w:rsidR="00E25A11" w:rsidRPr="001E0C6D" w:rsidRDefault="00E25A11" w:rsidP="00E25A11">
      <w:r w:rsidRPr="001E0C6D">
        <w:br w:type="page"/>
      </w:r>
    </w:p>
    <w:p w14:paraId="11C93CCA" w14:textId="77777777" w:rsidR="00E25A11" w:rsidRPr="001E0C6D" w:rsidRDefault="00E25A11" w:rsidP="009310B1">
      <w:pPr>
        <w:pStyle w:val="Heading2"/>
      </w:pPr>
      <w:bookmarkStart w:id="157" w:name="_Toc467688681"/>
      <w:bookmarkStart w:id="158" w:name="_Toc468868251"/>
      <w:bookmarkStart w:id="159" w:name="_Toc486261325"/>
      <w:bookmarkStart w:id="160" w:name="_Toc486319748"/>
      <w:r w:rsidRPr="001E0C6D">
        <w:t xml:space="preserve">Appendix 6. Model 3—GOS on </w:t>
      </w:r>
      <w:bookmarkEnd w:id="157"/>
      <w:proofErr w:type="spellStart"/>
      <w:r w:rsidRPr="001E0C6D">
        <w:t>AbaF</w:t>
      </w:r>
      <w:proofErr w:type="spellEnd"/>
      <w:r w:rsidRPr="001E0C6D">
        <w:t xml:space="preserve"> regression</w:t>
      </w:r>
      <w:bookmarkEnd w:id="158"/>
      <w:bookmarkEnd w:id="159"/>
      <w:bookmarkEnd w:id="160"/>
    </w:p>
    <w:p w14:paraId="702DD2DE" w14:textId="77777777" w:rsidR="005D1423" w:rsidRDefault="00E25A11" w:rsidP="00E25A11">
      <w:r w:rsidRPr="001E0C6D">
        <w:t xml:space="preserve">Summary R output below indicates that the linear regression model of GOS on estimated </w:t>
      </w:r>
      <w:proofErr w:type="spellStart"/>
      <w:r w:rsidRPr="001E0C6D">
        <w:t>AbaF</w:t>
      </w:r>
      <w:proofErr w:type="spellEnd"/>
      <w:r w:rsidRPr="001E0C6D">
        <w:t xml:space="preserve"> total support is found to be significant (t = 16.222, p &lt; 0.001). The model suggests strong prediction levels (R2 adjusted = 0.9704).</w:t>
      </w:r>
    </w:p>
    <w:p w14:paraId="28FF8569" w14:textId="77777777" w:rsidR="00E25A11" w:rsidRPr="001E0C6D" w:rsidRDefault="00E25A11" w:rsidP="00E25A11">
      <w:r w:rsidRPr="001E0C6D">
        <w:t>However, diagnostic charts (Residuals vs Fitted, Normal Q–Q, Cook’s distance) indicate some potential issues with the fit of the model, which may affect the precision of estimates. This is to be expected considering that the regression was produced on nine data points.</w:t>
      </w:r>
    </w:p>
    <w:p w14:paraId="6DADE33C" w14:textId="77777777" w:rsidR="00E25A11" w:rsidRPr="001E0C6D" w:rsidRDefault="00E25A11" w:rsidP="00E25A11">
      <w:r w:rsidRPr="001E0C6D">
        <w:t>Summary R output of the model:</w:t>
      </w:r>
    </w:p>
    <w:p w14:paraId="42F369AF" w14:textId="77777777" w:rsidR="00E25A11" w:rsidRPr="001E0C6D" w:rsidRDefault="00E25A11" w:rsidP="00E25A11">
      <w:r w:rsidRPr="001E0C6D">
        <w:rPr>
          <w:noProof/>
          <w:lang w:eastAsia="zh-TW" w:bidi="hi-IN"/>
        </w:rPr>
        <w:drawing>
          <wp:inline distT="0" distB="0" distL="0" distR="0" wp14:anchorId="684E3BB3" wp14:editId="1C5521DD">
            <wp:extent cx="4343235" cy="2520000"/>
            <wp:effectExtent l="0" t="0" r="635" b="0"/>
            <wp:docPr id="16" name="Picture 16" descr="Detailed statistical output for lm(formula = abaf.total.support.m ~ gos15.16.m, data = final.data); with t = 16.222, p &lt; 0.001, R2 adjusted = 0.9704. " title="Summary R output of model 3— GOS on AbaF regres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4343235" cy="2520000"/>
                    </a:xfrm>
                    <a:prstGeom prst="rect">
                      <a:avLst/>
                    </a:prstGeom>
                  </pic:spPr>
                </pic:pic>
              </a:graphicData>
            </a:graphic>
          </wp:inline>
        </w:drawing>
      </w:r>
    </w:p>
    <w:p w14:paraId="0F2A4634" w14:textId="77777777" w:rsidR="00E25A11" w:rsidRPr="001E0C6D" w:rsidRDefault="00E25A11" w:rsidP="00E25A11">
      <w:r w:rsidRPr="001E0C6D">
        <w:rPr>
          <w:noProof/>
          <w:lang w:eastAsia="zh-TW" w:bidi="hi-IN"/>
        </w:rPr>
        <w:drawing>
          <wp:inline distT="0" distB="0" distL="0" distR="0" wp14:anchorId="0900DAFA" wp14:editId="00DD6B70">
            <wp:extent cx="5730992" cy="3755793"/>
            <wp:effectExtent l="0" t="0" r="3175" b="0"/>
            <wp:docPr id="63" name="Picture 63" descr="This is a residuals versus fitted values plot. Mindful that the model and hence the plot are based on only nine values – broadly, the points appear to be randomly scattered. " title="Diagnostic chart residuals versus fitted valu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Downloads\App 6 Fig 1.jpeg"/>
                    <pic:cNvPicPr>
                      <a:picLocks noChangeAspect="1" noChangeArrowheads="1"/>
                    </pic:cNvPicPr>
                  </pic:nvPicPr>
                  <pic:blipFill rotWithShape="1">
                    <a:blip r:embed="rId44">
                      <a:extLst>
                        <a:ext uri="{28A0092B-C50C-407E-A947-70E740481C1C}">
                          <a14:useLocalDpi xmlns:a14="http://schemas.microsoft.com/office/drawing/2010/main" val="0"/>
                        </a:ext>
                      </a:extLst>
                    </a:blip>
                    <a:srcRect/>
                    <a:stretch/>
                  </pic:blipFill>
                  <pic:spPr bwMode="auto">
                    <a:xfrm>
                      <a:off x="0" y="0"/>
                      <a:ext cx="5731510" cy="3756133"/>
                    </a:xfrm>
                    <a:prstGeom prst="rect">
                      <a:avLst/>
                    </a:prstGeom>
                    <a:noFill/>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inline>
        </w:drawing>
      </w:r>
    </w:p>
    <w:p w14:paraId="63D3F462" w14:textId="77777777" w:rsidR="00E25A11" w:rsidRPr="001E0C6D" w:rsidRDefault="00E25A11" w:rsidP="00E25A11">
      <w:r w:rsidRPr="001E0C6D">
        <w:rPr>
          <w:noProof/>
          <w:lang w:eastAsia="zh-TW" w:bidi="hi-IN"/>
        </w:rPr>
        <w:drawing>
          <wp:inline distT="0" distB="0" distL="0" distR="0" wp14:anchorId="496F4728" wp14:editId="4D09AE76">
            <wp:extent cx="5730992" cy="3807951"/>
            <wp:effectExtent l="0" t="0" r="3175" b="2540"/>
            <wp:docPr id="128" name="Picture 128" descr="This is a normal Q-Q plot. Broadly, the points are following the normality line. Whereby, the first point is below the normality line and the last two points are above the line, while the middle section is broadly on the line. " title="Diagnostic chart – Normal Q-Q pl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Downloads\App 6 Fig 2.jpeg"/>
                    <pic:cNvPicPr>
                      <a:picLocks noChangeAspect="1" noChangeArrowheads="1"/>
                    </pic:cNvPicPr>
                  </pic:nvPicPr>
                  <pic:blipFill rotWithShape="1">
                    <a:blip r:embed="rId45">
                      <a:extLst>
                        <a:ext uri="{28A0092B-C50C-407E-A947-70E740481C1C}">
                          <a14:useLocalDpi xmlns:a14="http://schemas.microsoft.com/office/drawing/2010/main" val="0"/>
                        </a:ext>
                      </a:extLst>
                    </a:blip>
                    <a:srcRect/>
                    <a:stretch/>
                  </pic:blipFill>
                  <pic:spPr bwMode="auto">
                    <a:xfrm>
                      <a:off x="0" y="0"/>
                      <a:ext cx="5731510" cy="3808295"/>
                    </a:xfrm>
                    <a:prstGeom prst="rect">
                      <a:avLst/>
                    </a:prstGeom>
                    <a:noFill/>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inline>
        </w:drawing>
      </w:r>
    </w:p>
    <w:p w14:paraId="555335FB" w14:textId="77777777" w:rsidR="00E25A11" w:rsidRPr="001E0C6D" w:rsidRDefault="00E25A11" w:rsidP="00E25A11"/>
    <w:p w14:paraId="744ACAFA" w14:textId="77777777" w:rsidR="00E25A11" w:rsidRPr="001E0C6D" w:rsidRDefault="00E25A11" w:rsidP="00E25A11">
      <w:r w:rsidRPr="001E0C6D">
        <w:rPr>
          <w:noProof/>
          <w:lang w:eastAsia="zh-TW" w:bidi="hi-IN"/>
        </w:rPr>
        <w:drawing>
          <wp:inline distT="0" distB="0" distL="0" distR="0" wp14:anchorId="0776BD83" wp14:editId="7150F97E">
            <wp:extent cx="5731191" cy="3763337"/>
            <wp:effectExtent l="0" t="0" r="3175" b="8890"/>
            <wp:docPr id="129" name="Picture 129" descr="The largest value reaches 0.7, with second and third largest under 0.4 and 0.1." title="Cook’s distance pl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Downloads\App 6 Fig 3.jpeg"/>
                    <pic:cNvPicPr>
                      <a:picLocks noChangeAspect="1" noChangeArrowheads="1"/>
                    </pic:cNvPicPr>
                  </pic:nvPicPr>
                  <pic:blipFill rotWithShape="1">
                    <a:blip r:embed="rId46">
                      <a:extLst>
                        <a:ext uri="{28A0092B-C50C-407E-A947-70E740481C1C}">
                          <a14:useLocalDpi xmlns:a14="http://schemas.microsoft.com/office/drawing/2010/main" val="0"/>
                        </a:ext>
                      </a:extLst>
                    </a:blip>
                    <a:srcRect/>
                    <a:stretch/>
                  </pic:blipFill>
                  <pic:spPr bwMode="auto">
                    <a:xfrm>
                      <a:off x="0" y="0"/>
                      <a:ext cx="5731510" cy="3763546"/>
                    </a:xfrm>
                    <a:prstGeom prst="rect">
                      <a:avLst/>
                    </a:prstGeom>
                    <a:noFill/>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inline>
        </w:drawing>
      </w:r>
    </w:p>
    <w:p w14:paraId="7459CF21" w14:textId="77777777" w:rsidR="00E25A11" w:rsidRPr="001E0C6D" w:rsidRDefault="00E25A11" w:rsidP="00E25A11">
      <w:r w:rsidRPr="001E0C6D">
        <w:br w:type="page"/>
      </w:r>
    </w:p>
    <w:p w14:paraId="346C1E00" w14:textId="77777777" w:rsidR="00E25A11" w:rsidRPr="001E0C6D" w:rsidRDefault="00E25A11" w:rsidP="009310B1">
      <w:pPr>
        <w:pStyle w:val="Heading2"/>
      </w:pPr>
      <w:bookmarkStart w:id="161" w:name="_Toc467688683"/>
      <w:bookmarkStart w:id="162" w:name="_Toc468868252"/>
      <w:bookmarkStart w:id="163" w:name="_Toc486261326"/>
      <w:bookmarkStart w:id="164" w:name="_Toc486319749"/>
      <w:bookmarkStart w:id="165" w:name="_Toc467688682"/>
      <w:r w:rsidRPr="001E0C6D">
        <w:t>Appendix 7. Model 5</w:t>
      </w:r>
      <w:r w:rsidR="005D1423">
        <w:t>—</w:t>
      </w:r>
      <w:r w:rsidRPr="001E0C6D">
        <w:t xml:space="preserve">AMPAG donations on </w:t>
      </w:r>
      <w:proofErr w:type="spellStart"/>
      <w:r w:rsidRPr="001E0C6D">
        <w:t>AbaF</w:t>
      </w:r>
      <w:proofErr w:type="spellEnd"/>
      <w:r w:rsidRPr="001E0C6D">
        <w:t xml:space="preserve"> giving</w:t>
      </w:r>
      <w:bookmarkEnd w:id="161"/>
      <w:r w:rsidRPr="001E0C6D">
        <w:t xml:space="preserve"> regression</w:t>
      </w:r>
      <w:bookmarkEnd w:id="162"/>
      <w:bookmarkEnd w:id="163"/>
      <w:bookmarkEnd w:id="164"/>
    </w:p>
    <w:p w14:paraId="32C7A6F7" w14:textId="77777777" w:rsidR="005D1423" w:rsidRDefault="00E25A11" w:rsidP="00E25A11">
      <w:r w:rsidRPr="001E0C6D">
        <w:t xml:space="preserve">Summary R output below indicates that the linear regression model of AMPAG donations on estimated </w:t>
      </w:r>
      <w:proofErr w:type="spellStart"/>
      <w:r w:rsidRPr="001E0C6D">
        <w:t>AbaF</w:t>
      </w:r>
      <w:proofErr w:type="spellEnd"/>
      <w:r w:rsidRPr="001E0C6D">
        <w:t xml:space="preserve"> giving (donations) is found to be significant (t = 14.233, p &lt; 0.001). The model suggests strong prediction levels (R2 adjusted = 0.9618).</w:t>
      </w:r>
    </w:p>
    <w:p w14:paraId="305D17B7" w14:textId="77777777" w:rsidR="00E25A11" w:rsidRPr="001E0C6D" w:rsidRDefault="00E25A11" w:rsidP="00E25A11">
      <w:r w:rsidRPr="001E0C6D">
        <w:t>However, diagnostic charts (Residuals vs Fitted, Normal Q–Q, Cook’s distance) indicate some potential issues with the fit of the model, which may affect the precision of estimates. This is to be expected considering that the regression was produced on nine data points.</w:t>
      </w:r>
    </w:p>
    <w:p w14:paraId="7E6393FB" w14:textId="77777777" w:rsidR="00E25A11" w:rsidRPr="001E0C6D" w:rsidRDefault="00E25A11" w:rsidP="00E25A11">
      <w:r w:rsidRPr="001E0C6D">
        <w:t>Summary R output of the model:</w:t>
      </w:r>
    </w:p>
    <w:p w14:paraId="4D30EF7B" w14:textId="77777777" w:rsidR="00E25A11" w:rsidRPr="001E0C6D" w:rsidRDefault="00E25A11" w:rsidP="00E25A11">
      <w:r w:rsidRPr="001E0C6D">
        <w:rPr>
          <w:noProof/>
          <w:lang w:eastAsia="zh-TW" w:bidi="hi-IN"/>
        </w:rPr>
        <w:drawing>
          <wp:inline distT="0" distB="0" distL="0" distR="0" wp14:anchorId="4A804BBC" wp14:editId="36E659F8">
            <wp:extent cx="4292417" cy="2520000"/>
            <wp:effectExtent l="0" t="0" r="0" b="0"/>
            <wp:docPr id="45" name="Picture 45" descr="Detailed statistical output for lm(formula = abaf.total.giving.m ~ ampag.don.finyr.m, data = final.data)with t = 14.233, p &lt; 0.001, R2 adjusted = 0.9618. " title="Summary R output of model 5— AMPAG donations on AbaF giving regres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4292417" cy="2520000"/>
                    </a:xfrm>
                    <a:prstGeom prst="rect">
                      <a:avLst/>
                    </a:prstGeom>
                  </pic:spPr>
                </pic:pic>
              </a:graphicData>
            </a:graphic>
          </wp:inline>
        </w:drawing>
      </w:r>
    </w:p>
    <w:p w14:paraId="69601FB7" w14:textId="77777777" w:rsidR="00E25A11" w:rsidRPr="001E0C6D" w:rsidRDefault="00E25A11" w:rsidP="00E25A11">
      <w:r w:rsidRPr="001E0C6D">
        <w:rPr>
          <w:noProof/>
          <w:lang w:eastAsia="zh-TW" w:bidi="hi-IN"/>
        </w:rPr>
        <w:drawing>
          <wp:inline distT="0" distB="0" distL="0" distR="0" wp14:anchorId="3E163D6F" wp14:editId="763FA9F5">
            <wp:extent cx="5728970" cy="3776606"/>
            <wp:effectExtent l="0" t="0" r="5080" b="0"/>
            <wp:docPr id="131" name="Picture 131" descr="This is a residuals versus fitted values plot. Mindful that the model and hence the plot are based on only nine values – broadly, the points appear to be randomly scattered. " title="Diagnostic chart residuals versus fitted valu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Downloads\App 7 Fig 1.jpeg"/>
                    <pic:cNvPicPr>
                      <a:picLocks noChangeAspect="1" noChangeArrowheads="1"/>
                    </pic:cNvPicPr>
                  </pic:nvPicPr>
                  <pic:blipFill rotWithShape="1">
                    <a:blip r:embed="rId48">
                      <a:extLst>
                        <a:ext uri="{28A0092B-C50C-407E-A947-70E740481C1C}">
                          <a14:useLocalDpi xmlns:a14="http://schemas.microsoft.com/office/drawing/2010/main" val="0"/>
                        </a:ext>
                      </a:extLst>
                    </a:blip>
                    <a:srcRect/>
                    <a:stretch/>
                  </pic:blipFill>
                  <pic:spPr bwMode="auto">
                    <a:xfrm>
                      <a:off x="0" y="0"/>
                      <a:ext cx="5731510" cy="3778280"/>
                    </a:xfrm>
                    <a:prstGeom prst="rect">
                      <a:avLst/>
                    </a:prstGeom>
                    <a:noFill/>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inline>
        </w:drawing>
      </w:r>
    </w:p>
    <w:p w14:paraId="27ADAE1C" w14:textId="77777777" w:rsidR="00E25A11" w:rsidRPr="001E0C6D" w:rsidRDefault="00E25A11" w:rsidP="00E25A11"/>
    <w:p w14:paraId="4CFD40F6" w14:textId="77777777" w:rsidR="00E25A11" w:rsidRPr="001E0C6D" w:rsidRDefault="00E25A11" w:rsidP="00E25A11">
      <w:r w:rsidRPr="001E0C6D">
        <w:rPr>
          <w:noProof/>
          <w:lang w:eastAsia="zh-TW" w:bidi="hi-IN"/>
        </w:rPr>
        <w:drawing>
          <wp:inline distT="0" distB="0" distL="0" distR="0" wp14:anchorId="036805A8" wp14:editId="48ADB601">
            <wp:extent cx="5730992" cy="3800397"/>
            <wp:effectExtent l="0" t="0" r="3175" b="0"/>
            <wp:docPr id="132" name="Picture 132" descr="This is a normal Q-Q plot. Broadly, the points are following the normality line. Whereby, the half of the points are just below the line while the last four are above (especially the last two)." title="Diagnostic chart – Normal Q-Q pl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Downloads\App 7 Fig 2.jpeg"/>
                    <pic:cNvPicPr>
                      <a:picLocks noChangeAspect="1" noChangeArrowheads="1"/>
                    </pic:cNvPicPr>
                  </pic:nvPicPr>
                  <pic:blipFill rotWithShape="1">
                    <a:blip r:embed="rId49">
                      <a:extLst>
                        <a:ext uri="{28A0092B-C50C-407E-A947-70E740481C1C}">
                          <a14:useLocalDpi xmlns:a14="http://schemas.microsoft.com/office/drawing/2010/main" val="0"/>
                        </a:ext>
                      </a:extLst>
                    </a:blip>
                    <a:srcRect/>
                    <a:stretch/>
                  </pic:blipFill>
                  <pic:spPr bwMode="auto">
                    <a:xfrm>
                      <a:off x="0" y="0"/>
                      <a:ext cx="5731510" cy="3800741"/>
                    </a:xfrm>
                    <a:prstGeom prst="rect">
                      <a:avLst/>
                    </a:prstGeom>
                    <a:noFill/>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inline>
        </w:drawing>
      </w:r>
    </w:p>
    <w:p w14:paraId="2AB20093" w14:textId="77777777" w:rsidR="00E25A11" w:rsidRPr="001E0C6D" w:rsidRDefault="00E25A11" w:rsidP="00E25A11"/>
    <w:p w14:paraId="09CCCDC3" w14:textId="77777777" w:rsidR="00E25A11" w:rsidRPr="001E0C6D" w:rsidRDefault="00E25A11" w:rsidP="00E25A11">
      <w:r w:rsidRPr="001E0C6D">
        <w:rPr>
          <w:noProof/>
          <w:lang w:eastAsia="zh-TW" w:bidi="hi-IN"/>
        </w:rPr>
        <w:drawing>
          <wp:inline distT="0" distB="0" distL="0" distR="0" wp14:anchorId="4B2C1223" wp14:editId="74C0B762">
            <wp:extent cx="5730992" cy="3766944"/>
            <wp:effectExtent l="0" t="0" r="3175" b="5080"/>
            <wp:docPr id="134" name="Picture 134" descr="The two largest values are under 0.3, with the third largest under 0.15." title="Cook’s distance pl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Downloads\App 7 Fig 3.jpeg"/>
                    <pic:cNvPicPr>
                      <a:picLocks noChangeAspect="1" noChangeArrowheads="1"/>
                    </pic:cNvPicPr>
                  </pic:nvPicPr>
                  <pic:blipFill rotWithShape="1">
                    <a:blip r:embed="rId50">
                      <a:extLst>
                        <a:ext uri="{28A0092B-C50C-407E-A947-70E740481C1C}">
                          <a14:useLocalDpi xmlns:a14="http://schemas.microsoft.com/office/drawing/2010/main" val="0"/>
                        </a:ext>
                      </a:extLst>
                    </a:blip>
                    <a:srcRect/>
                    <a:stretch/>
                  </pic:blipFill>
                  <pic:spPr bwMode="auto">
                    <a:xfrm>
                      <a:off x="0" y="0"/>
                      <a:ext cx="5731510" cy="3767285"/>
                    </a:xfrm>
                    <a:prstGeom prst="rect">
                      <a:avLst/>
                    </a:prstGeom>
                    <a:noFill/>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inline>
        </w:drawing>
      </w:r>
    </w:p>
    <w:p w14:paraId="10FE7AD3" w14:textId="77777777" w:rsidR="00E25A11" w:rsidRPr="001E0C6D" w:rsidRDefault="00E25A11" w:rsidP="00E25A11">
      <w:r w:rsidRPr="001E0C6D">
        <w:br w:type="page"/>
      </w:r>
    </w:p>
    <w:p w14:paraId="0DBAA0FC" w14:textId="77777777" w:rsidR="00E25A11" w:rsidRPr="001E0C6D" w:rsidRDefault="00E25A11" w:rsidP="009310B1">
      <w:pPr>
        <w:pStyle w:val="Heading2"/>
      </w:pPr>
      <w:bookmarkStart w:id="166" w:name="_Toc467688685"/>
      <w:bookmarkStart w:id="167" w:name="_Toc468868254"/>
      <w:bookmarkStart w:id="168" w:name="_Toc486261327"/>
      <w:bookmarkStart w:id="169" w:name="_Toc486319750"/>
      <w:bookmarkEnd w:id="165"/>
      <w:r w:rsidRPr="001E0C6D">
        <w:t>Appendix 8. Model 6</w:t>
      </w:r>
      <w:r w:rsidR="005D1423">
        <w:t>—</w:t>
      </w:r>
      <w:r w:rsidRPr="001E0C6D">
        <w:t xml:space="preserve">GOS on </w:t>
      </w:r>
      <w:proofErr w:type="spellStart"/>
      <w:r w:rsidRPr="001E0C6D">
        <w:t>AbaF</w:t>
      </w:r>
      <w:proofErr w:type="spellEnd"/>
      <w:r w:rsidRPr="001E0C6D">
        <w:t xml:space="preserve"> giving</w:t>
      </w:r>
      <w:bookmarkEnd w:id="166"/>
      <w:r w:rsidRPr="001E0C6D">
        <w:t xml:space="preserve"> regression</w:t>
      </w:r>
      <w:bookmarkEnd w:id="167"/>
      <w:bookmarkEnd w:id="168"/>
      <w:bookmarkEnd w:id="169"/>
    </w:p>
    <w:p w14:paraId="4BBE9D17" w14:textId="77777777" w:rsidR="005D1423" w:rsidRDefault="00E25A11" w:rsidP="00E25A11">
      <w:r w:rsidRPr="001E0C6D">
        <w:t xml:space="preserve">Summary R output below indicates that the linear regression model of GOS on estimated </w:t>
      </w:r>
      <w:proofErr w:type="spellStart"/>
      <w:r w:rsidRPr="001E0C6D">
        <w:t>AbaF</w:t>
      </w:r>
      <w:proofErr w:type="spellEnd"/>
      <w:r w:rsidRPr="001E0C6D">
        <w:t xml:space="preserve"> giving (donations) is found to be significant (t = 11.780, p &lt; 0.001). The model suggests strong prediction levels (R2 adjusted = 0.9451).</w:t>
      </w:r>
    </w:p>
    <w:p w14:paraId="6A9D6860" w14:textId="77777777" w:rsidR="00E25A11" w:rsidRPr="001E0C6D" w:rsidRDefault="00E25A11" w:rsidP="00E25A11">
      <w:r w:rsidRPr="001E0C6D">
        <w:t>However, diagnostic charts (Residuals vs Fitted, Normal Q–Q, Cook’s distance) indicate some potential issues with the fit of the model, which may affect the precision of estimates. This is to be expected considering that the regression was produced on nine data points.</w:t>
      </w:r>
    </w:p>
    <w:p w14:paraId="33BA0FBB" w14:textId="77777777" w:rsidR="00E25A11" w:rsidRPr="001E0C6D" w:rsidRDefault="00E25A11" w:rsidP="00E25A11">
      <w:r w:rsidRPr="001E0C6D">
        <w:t>Summary R output of the model:</w:t>
      </w:r>
    </w:p>
    <w:p w14:paraId="03FA3F25" w14:textId="77777777" w:rsidR="00E25A11" w:rsidRPr="001E0C6D" w:rsidRDefault="00E25A11" w:rsidP="00E25A11">
      <w:r w:rsidRPr="001E0C6D">
        <w:rPr>
          <w:noProof/>
          <w:lang w:eastAsia="zh-TW" w:bidi="hi-IN"/>
        </w:rPr>
        <w:drawing>
          <wp:inline distT="0" distB="0" distL="0" distR="0" wp14:anchorId="20480F4F" wp14:editId="078001F9">
            <wp:extent cx="4261855" cy="2520000"/>
            <wp:effectExtent l="0" t="0" r="5715" b="0"/>
            <wp:docPr id="51" name="Picture 51" descr="Detailed statistical output for lm(formula = abaf.total.giving.m ~ gos15.16.m, data = final.data); with t = 11.780, p &lt; 0.001, R2 adjusted = 0.9451. " title="Summary R output of model 6 — GOS on AbaF giving regres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a:off x="0" y="0"/>
                      <a:ext cx="4261855" cy="2520000"/>
                    </a:xfrm>
                    <a:prstGeom prst="rect">
                      <a:avLst/>
                    </a:prstGeom>
                  </pic:spPr>
                </pic:pic>
              </a:graphicData>
            </a:graphic>
          </wp:inline>
        </w:drawing>
      </w:r>
    </w:p>
    <w:p w14:paraId="3255297C" w14:textId="77777777" w:rsidR="00E25A11" w:rsidRPr="001E0C6D" w:rsidRDefault="00E25A11" w:rsidP="00E25A11">
      <w:r w:rsidRPr="001E0C6D">
        <w:rPr>
          <w:noProof/>
          <w:lang w:eastAsia="zh-TW" w:bidi="hi-IN"/>
        </w:rPr>
        <w:drawing>
          <wp:inline distT="0" distB="0" distL="0" distR="0" wp14:anchorId="54D870BE" wp14:editId="0E6A0736">
            <wp:extent cx="5730992" cy="3766944"/>
            <wp:effectExtent l="0" t="0" r="3175" b="5080"/>
            <wp:docPr id="136" name="Picture 136" descr="This is a residuals versus fitted values plot. Mindful that the model and hence the plot are based on only nine values – broadly, the points appear to be randomly scattered. " title="Diagnostic chart residuals versus fitted valu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Downloads\App 8 Fig 1.jpeg"/>
                    <pic:cNvPicPr>
                      <a:picLocks noChangeAspect="1" noChangeArrowheads="1"/>
                    </pic:cNvPicPr>
                  </pic:nvPicPr>
                  <pic:blipFill rotWithShape="1">
                    <a:blip r:embed="rId52">
                      <a:extLst>
                        <a:ext uri="{28A0092B-C50C-407E-A947-70E740481C1C}">
                          <a14:useLocalDpi xmlns:a14="http://schemas.microsoft.com/office/drawing/2010/main" val="0"/>
                        </a:ext>
                      </a:extLst>
                    </a:blip>
                    <a:srcRect/>
                    <a:stretch/>
                  </pic:blipFill>
                  <pic:spPr bwMode="auto">
                    <a:xfrm>
                      <a:off x="0" y="0"/>
                      <a:ext cx="5731510" cy="3767285"/>
                    </a:xfrm>
                    <a:prstGeom prst="rect">
                      <a:avLst/>
                    </a:prstGeom>
                    <a:noFill/>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inline>
        </w:drawing>
      </w:r>
    </w:p>
    <w:p w14:paraId="082558FC" w14:textId="77777777" w:rsidR="00E25A11" w:rsidRPr="001E0C6D" w:rsidRDefault="00E25A11" w:rsidP="00E25A11"/>
    <w:p w14:paraId="1BD37458" w14:textId="77777777" w:rsidR="00E25A11" w:rsidRPr="001E0C6D" w:rsidRDefault="00E25A11" w:rsidP="00E25A11">
      <w:r w:rsidRPr="001E0C6D">
        <w:rPr>
          <w:noProof/>
          <w:lang w:eastAsia="zh-TW" w:bidi="hi-IN"/>
        </w:rPr>
        <w:drawing>
          <wp:inline distT="0" distB="0" distL="0" distR="0" wp14:anchorId="14A36276" wp14:editId="5B04F30D">
            <wp:extent cx="5730376" cy="3755390"/>
            <wp:effectExtent l="0" t="0" r="3810" b="0"/>
            <wp:docPr id="139" name="Picture 139" descr="This is a normal Q-Q plot. Broadly, the points are following the normality line. Whereby, initially the points are just below the line while later they are just above the line. " title="Diagnostic chart – Normal Q-Q pl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Downloads\App 8 Fig 2.jpeg"/>
                    <pic:cNvPicPr>
                      <a:picLocks noChangeAspect="1" noChangeArrowheads="1"/>
                    </pic:cNvPicPr>
                  </pic:nvPicPr>
                  <pic:blipFill rotWithShape="1">
                    <a:blip r:embed="rId53">
                      <a:extLst>
                        <a:ext uri="{28A0092B-C50C-407E-A947-70E740481C1C}">
                          <a14:useLocalDpi xmlns:a14="http://schemas.microsoft.com/office/drawing/2010/main" val="0"/>
                        </a:ext>
                      </a:extLst>
                    </a:blip>
                    <a:srcRect/>
                    <a:stretch/>
                  </pic:blipFill>
                  <pic:spPr bwMode="auto">
                    <a:xfrm>
                      <a:off x="0" y="0"/>
                      <a:ext cx="5731510" cy="3756133"/>
                    </a:xfrm>
                    <a:prstGeom prst="rect">
                      <a:avLst/>
                    </a:prstGeom>
                    <a:noFill/>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inline>
        </w:drawing>
      </w:r>
    </w:p>
    <w:p w14:paraId="1A2321AC" w14:textId="77777777" w:rsidR="00E25A11" w:rsidRPr="001E0C6D" w:rsidRDefault="00E25A11" w:rsidP="00E25A11"/>
    <w:p w14:paraId="50CF84D2" w14:textId="77777777" w:rsidR="00E25A11" w:rsidRPr="001E0C6D" w:rsidRDefault="00E25A11" w:rsidP="00E25A11">
      <w:r w:rsidRPr="001E0C6D">
        <w:rPr>
          <w:noProof/>
          <w:lang w:eastAsia="zh-TW" w:bidi="hi-IN"/>
        </w:rPr>
        <w:drawing>
          <wp:inline distT="0" distB="0" distL="0" distR="0" wp14:anchorId="67ED1DAD" wp14:editId="0E985B87">
            <wp:extent cx="5729518" cy="3788286"/>
            <wp:effectExtent l="0" t="0" r="5080" b="3175"/>
            <wp:docPr id="140" name="Picture 140" descr="The largest value is under 0.6, with second and third largest under 0.3 and 0.2." title="Cook’s distance pl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H:\Downloads\App 8 Fig 3.jpeg"/>
                    <pic:cNvPicPr>
                      <a:picLocks noChangeAspect="1" noChangeArrowheads="1"/>
                    </pic:cNvPicPr>
                  </pic:nvPicPr>
                  <pic:blipFill rotWithShape="1">
                    <a:blip r:embed="rId54">
                      <a:extLst>
                        <a:ext uri="{28A0092B-C50C-407E-A947-70E740481C1C}">
                          <a14:useLocalDpi xmlns:a14="http://schemas.microsoft.com/office/drawing/2010/main" val="0"/>
                        </a:ext>
                      </a:extLst>
                    </a:blip>
                    <a:srcRect/>
                    <a:stretch/>
                  </pic:blipFill>
                  <pic:spPr bwMode="auto">
                    <a:xfrm>
                      <a:off x="0" y="0"/>
                      <a:ext cx="5731510" cy="3789603"/>
                    </a:xfrm>
                    <a:prstGeom prst="rect">
                      <a:avLst/>
                    </a:prstGeom>
                    <a:noFill/>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inline>
        </w:drawing>
      </w:r>
    </w:p>
    <w:p w14:paraId="4427551D" w14:textId="77777777" w:rsidR="00E25A11" w:rsidRPr="001E0C6D" w:rsidRDefault="00E25A11" w:rsidP="00E25A11">
      <w:r w:rsidRPr="001E0C6D">
        <w:br w:type="page"/>
      </w:r>
    </w:p>
    <w:p w14:paraId="33F917CC" w14:textId="77777777" w:rsidR="00E25A11" w:rsidRPr="001E0C6D" w:rsidRDefault="00E25A11" w:rsidP="009310B1">
      <w:pPr>
        <w:pStyle w:val="Heading2"/>
      </w:pPr>
      <w:bookmarkStart w:id="170" w:name="_Toc467688684"/>
      <w:bookmarkStart w:id="171" w:name="_Toc468868255"/>
      <w:bookmarkStart w:id="172" w:name="_Toc486261328"/>
      <w:bookmarkStart w:id="173" w:name="_Toc486319751"/>
      <w:r w:rsidRPr="001E0C6D">
        <w:t>Appendix 9. Model 8</w:t>
      </w:r>
      <w:r w:rsidR="005D1423">
        <w:t>—</w:t>
      </w:r>
      <w:r w:rsidRPr="001E0C6D">
        <w:t xml:space="preserve">AMPAG sponsorship on </w:t>
      </w:r>
      <w:proofErr w:type="spellStart"/>
      <w:r w:rsidRPr="001E0C6D">
        <w:t>AbaF</w:t>
      </w:r>
      <w:proofErr w:type="spellEnd"/>
      <w:r w:rsidRPr="001E0C6D">
        <w:t xml:space="preserve"> spon</w:t>
      </w:r>
      <w:bookmarkStart w:id="174" w:name="_GoBack"/>
      <w:bookmarkEnd w:id="174"/>
      <w:r w:rsidRPr="001E0C6D">
        <w:t>sorship</w:t>
      </w:r>
      <w:bookmarkEnd w:id="170"/>
      <w:r w:rsidRPr="001E0C6D">
        <w:t xml:space="preserve"> regression</w:t>
      </w:r>
      <w:bookmarkEnd w:id="171"/>
      <w:bookmarkEnd w:id="172"/>
      <w:bookmarkEnd w:id="173"/>
    </w:p>
    <w:p w14:paraId="7612B3EA" w14:textId="77777777" w:rsidR="005D1423" w:rsidRDefault="00E25A11" w:rsidP="00E25A11">
      <w:r w:rsidRPr="001E0C6D">
        <w:t xml:space="preserve">Summary R output below indicates that the linear regression model of AMPAG sponsorship on estimated </w:t>
      </w:r>
      <w:proofErr w:type="spellStart"/>
      <w:r w:rsidRPr="001E0C6D">
        <w:t>AbaF</w:t>
      </w:r>
      <w:proofErr w:type="spellEnd"/>
      <w:r w:rsidRPr="001E0C6D">
        <w:t xml:space="preserve"> sponsorship is found to be significant (t = 3.806, p = 0.007). The model suggests medium prediction levels (R2 adjusted = 0.6277).</w:t>
      </w:r>
    </w:p>
    <w:p w14:paraId="468D0ACC" w14:textId="77777777" w:rsidR="00E25A11" w:rsidRPr="001E0C6D" w:rsidRDefault="00E25A11" w:rsidP="00E25A11">
      <w:r w:rsidRPr="001E0C6D">
        <w:t>However, diagnostic charts (Residuals vs Fitted, Normal Q–Q, Cook’s distance) indicate some potential issues with the fit of the model, which may affect the precision of estimates. This is to be expected considering that the regression was produced on nine data points.</w:t>
      </w:r>
    </w:p>
    <w:p w14:paraId="2BE41871" w14:textId="77777777" w:rsidR="00E25A11" w:rsidRPr="001E0C6D" w:rsidRDefault="00E25A11" w:rsidP="00E25A11">
      <w:r w:rsidRPr="001E0C6D">
        <w:t>Summary R output of the model:</w:t>
      </w:r>
    </w:p>
    <w:p w14:paraId="688A62D7" w14:textId="77777777" w:rsidR="00E25A11" w:rsidRPr="001E0C6D" w:rsidRDefault="00E25A11" w:rsidP="00E25A11">
      <w:r w:rsidRPr="001E0C6D">
        <w:rPr>
          <w:noProof/>
          <w:lang w:eastAsia="zh-TW" w:bidi="hi-IN"/>
        </w:rPr>
        <w:drawing>
          <wp:inline distT="0" distB="0" distL="0" distR="0" wp14:anchorId="05FC102E" wp14:editId="320568CA">
            <wp:extent cx="4256272" cy="2520000"/>
            <wp:effectExtent l="0" t="0" r="0" b="0"/>
            <wp:docPr id="39" name="Picture 39" descr="Detailed statistical output for lm(formula = abaf.total.sponsor.m ~ ampag.spon.finyr.m, data = final.data); with t = 3.806, p = 0.007, R2 adjusted = 0.6277. " title="Summary R output of model 8 — AMPAG sponsorship on AbaF sponsorship regres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a:stretch>
                      <a:fillRect/>
                    </a:stretch>
                  </pic:blipFill>
                  <pic:spPr>
                    <a:xfrm>
                      <a:off x="0" y="0"/>
                      <a:ext cx="4256272" cy="2520000"/>
                    </a:xfrm>
                    <a:prstGeom prst="rect">
                      <a:avLst/>
                    </a:prstGeom>
                  </pic:spPr>
                </pic:pic>
              </a:graphicData>
            </a:graphic>
          </wp:inline>
        </w:drawing>
      </w:r>
    </w:p>
    <w:p w14:paraId="1FFED05D" w14:textId="77777777" w:rsidR="00E25A11" w:rsidRPr="001E0C6D" w:rsidRDefault="00E25A11" w:rsidP="00E25A11"/>
    <w:p w14:paraId="0D8C35BD" w14:textId="77777777" w:rsidR="00E25A11" w:rsidRPr="001E0C6D" w:rsidRDefault="00E25A11" w:rsidP="00E25A11">
      <w:r w:rsidRPr="001E0C6D">
        <w:rPr>
          <w:noProof/>
          <w:lang w:eastAsia="zh-TW" w:bidi="hi-IN"/>
        </w:rPr>
        <w:drawing>
          <wp:inline distT="0" distB="0" distL="0" distR="0" wp14:anchorId="1491CA14" wp14:editId="380219B0">
            <wp:extent cx="5730992" cy="3778096"/>
            <wp:effectExtent l="0" t="0" r="3175" b="0"/>
            <wp:docPr id="141" name="Picture 141" descr="This is a residuals versus fitted values plot. Mindful that the model and hence the plot are based on only nine values – broadly, the points appear to be randomly scattered. " title="Diagnostic chart residuals versus fitted valu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Downloads\App 9 Fig 1.jpeg"/>
                    <pic:cNvPicPr>
                      <a:picLocks noChangeAspect="1" noChangeArrowheads="1"/>
                    </pic:cNvPicPr>
                  </pic:nvPicPr>
                  <pic:blipFill rotWithShape="1">
                    <a:blip r:embed="rId56">
                      <a:extLst>
                        <a:ext uri="{28A0092B-C50C-407E-A947-70E740481C1C}">
                          <a14:useLocalDpi xmlns:a14="http://schemas.microsoft.com/office/drawing/2010/main" val="0"/>
                        </a:ext>
                      </a:extLst>
                    </a:blip>
                    <a:srcRect/>
                    <a:stretch/>
                  </pic:blipFill>
                  <pic:spPr bwMode="auto">
                    <a:xfrm>
                      <a:off x="0" y="0"/>
                      <a:ext cx="5731510" cy="3778438"/>
                    </a:xfrm>
                    <a:prstGeom prst="rect">
                      <a:avLst/>
                    </a:prstGeom>
                    <a:noFill/>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inline>
        </w:drawing>
      </w:r>
    </w:p>
    <w:p w14:paraId="56F63EBE" w14:textId="77777777" w:rsidR="00E25A11" w:rsidRPr="001E0C6D" w:rsidRDefault="00E25A11" w:rsidP="00E25A11"/>
    <w:p w14:paraId="3FD1E9DF" w14:textId="77777777" w:rsidR="00E25A11" w:rsidRPr="001E0C6D" w:rsidRDefault="00E25A11" w:rsidP="00E25A11">
      <w:r w:rsidRPr="001E0C6D">
        <w:rPr>
          <w:noProof/>
          <w:lang w:eastAsia="zh-TW" w:bidi="hi-IN"/>
        </w:rPr>
        <w:drawing>
          <wp:inline distT="0" distB="0" distL="0" distR="0" wp14:anchorId="43A04629" wp14:editId="76B068D6">
            <wp:extent cx="5730992" cy="3755793"/>
            <wp:effectExtent l="0" t="0" r="3175" b="0"/>
            <wp:docPr id="142" name="Picture 142" descr="This is a normal Q-Q plot. Broadly, the points are following the normality line. Whereby, initially the points are just below the line while later they are just above the line. " title="Diagnostic chart – Normal Q-Q pl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H:\Downloads\App 9 Fig 2.jpeg"/>
                    <pic:cNvPicPr>
                      <a:picLocks noChangeAspect="1" noChangeArrowheads="1"/>
                    </pic:cNvPicPr>
                  </pic:nvPicPr>
                  <pic:blipFill rotWithShape="1">
                    <a:blip r:embed="rId57">
                      <a:extLst>
                        <a:ext uri="{28A0092B-C50C-407E-A947-70E740481C1C}">
                          <a14:useLocalDpi xmlns:a14="http://schemas.microsoft.com/office/drawing/2010/main" val="0"/>
                        </a:ext>
                      </a:extLst>
                    </a:blip>
                    <a:srcRect/>
                    <a:stretch/>
                  </pic:blipFill>
                  <pic:spPr bwMode="auto">
                    <a:xfrm>
                      <a:off x="0" y="0"/>
                      <a:ext cx="5731510" cy="3756133"/>
                    </a:xfrm>
                    <a:prstGeom prst="rect">
                      <a:avLst/>
                    </a:prstGeom>
                    <a:noFill/>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inline>
        </w:drawing>
      </w:r>
    </w:p>
    <w:p w14:paraId="7305EA99" w14:textId="77777777" w:rsidR="00E25A11" w:rsidRPr="001E0C6D" w:rsidRDefault="00E25A11" w:rsidP="00E25A11"/>
    <w:p w14:paraId="4505E093" w14:textId="77777777" w:rsidR="00E25A11" w:rsidRPr="001E0C6D" w:rsidRDefault="00E25A11" w:rsidP="00E25A11">
      <w:r w:rsidRPr="001E0C6D">
        <w:rPr>
          <w:noProof/>
          <w:lang w:eastAsia="zh-TW" w:bidi="hi-IN"/>
        </w:rPr>
        <w:drawing>
          <wp:inline distT="0" distB="0" distL="0" distR="0" wp14:anchorId="68B2C0B1" wp14:editId="2C973652">
            <wp:extent cx="5730992" cy="3766944"/>
            <wp:effectExtent l="0" t="0" r="3175" b="5080"/>
            <wp:docPr id="143" name="Picture 143" descr="The largest value is 0.35, with second and third largest under 0.2." title="Cook’s distance pl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H:\Downloads\App 9 Fig 3.jpeg"/>
                    <pic:cNvPicPr>
                      <a:picLocks noChangeAspect="1" noChangeArrowheads="1"/>
                    </pic:cNvPicPr>
                  </pic:nvPicPr>
                  <pic:blipFill rotWithShape="1">
                    <a:blip r:embed="rId58">
                      <a:extLst>
                        <a:ext uri="{28A0092B-C50C-407E-A947-70E740481C1C}">
                          <a14:useLocalDpi xmlns:a14="http://schemas.microsoft.com/office/drawing/2010/main" val="0"/>
                        </a:ext>
                      </a:extLst>
                    </a:blip>
                    <a:srcRect/>
                    <a:stretch/>
                  </pic:blipFill>
                  <pic:spPr bwMode="auto">
                    <a:xfrm>
                      <a:off x="0" y="0"/>
                      <a:ext cx="5731510" cy="3767285"/>
                    </a:xfrm>
                    <a:prstGeom prst="rect">
                      <a:avLst/>
                    </a:prstGeom>
                    <a:noFill/>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inline>
        </w:drawing>
      </w:r>
    </w:p>
    <w:p w14:paraId="0D853DF3" w14:textId="77777777" w:rsidR="00E25A11" w:rsidRPr="001E0C6D" w:rsidRDefault="00E25A11" w:rsidP="00E25A11">
      <w:r w:rsidRPr="001E0C6D">
        <w:br w:type="page"/>
      </w:r>
    </w:p>
    <w:p w14:paraId="4BA63EE3" w14:textId="77777777" w:rsidR="00E25A11" w:rsidRPr="001E0C6D" w:rsidRDefault="00E25A11" w:rsidP="009310B1">
      <w:pPr>
        <w:pStyle w:val="Heading2"/>
      </w:pPr>
      <w:bookmarkStart w:id="175" w:name="_Toc467688686"/>
      <w:bookmarkStart w:id="176" w:name="_Toc468868256"/>
      <w:bookmarkStart w:id="177" w:name="_Toc486261329"/>
      <w:bookmarkStart w:id="178" w:name="_Toc486319752"/>
      <w:r w:rsidRPr="001E0C6D">
        <w:t>Appendix 10. Model 9</w:t>
      </w:r>
      <w:r w:rsidR="005D1423">
        <w:t>—</w:t>
      </w:r>
      <w:r w:rsidRPr="001E0C6D">
        <w:t xml:space="preserve">GOS on </w:t>
      </w:r>
      <w:proofErr w:type="spellStart"/>
      <w:r w:rsidRPr="001E0C6D">
        <w:t>AbaF</w:t>
      </w:r>
      <w:proofErr w:type="spellEnd"/>
      <w:r w:rsidRPr="001E0C6D">
        <w:t xml:space="preserve"> sponsorship</w:t>
      </w:r>
      <w:bookmarkEnd w:id="175"/>
      <w:r w:rsidRPr="001E0C6D">
        <w:t xml:space="preserve"> regression</w:t>
      </w:r>
      <w:bookmarkEnd w:id="176"/>
      <w:bookmarkEnd w:id="177"/>
      <w:bookmarkEnd w:id="178"/>
    </w:p>
    <w:p w14:paraId="43C7595D" w14:textId="77777777" w:rsidR="005D1423" w:rsidRDefault="00E25A11" w:rsidP="00E25A11">
      <w:r w:rsidRPr="001E0C6D">
        <w:t xml:space="preserve">Summary R output below indicates that the linear regression model of GOS on estimated </w:t>
      </w:r>
      <w:proofErr w:type="spellStart"/>
      <w:r w:rsidRPr="001E0C6D">
        <w:t>AbaF</w:t>
      </w:r>
      <w:proofErr w:type="spellEnd"/>
      <w:r w:rsidRPr="001E0C6D">
        <w:t xml:space="preserve"> sponsorship is found to be significant (t = 9.215, p &lt; 0.001). The model suggests strong prediction levels (R2 adjusted = 0.913).</w:t>
      </w:r>
    </w:p>
    <w:p w14:paraId="51BC28E3" w14:textId="77777777" w:rsidR="00E25A11" w:rsidRPr="001E0C6D" w:rsidRDefault="00E25A11" w:rsidP="00E25A11">
      <w:r w:rsidRPr="001E0C6D">
        <w:t>However, diagnostic charts (Residuals vs Fitted, Normal Q–Q, Cook’s distance) indicate some potential issues with the fit of the model, which may affect the precision of estimates. This is to be expected considering that the regression was produced on nine data points.</w:t>
      </w:r>
    </w:p>
    <w:p w14:paraId="3A798014" w14:textId="77777777" w:rsidR="00E25A11" w:rsidRPr="001E0C6D" w:rsidRDefault="00E25A11" w:rsidP="00E25A11">
      <w:r w:rsidRPr="001E0C6D">
        <w:t>Summary R output of the model:</w:t>
      </w:r>
    </w:p>
    <w:p w14:paraId="62336385" w14:textId="77777777" w:rsidR="00E25A11" w:rsidRPr="001E0C6D" w:rsidRDefault="00E25A11" w:rsidP="00E25A11">
      <w:r w:rsidRPr="001E0C6D">
        <w:rPr>
          <w:noProof/>
          <w:lang w:eastAsia="zh-TW" w:bidi="hi-IN"/>
        </w:rPr>
        <w:drawing>
          <wp:inline distT="0" distB="0" distL="0" distR="0" wp14:anchorId="400BB078" wp14:editId="1B7DCCC7">
            <wp:extent cx="4322599" cy="2520000"/>
            <wp:effectExtent l="0" t="0" r="1905" b="0"/>
            <wp:docPr id="53" name="Picture 53" descr="Detailed statistical output for lm(formula = abaf.total.sponsor.m ~ gos15.16.m, data = final.data); with t = 9.215, p &lt; 0.001, R2 adjusted = 0.913. " title="Summary R output of model 9 — GOS on AbaF sponsorship regres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
                    <a:stretch>
                      <a:fillRect/>
                    </a:stretch>
                  </pic:blipFill>
                  <pic:spPr>
                    <a:xfrm>
                      <a:off x="0" y="0"/>
                      <a:ext cx="4322599" cy="2520000"/>
                    </a:xfrm>
                    <a:prstGeom prst="rect">
                      <a:avLst/>
                    </a:prstGeom>
                  </pic:spPr>
                </pic:pic>
              </a:graphicData>
            </a:graphic>
          </wp:inline>
        </w:drawing>
      </w:r>
    </w:p>
    <w:p w14:paraId="687DC081" w14:textId="77777777" w:rsidR="00E25A11" w:rsidRPr="001E0C6D" w:rsidRDefault="00E25A11" w:rsidP="00E25A11"/>
    <w:p w14:paraId="3B4EF0E0" w14:textId="77777777" w:rsidR="00E25A11" w:rsidRPr="001E0C6D" w:rsidRDefault="00E25A11" w:rsidP="00E25A11">
      <w:r w:rsidRPr="001E0C6D">
        <w:rPr>
          <w:noProof/>
          <w:lang w:eastAsia="zh-TW" w:bidi="hi-IN"/>
        </w:rPr>
        <w:drawing>
          <wp:inline distT="0" distB="0" distL="0" distR="0" wp14:anchorId="4425B852" wp14:editId="761D0D4F">
            <wp:extent cx="5730992" cy="3800398"/>
            <wp:effectExtent l="0" t="0" r="3175" b="0"/>
            <wp:docPr id="144" name="Picture 144" descr="This is a residuals versus fitted values plot. Mindful that the model and hence the plot are based on only nine values – broadly, the points appear to be randomly scattered. " title="Diagnostic chart residuals versus fitted valu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H:\Downloads\App 10 Fig 1.jpeg"/>
                    <pic:cNvPicPr>
                      <a:picLocks noChangeAspect="1" noChangeArrowheads="1"/>
                    </pic:cNvPicPr>
                  </pic:nvPicPr>
                  <pic:blipFill rotWithShape="1">
                    <a:blip r:embed="rId60">
                      <a:extLst>
                        <a:ext uri="{28A0092B-C50C-407E-A947-70E740481C1C}">
                          <a14:useLocalDpi xmlns:a14="http://schemas.microsoft.com/office/drawing/2010/main" val="0"/>
                        </a:ext>
                      </a:extLst>
                    </a:blip>
                    <a:srcRect/>
                    <a:stretch/>
                  </pic:blipFill>
                  <pic:spPr bwMode="auto">
                    <a:xfrm>
                      <a:off x="0" y="0"/>
                      <a:ext cx="5731510" cy="3800742"/>
                    </a:xfrm>
                    <a:prstGeom prst="rect">
                      <a:avLst/>
                    </a:prstGeom>
                    <a:noFill/>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inline>
        </w:drawing>
      </w:r>
    </w:p>
    <w:p w14:paraId="5E7B9D4F" w14:textId="77777777" w:rsidR="00E25A11" w:rsidRPr="001E0C6D" w:rsidRDefault="00E25A11" w:rsidP="00E25A11">
      <w:r w:rsidRPr="001E0C6D">
        <w:rPr>
          <w:noProof/>
          <w:lang w:eastAsia="zh-TW" w:bidi="hi-IN"/>
        </w:rPr>
        <w:drawing>
          <wp:inline distT="0" distB="0" distL="0" distR="0" wp14:anchorId="539482A3" wp14:editId="036499A2">
            <wp:extent cx="5730992" cy="3811549"/>
            <wp:effectExtent l="0" t="0" r="3175" b="0"/>
            <wp:docPr id="145" name="Picture 145" descr="This is a normal Q-Q plot. Broadly, the points are following the normality line. Whereby, most of the points are just below the line. " title="Diagnostic chart – Normal Q-Q pl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H:\Downloads\App 10 Fig 2.jpeg"/>
                    <pic:cNvPicPr>
                      <a:picLocks noChangeAspect="1" noChangeArrowheads="1"/>
                    </pic:cNvPicPr>
                  </pic:nvPicPr>
                  <pic:blipFill rotWithShape="1">
                    <a:blip r:embed="rId61">
                      <a:extLst>
                        <a:ext uri="{28A0092B-C50C-407E-A947-70E740481C1C}">
                          <a14:useLocalDpi xmlns:a14="http://schemas.microsoft.com/office/drawing/2010/main" val="0"/>
                        </a:ext>
                      </a:extLst>
                    </a:blip>
                    <a:srcRect/>
                    <a:stretch/>
                  </pic:blipFill>
                  <pic:spPr bwMode="auto">
                    <a:xfrm>
                      <a:off x="0" y="0"/>
                      <a:ext cx="5731510" cy="3811894"/>
                    </a:xfrm>
                    <a:prstGeom prst="rect">
                      <a:avLst/>
                    </a:prstGeom>
                    <a:noFill/>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inline>
        </w:drawing>
      </w:r>
    </w:p>
    <w:p w14:paraId="474EDB08" w14:textId="77777777" w:rsidR="00E25A11" w:rsidRPr="001E0C6D" w:rsidRDefault="00E25A11" w:rsidP="00E25A11">
      <w:r w:rsidRPr="001E0C6D">
        <w:rPr>
          <w:noProof/>
          <w:lang w:eastAsia="zh-TW" w:bidi="hi-IN"/>
        </w:rPr>
        <w:drawing>
          <wp:inline distT="0" distB="0" distL="0" distR="0" wp14:anchorId="45669D57" wp14:editId="0CAEE302">
            <wp:extent cx="5730875" cy="3811472"/>
            <wp:effectExtent l="0" t="0" r="3175" b="0"/>
            <wp:docPr id="146" name="Picture 146" descr="The largest value reaches up to 0.60, with second and third largest under 0.4 and 0.3." title="Cook’s distance pl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H:\Downloads\App 10 Fig 3.jpeg"/>
                    <pic:cNvPicPr>
                      <a:picLocks noChangeAspect="1" noChangeArrowheads="1"/>
                    </pic:cNvPicPr>
                  </pic:nvPicPr>
                  <pic:blipFill rotWithShape="1">
                    <a:blip r:embed="rId62">
                      <a:extLst>
                        <a:ext uri="{28A0092B-C50C-407E-A947-70E740481C1C}">
                          <a14:useLocalDpi xmlns:a14="http://schemas.microsoft.com/office/drawing/2010/main" val="0"/>
                        </a:ext>
                      </a:extLst>
                    </a:blip>
                    <a:srcRect/>
                    <a:stretch/>
                  </pic:blipFill>
                  <pic:spPr bwMode="auto">
                    <a:xfrm>
                      <a:off x="0" y="0"/>
                      <a:ext cx="5731510" cy="3811894"/>
                    </a:xfrm>
                    <a:prstGeom prst="rect">
                      <a:avLst/>
                    </a:prstGeom>
                    <a:noFill/>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inline>
        </w:drawing>
      </w:r>
    </w:p>
    <w:p w14:paraId="37359AFF" w14:textId="77777777" w:rsidR="00E25A11" w:rsidRPr="001E0C6D" w:rsidRDefault="00E25A11" w:rsidP="00E25A11"/>
    <w:p w14:paraId="1E88015B" w14:textId="77777777" w:rsidR="00E25A11" w:rsidRDefault="00E25A11" w:rsidP="00E25A11">
      <w:pPr>
        <w:pStyle w:val="Heading2"/>
        <w:sectPr w:rsidR="00E25A11" w:rsidSect="009D5F3C">
          <w:headerReference w:type="default" r:id="rId63"/>
          <w:footerReference w:type="default" r:id="rId64"/>
          <w:headerReference w:type="first" r:id="rId65"/>
          <w:footerReference w:type="first" r:id="rId66"/>
          <w:pgSz w:w="11906" w:h="16838"/>
          <w:pgMar w:top="1440" w:right="1133" w:bottom="1440" w:left="1440" w:header="454" w:footer="397" w:gutter="0"/>
          <w:cols w:space="708"/>
          <w:titlePg/>
          <w:docGrid w:linePitch="360"/>
        </w:sectPr>
      </w:pPr>
      <w:bookmarkStart w:id="179" w:name="_Toc486261330"/>
    </w:p>
    <w:p w14:paraId="62A8B5EE" w14:textId="347DEED9" w:rsidR="00E25A11" w:rsidRPr="001E0C6D" w:rsidRDefault="00E25A11" w:rsidP="00E25A11">
      <w:pPr>
        <w:pStyle w:val="Heading2"/>
      </w:pPr>
      <w:bookmarkStart w:id="180" w:name="_Toc486319753"/>
      <w:r w:rsidRPr="001E0C6D">
        <w:t>Endnotes</w:t>
      </w:r>
      <w:bookmarkEnd w:id="7"/>
      <w:bookmarkEnd w:id="179"/>
      <w:bookmarkEnd w:id="180"/>
    </w:p>
    <w:sectPr w:rsidR="00E25A11" w:rsidRPr="001E0C6D" w:rsidSect="000248E0">
      <w:pgSz w:w="11906" w:h="16838"/>
      <w:pgMar w:top="1440" w:right="1133" w:bottom="1440" w:left="1440" w:header="0" w:footer="39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617A456" w14:textId="77777777" w:rsidR="00931269" w:rsidRDefault="00931269" w:rsidP="003F0A2D">
      <w:pPr>
        <w:spacing w:after="0"/>
      </w:pPr>
      <w:r>
        <w:separator/>
      </w:r>
    </w:p>
  </w:endnote>
  <w:endnote w:type="continuationSeparator" w:id="0">
    <w:p w14:paraId="6889A472" w14:textId="77777777" w:rsidR="00931269" w:rsidRDefault="00931269" w:rsidP="003F0A2D">
      <w:pPr>
        <w:spacing w:after="0"/>
      </w:pPr>
      <w:r>
        <w:continuationSeparator/>
      </w:r>
    </w:p>
  </w:endnote>
  <w:endnote w:id="1">
    <w:p w14:paraId="27A48CA0" w14:textId="77777777" w:rsidR="00931269" w:rsidRDefault="00931269" w:rsidP="005700B7">
      <w:pPr>
        <w:spacing w:after="0"/>
        <w:rPr>
          <w:rStyle w:val="Hyperlink"/>
          <w:rFonts w:eastAsia="Times New Roman" w:cs="Times New Roman"/>
          <w:i/>
          <w:sz w:val="21"/>
          <w:szCs w:val="21"/>
          <w:lang w:eastAsia="en-AU"/>
        </w:rPr>
      </w:pPr>
      <w:r w:rsidRPr="00CE49F6">
        <w:rPr>
          <w:rStyle w:val="EndnoteReference"/>
          <w:color w:val="000000" w:themeColor="text1"/>
          <w:sz w:val="21"/>
          <w:szCs w:val="21"/>
        </w:rPr>
        <w:endnoteRef/>
      </w:r>
      <w:r w:rsidRPr="00CE49F6">
        <w:rPr>
          <w:color w:val="000000" w:themeColor="text1"/>
          <w:sz w:val="21"/>
          <w:szCs w:val="21"/>
        </w:rPr>
        <w:t xml:space="preserve"> </w:t>
      </w:r>
      <w:r w:rsidRPr="00CE49F6">
        <w:rPr>
          <w:rFonts w:cs="Helvetica"/>
          <w:color w:val="000000" w:themeColor="text1"/>
          <w:spacing w:val="4"/>
          <w:sz w:val="21"/>
          <w:szCs w:val="21"/>
          <w:shd w:val="clear" w:color="auto" w:fill="FCFCFC"/>
        </w:rPr>
        <w:t xml:space="preserve">Mitchell, Harold (Chair) (2011), </w:t>
      </w:r>
      <w:r w:rsidRPr="00CE49F6">
        <w:rPr>
          <w:rFonts w:cs="Helvetica"/>
          <w:i/>
          <w:color w:val="000000" w:themeColor="text1"/>
          <w:spacing w:val="4"/>
          <w:sz w:val="21"/>
          <w:szCs w:val="21"/>
          <w:shd w:val="clear" w:color="auto" w:fill="FCFCFC"/>
        </w:rPr>
        <w:t>Building Support: Report of the Review of Private Sector Support for the Arts in Australia</w:t>
      </w:r>
      <w:r w:rsidRPr="00CE49F6">
        <w:rPr>
          <w:rFonts w:cs="Helvetica"/>
          <w:color w:val="000000" w:themeColor="text1"/>
          <w:spacing w:val="4"/>
          <w:sz w:val="21"/>
          <w:szCs w:val="21"/>
          <w:shd w:val="clear" w:color="auto" w:fill="FCFCFC"/>
        </w:rPr>
        <w:t xml:space="preserve">, Canberra. Accessed 27 September 2016, available at </w:t>
      </w:r>
      <w:hyperlink r:id="rId1" w:history="1">
        <w:r w:rsidRPr="00CE49F6">
          <w:rPr>
            <w:rStyle w:val="Hyperlink"/>
            <w:rFonts w:eastAsia="Times New Roman" w:cs="Times New Roman"/>
            <w:i/>
            <w:sz w:val="21"/>
            <w:szCs w:val="21"/>
            <w:lang w:eastAsia="en-AU"/>
          </w:rPr>
          <w:t>https://www.arts.gov.au/file/2861/download?token=jupQq7uK</w:t>
        </w:r>
      </w:hyperlink>
    </w:p>
    <w:p w14:paraId="6EB38CAC" w14:textId="77777777" w:rsidR="00931269" w:rsidRPr="00CE49F6" w:rsidRDefault="00931269" w:rsidP="005700B7">
      <w:pPr>
        <w:spacing w:after="0"/>
        <w:rPr>
          <w:rFonts w:eastAsia="Times New Roman" w:cs="Times New Roman"/>
          <w:i/>
          <w:color w:val="000000" w:themeColor="text1"/>
          <w:sz w:val="21"/>
          <w:szCs w:val="21"/>
          <w:u w:val="single"/>
          <w:lang w:eastAsia="en-AU"/>
        </w:rPr>
      </w:pPr>
    </w:p>
  </w:endnote>
  <w:endnote w:id="2">
    <w:p w14:paraId="79288550" w14:textId="77777777" w:rsidR="00931269" w:rsidRPr="00CE49F6" w:rsidRDefault="00931269" w:rsidP="001061E5">
      <w:pPr>
        <w:pStyle w:val="EndnoteText"/>
        <w:rPr>
          <w:color w:val="000000" w:themeColor="text1"/>
          <w:sz w:val="21"/>
          <w:szCs w:val="21"/>
        </w:rPr>
      </w:pPr>
      <w:r w:rsidRPr="00CE49F6">
        <w:rPr>
          <w:rStyle w:val="EndnoteReference"/>
          <w:color w:val="000000" w:themeColor="text1"/>
          <w:sz w:val="21"/>
          <w:szCs w:val="21"/>
        </w:rPr>
        <w:endnoteRef/>
      </w:r>
      <w:r w:rsidRPr="00CE49F6">
        <w:rPr>
          <w:color w:val="000000" w:themeColor="text1"/>
          <w:sz w:val="21"/>
          <w:szCs w:val="21"/>
        </w:rPr>
        <w:t xml:space="preserve"> Ibid.</w:t>
      </w:r>
    </w:p>
    <w:p w14:paraId="228F3E62" w14:textId="77777777" w:rsidR="00931269" w:rsidRPr="00CE49F6" w:rsidRDefault="00931269" w:rsidP="001061E5">
      <w:pPr>
        <w:pStyle w:val="EndnoteText"/>
        <w:rPr>
          <w:color w:val="000000" w:themeColor="text1"/>
          <w:sz w:val="21"/>
          <w:szCs w:val="21"/>
        </w:rPr>
      </w:pPr>
    </w:p>
  </w:endnote>
  <w:endnote w:id="3">
    <w:p w14:paraId="6C58F3DD" w14:textId="77777777" w:rsidR="00931269" w:rsidRDefault="00931269" w:rsidP="001061E5">
      <w:pPr>
        <w:pStyle w:val="FootnoteText"/>
        <w:rPr>
          <w:color w:val="000000" w:themeColor="text1"/>
          <w:sz w:val="21"/>
          <w:szCs w:val="21"/>
        </w:rPr>
      </w:pPr>
      <w:r w:rsidRPr="00CE49F6">
        <w:rPr>
          <w:rStyle w:val="EndnoteReference"/>
          <w:color w:val="000000" w:themeColor="text1"/>
          <w:sz w:val="21"/>
          <w:szCs w:val="21"/>
        </w:rPr>
        <w:endnoteRef/>
      </w:r>
      <w:r w:rsidRPr="00CE49F6">
        <w:rPr>
          <w:color w:val="000000" w:themeColor="text1"/>
          <w:sz w:val="21"/>
          <w:szCs w:val="21"/>
        </w:rPr>
        <w:t xml:space="preserve"> Statistics Canada (2013), </w:t>
      </w:r>
      <w:r w:rsidRPr="00CE49F6">
        <w:rPr>
          <w:i/>
          <w:color w:val="000000" w:themeColor="text1"/>
          <w:sz w:val="21"/>
          <w:szCs w:val="21"/>
        </w:rPr>
        <w:t>Charitable Giving in Canada</w:t>
      </w:r>
      <w:r w:rsidRPr="00CE49F6">
        <w:rPr>
          <w:color w:val="000000" w:themeColor="text1"/>
          <w:sz w:val="21"/>
          <w:szCs w:val="21"/>
        </w:rPr>
        <w:t xml:space="preserve">: </w:t>
      </w:r>
      <w:r w:rsidRPr="00CE49F6">
        <w:rPr>
          <w:i/>
          <w:color w:val="000000" w:themeColor="text1"/>
          <w:sz w:val="21"/>
          <w:szCs w:val="21"/>
        </w:rPr>
        <w:t>2013, General Social Survey – Giving, Volunteering and Participating</w:t>
      </w:r>
      <w:r w:rsidRPr="00CE49F6">
        <w:rPr>
          <w:color w:val="000000" w:themeColor="text1"/>
          <w:sz w:val="21"/>
          <w:szCs w:val="21"/>
        </w:rPr>
        <w:t>. Accessed 23 May 2017, available at</w:t>
      </w:r>
    </w:p>
    <w:p w14:paraId="2B906351" w14:textId="77777777" w:rsidR="00931269" w:rsidRPr="00CE49F6" w:rsidRDefault="00ED08CC" w:rsidP="001061E5">
      <w:pPr>
        <w:pStyle w:val="FootnoteText"/>
        <w:rPr>
          <w:i/>
          <w:color w:val="000000" w:themeColor="text1"/>
          <w:sz w:val="21"/>
          <w:szCs w:val="21"/>
        </w:rPr>
      </w:pPr>
      <w:hyperlink r:id="rId2" w:history="1">
        <w:r w:rsidR="00931269" w:rsidRPr="00CE49F6">
          <w:rPr>
            <w:rStyle w:val="Hyperlink"/>
            <w:i/>
            <w:sz w:val="21"/>
            <w:szCs w:val="21"/>
          </w:rPr>
          <w:t>http://www.statcan.gc.ca/pub/89-652-x/2015008/t/tbl03-eng.htm</w:t>
        </w:r>
      </w:hyperlink>
    </w:p>
    <w:p w14:paraId="5D3EE1FB" w14:textId="77777777" w:rsidR="00931269" w:rsidRPr="00CE49F6" w:rsidRDefault="00931269" w:rsidP="001061E5">
      <w:pPr>
        <w:pStyle w:val="FootnoteText"/>
        <w:rPr>
          <w:i/>
          <w:color w:val="000000" w:themeColor="text1"/>
          <w:sz w:val="21"/>
          <w:szCs w:val="21"/>
        </w:rPr>
      </w:pPr>
    </w:p>
  </w:endnote>
  <w:endnote w:id="4">
    <w:p w14:paraId="507045EE" w14:textId="77777777" w:rsidR="00931269" w:rsidRPr="00CE49F6" w:rsidRDefault="00931269" w:rsidP="001061E5">
      <w:pPr>
        <w:pStyle w:val="FootnoteText"/>
        <w:rPr>
          <w:sz w:val="21"/>
          <w:szCs w:val="21"/>
        </w:rPr>
      </w:pPr>
      <w:r w:rsidRPr="00CE49F6">
        <w:rPr>
          <w:rStyle w:val="EndnoteReference"/>
          <w:color w:val="000000" w:themeColor="text1"/>
          <w:sz w:val="21"/>
          <w:szCs w:val="21"/>
        </w:rPr>
        <w:endnoteRef/>
      </w:r>
      <w:r w:rsidRPr="00CE49F6">
        <w:rPr>
          <w:color w:val="000000" w:themeColor="text1"/>
          <w:sz w:val="21"/>
          <w:szCs w:val="21"/>
        </w:rPr>
        <w:t xml:space="preserve"> Giving USA Foundation (2016), </w:t>
      </w:r>
      <w:r w:rsidRPr="00CE49F6">
        <w:rPr>
          <w:i/>
          <w:color w:val="000000" w:themeColor="text1"/>
          <w:sz w:val="21"/>
          <w:szCs w:val="21"/>
        </w:rPr>
        <w:t>Data Tables for Charts in the Numbers</w:t>
      </w:r>
      <w:r w:rsidRPr="00CE49F6">
        <w:rPr>
          <w:color w:val="000000" w:themeColor="text1"/>
          <w:sz w:val="21"/>
          <w:szCs w:val="21"/>
        </w:rPr>
        <w:t>,</w:t>
      </w:r>
      <w:r w:rsidRPr="00CE49F6">
        <w:rPr>
          <w:i/>
          <w:color w:val="000000" w:themeColor="text1"/>
          <w:sz w:val="21"/>
          <w:szCs w:val="21"/>
        </w:rPr>
        <w:t xml:space="preserve"> </w:t>
      </w:r>
      <w:r w:rsidRPr="00CE49F6">
        <w:rPr>
          <w:color w:val="000000" w:themeColor="text1"/>
          <w:sz w:val="21"/>
          <w:szCs w:val="21"/>
        </w:rPr>
        <w:t xml:space="preserve">Contributions by type of recipient organisation, 1975-2015. Accessed 9 May 2017, available at </w:t>
      </w:r>
      <w:hyperlink r:id="rId3" w:history="1">
        <w:r w:rsidRPr="00CE49F6">
          <w:rPr>
            <w:rStyle w:val="Hyperlink"/>
            <w:sz w:val="21"/>
            <w:szCs w:val="21"/>
          </w:rPr>
          <w:t>https://store.givingusa.org/collections/data-tables</w:t>
        </w:r>
      </w:hyperlink>
    </w:p>
    <w:p w14:paraId="7E379CF0" w14:textId="77777777" w:rsidR="00931269" w:rsidRPr="00CE49F6" w:rsidRDefault="00931269" w:rsidP="001061E5">
      <w:pPr>
        <w:pStyle w:val="EndnoteText"/>
        <w:rPr>
          <w:sz w:val="21"/>
          <w:szCs w:val="21"/>
        </w:rPr>
      </w:pPr>
    </w:p>
  </w:endnote>
  <w:endnote w:id="5">
    <w:p w14:paraId="368CAF74" w14:textId="77777777" w:rsidR="00931269" w:rsidRDefault="00931269" w:rsidP="001061E5">
      <w:pPr>
        <w:pStyle w:val="FootnoteText"/>
        <w:rPr>
          <w:color w:val="000000" w:themeColor="text1"/>
          <w:sz w:val="21"/>
          <w:szCs w:val="21"/>
        </w:rPr>
      </w:pPr>
      <w:r w:rsidRPr="00CE49F6">
        <w:rPr>
          <w:rStyle w:val="EndnoteReference"/>
          <w:color w:val="000000" w:themeColor="text1"/>
          <w:sz w:val="21"/>
          <w:szCs w:val="21"/>
        </w:rPr>
        <w:endnoteRef/>
      </w:r>
      <w:r w:rsidRPr="00CE49F6">
        <w:rPr>
          <w:color w:val="000000" w:themeColor="text1"/>
          <w:sz w:val="21"/>
          <w:szCs w:val="21"/>
        </w:rPr>
        <w:t xml:space="preserve"> Giving USA Foundation (2016), </w:t>
      </w:r>
      <w:r w:rsidRPr="00CE49F6">
        <w:rPr>
          <w:i/>
          <w:color w:val="000000" w:themeColor="text1"/>
          <w:sz w:val="21"/>
          <w:szCs w:val="21"/>
        </w:rPr>
        <w:t>Giving USA 2016: The Annual Report on Philanthropy for the Year 2015 Digital Package</w:t>
      </w:r>
      <w:r w:rsidRPr="00CE49F6">
        <w:rPr>
          <w:color w:val="000000" w:themeColor="text1"/>
          <w:sz w:val="21"/>
          <w:szCs w:val="21"/>
        </w:rPr>
        <w:t>,</w:t>
      </w:r>
      <w:r w:rsidRPr="00CE49F6">
        <w:rPr>
          <w:i/>
          <w:color w:val="000000" w:themeColor="text1"/>
          <w:sz w:val="21"/>
          <w:szCs w:val="21"/>
        </w:rPr>
        <w:t xml:space="preserve"> </w:t>
      </w:r>
      <w:r w:rsidRPr="00CE49F6">
        <w:rPr>
          <w:color w:val="000000" w:themeColor="text1"/>
          <w:sz w:val="21"/>
          <w:szCs w:val="21"/>
        </w:rPr>
        <w:t>p.133</w:t>
      </w:r>
      <w:r w:rsidRPr="00CE49F6">
        <w:rPr>
          <w:i/>
          <w:color w:val="000000" w:themeColor="text1"/>
          <w:sz w:val="21"/>
          <w:szCs w:val="21"/>
        </w:rPr>
        <w:t xml:space="preserve">. </w:t>
      </w:r>
      <w:r w:rsidRPr="00CE49F6">
        <w:rPr>
          <w:color w:val="000000" w:themeColor="text1"/>
          <w:sz w:val="21"/>
          <w:szCs w:val="21"/>
        </w:rPr>
        <w:t xml:space="preserve">Accessed 9 May 2017, available at </w:t>
      </w:r>
      <w:hyperlink r:id="rId4" w:history="1">
        <w:r w:rsidRPr="00CE49F6">
          <w:rPr>
            <w:rStyle w:val="Hyperlink"/>
            <w:sz w:val="21"/>
            <w:szCs w:val="21"/>
          </w:rPr>
          <w:t>https://store.givingusa.org/collections/older-versions/products/giving-usa-2016-the-annual-report-on-philanthropy-for-the-year-2015-digital-package?variant=34373342281</w:t>
        </w:r>
      </w:hyperlink>
    </w:p>
    <w:p w14:paraId="4E33D02E" w14:textId="77777777" w:rsidR="00931269" w:rsidRPr="00CE49F6" w:rsidRDefault="00931269" w:rsidP="001061E5">
      <w:pPr>
        <w:pStyle w:val="EndnoteText"/>
        <w:rPr>
          <w:sz w:val="21"/>
          <w:szCs w:val="21"/>
        </w:rPr>
      </w:pPr>
    </w:p>
  </w:endnote>
  <w:endnote w:id="6">
    <w:p w14:paraId="34C642CA" w14:textId="77777777" w:rsidR="00931269" w:rsidRPr="00CE49F6" w:rsidRDefault="00931269" w:rsidP="001061E5">
      <w:pPr>
        <w:pStyle w:val="EndnoteText"/>
        <w:rPr>
          <w:sz w:val="21"/>
          <w:szCs w:val="21"/>
        </w:rPr>
      </w:pPr>
      <w:r w:rsidRPr="00CE49F6">
        <w:rPr>
          <w:rStyle w:val="EndnoteReference"/>
          <w:sz w:val="21"/>
          <w:szCs w:val="21"/>
        </w:rPr>
        <w:endnoteRef/>
      </w:r>
      <w:r w:rsidRPr="00CE49F6">
        <w:rPr>
          <w:sz w:val="21"/>
          <w:szCs w:val="21"/>
        </w:rPr>
        <w:t xml:space="preserve"> Arts Council England (2016), </w:t>
      </w:r>
      <w:r w:rsidRPr="00CE49F6">
        <w:rPr>
          <w:i/>
          <w:sz w:val="21"/>
          <w:szCs w:val="21"/>
        </w:rPr>
        <w:t>Private Investment in Culture Survey</w:t>
      </w:r>
      <w:r w:rsidRPr="00CE49F6">
        <w:rPr>
          <w:sz w:val="21"/>
          <w:szCs w:val="21"/>
        </w:rPr>
        <w:t xml:space="preserve">. Accessed 25 May 2017, available at </w:t>
      </w:r>
      <w:hyperlink r:id="rId5" w:history="1">
        <w:r w:rsidRPr="00CE49F6">
          <w:rPr>
            <w:rStyle w:val="Hyperlink"/>
            <w:sz w:val="21"/>
            <w:szCs w:val="21"/>
          </w:rPr>
          <w:t>http://www.artscouncil.org.uk/publication/private-investment-culture-survey</w:t>
        </w:r>
      </w:hyperlink>
    </w:p>
    <w:p w14:paraId="34FCFD33" w14:textId="77777777" w:rsidR="00931269" w:rsidRPr="00CE49F6" w:rsidRDefault="00931269" w:rsidP="001061E5">
      <w:pPr>
        <w:pStyle w:val="EndnoteText"/>
        <w:rPr>
          <w:sz w:val="21"/>
          <w:szCs w:val="21"/>
        </w:rPr>
      </w:pPr>
    </w:p>
  </w:endnote>
  <w:endnote w:id="7">
    <w:p w14:paraId="688A61BF" w14:textId="77777777" w:rsidR="00931269" w:rsidRPr="00CE49F6" w:rsidRDefault="00931269" w:rsidP="004F024A">
      <w:pPr>
        <w:pStyle w:val="EndnoteText"/>
        <w:rPr>
          <w:rStyle w:val="Hyperlink"/>
          <w:rFonts w:eastAsia="Times New Roman" w:cs="Times New Roman"/>
          <w:i/>
          <w:sz w:val="21"/>
          <w:szCs w:val="21"/>
          <w:lang w:eastAsia="en-AU"/>
        </w:rPr>
      </w:pPr>
      <w:r w:rsidRPr="00CE49F6">
        <w:rPr>
          <w:rStyle w:val="EndnoteReference"/>
          <w:sz w:val="21"/>
          <w:szCs w:val="21"/>
        </w:rPr>
        <w:endnoteRef/>
      </w:r>
      <w:r w:rsidRPr="00CE49F6">
        <w:rPr>
          <w:sz w:val="21"/>
          <w:szCs w:val="21"/>
        </w:rPr>
        <w:t xml:space="preserve"> </w:t>
      </w:r>
      <w:r w:rsidRPr="00CE49F6">
        <w:rPr>
          <w:color w:val="000000" w:themeColor="text1"/>
          <w:sz w:val="21"/>
          <w:szCs w:val="21"/>
        </w:rPr>
        <w:t>Australian Major Performing Arts Group (2016),</w:t>
      </w:r>
      <w:r w:rsidRPr="00CE49F6">
        <w:rPr>
          <w:rFonts w:cs="Helvetica"/>
          <w:color w:val="000000" w:themeColor="text1"/>
          <w:spacing w:val="4"/>
          <w:sz w:val="21"/>
          <w:szCs w:val="21"/>
          <w:shd w:val="clear" w:color="auto" w:fill="FCFCFC"/>
        </w:rPr>
        <w:t xml:space="preserve"> </w:t>
      </w:r>
      <w:r w:rsidRPr="00CE49F6">
        <w:rPr>
          <w:rFonts w:cs="Helvetica"/>
          <w:i/>
          <w:color w:val="000000" w:themeColor="text1"/>
          <w:spacing w:val="4"/>
          <w:sz w:val="21"/>
          <w:szCs w:val="21"/>
          <w:shd w:val="clear" w:color="auto" w:fill="FCFCFC"/>
        </w:rPr>
        <w:t>Tracking Changes in Corporate Sponsorship and Donations 2015.</w:t>
      </w:r>
      <w:r w:rsidRPr="00CE49F6">
        <w:rPr>
          <w:rFonts w:cs="Helvetica"/>
          <w:color w:val="000000" w:themeColor="text1"/>
          <w:spacing w:val="4"/>
          <w:sz w:val="21"/>
          <w:szCs w:val="21"/>
          <w:shd w:val="clear" w:color="auto" w:fill="FCFCFC"/>
        </w:rPr>
        <w:t xml:space="preserve"> Accessed 19 October 2016, available at </w:t>
      </w:r>
      <w:hyperlink r:id="rId6" w:history="1">
        <w:r w:rsidRPr="00CE49F6">
          <w:rPr>
            <w:rStyle w:val="Hyperlink"/>
            <w:rFonts w:eastAsia="Times New Roman" w:cs="Times New Roman"/>
            <w:i/>
            <w:sz w:val="21"/>
            <w:szCs w:val="21"/>
            <w:lang w:eastAsia="en-AU"/>
          </w:rPr>
          <w:t>http://www.ampag.com.au/article/Surveys</w:t>
        </w:r>
      </w:hyperlink>
    </w:p>
    <w:p w14:paraId="1FD4BC86" w14:textId="77777777" w:rsidR="00931269" w:rsidRPr="00CE49F6" w:rsidRDefault="00931269" w:rsidP="004F024A">
      <w:pPr>
        <w:pStyle w:val="EndnoteText"/>
        <w:rPr>
          <w:sz w:val="21"/>
          <w:szCs w:val="21"/>
        </w:rPr>
      </w:pPr>
    </w:p>
  </w:endnote>
  <w:endnote w:id="8">
    <w:p w14:paraId="3F5115E1" w14:textId="77777777" w:rsidR="00931269" w:rsidRDefault="00931269" w:rsidP="00BD69B7">
      <w:pPr>
        <w:spacing w:after="0"/>
        <w:rPr>
          <w:rFonts w:cs="Helvetica"/>
          <w:color w:val="000000" w:themeColor="text1"/>
          <w:spacing w:val="4"/>
          <w:sz w:val="21"/>
          <w:szCs w:val="21"/>
          <w:shd w:val="clear" w:color="auto" w:fill="FCFCFC"/>
        </w:rPr>
      </w:pPr>
      <w:r w:rsidRPr="00CE49F6">
        <w:rPr>
          <w:rStyle w:val="EndnoteReference"/>
          <w:color w:val="000000" w:themeColor="text1"/>
          <w:sz w:val="21"/>
          <w:szCs w:val="21"/>
        </w:rPr>
        <w:endnoteRef/>
      </w:r>
      <w:r w:rsidRPr="00CE49F6">
        <w:rPr>
          <w:color w:val="000000" w:themeColor="text1"/>
          <w:sz w:val="21"/>
          <w:szCs w:val="21"/>
        </w:rPr>
        <w:t xml:space="preserve"> </w:t>
      </w:r>
      <w:r w:rsidRPr="00CE49F6">
        <w:rPr>
          <w:rFonts w:cs="Helvetica"/>
          <w:color w:val="000000" w:themeColor="text1"/>
          <w:spacing w:val="4"/>
          <w:sz w:val="21"/>
          <w:szCs w:val="21"/>
          <w:shd w:val="clear" w:color="auto" w:fill="FCFCFC"/>
        </w:rPr>
        <w:t xml:space="preserve">LeClair, Mark S., and Kelly Gordon (2000), ‘Corporate Support for Artistic and Cultural Activities: What Determines the Distribution of Corporate Giving?’, </w:t>
      </w:r>
      <w:r w:rsidRPr="00CE49F6">
        <w:rPr>
          <w:rFonts w:cs="Helvetica"/>
          <w:i/>
          <w:color w:val="000000" w:themeColor="text1"/>
          <w:spacing w:val="4"/>
          <w:sz w:val="21"/>
          <w:szCs w:val="21"/>
          <w:shd w:val="clear" w:color="auto" w:fill="FCFCFC"/>
        </w:rPr>
        <w:t>Journal of Cultural Economics</w:t>
      </w:r>
      <w:r w:rsidRPr="00CE49F6">
        <w:rPr>
          <w:rFonts w:cs="Helvetica"/>
          <w:color w:val="000000" w:themeColor="text1"/>
          <w:spacing w:val="4"/>
          <w:sz w:val="21"/>
          <w:szCs w:val="21"/>
          <w:shd w:val="clear" w:color="auto" w:fill="FCFCFC"/>
        </w:rPr>
        <w:t>, vol. 24, pp. 225–241.</w:t>
      </w:r>
    </w:p>
    <w:p w14:paraId="24C1313B" w14:textId="77777777" w:rsidR="00931269" w:rsidRPr="00CE49F6" w:rsidRDefault="00931269" w:rsidP="00BD69B7">
      <w:pPr>
        <w:spacing w:after="0"/>
        <w:rPr>
          <w:rFonts w:cs="Helvetica"/>
          <w:color w:val="000000" w:themeColor="text1"/>
          <w:spacing w:val="4"/>
          <w:sz w:val="21"/>
          <w:szCs w:val="21"/>
          <w:shd w:val="clear" w:color="auto" w:fill="FCFCFC"/>
        </w:rPr>
      </w:pPr>
    </w:p>
  </w:endnote>
  <w:endnote w:id="9">
    <w:p w14:paraId="228A6BC4" w14:textId="77777777" w:rsidR="00931269" w:rsidRPr="00CE49F6" w:rsidRDefault="00931269" w:rsidP="00BD69B7">
      <w:pPr>
        <w:spacing w:after="0"/>
        <w:rPr>
          <w:rFonts w:cs="Helvetica"/>
          <w:color w:val="000000" w:themeColor="text1"/>
          <w:spacing w:val="4"/>
          <w:sz w:val="21"/>
          <w:szCs w:val="21"/>
          <w:shd w:val="clear" w:color="auto" w:fill="FCFCFC"/>
        </w:rPr>
      </w:pPr>
      <w:r w:rsidRPr="00CE49F6">
        <w:rPr>
          <w:rStyle w:val="EndnoteReference"/>
          <w:color w:val="000000" w:themeColor="text1"/>
          <w:sz w:val="21"/>
          <w:szCs w:val="21"/>
        </w:rPr>
        <w:endnoteRef/>
      </w:r>
      <w:r w:rsidRPr="00CE49F6">
        <w:rPr>
          <w:color w:val="000000" w:themeColor="text1"/>
          <w:sz w:val="21"/>
          <w:szCs w:val="21"/>
        </w:rPr>
        <w:t xml:space="preserve"> </w:t>
      </w:r>
      <w:r w:rsidRPr="00CE49F6">
        <w:rPr>
          <w:rFonts w:cs="Helvetica"/>
          <w:color w:val="000000" w:themeColor="text1"/>
          <w:spacing w:val="4"/>
          <w:sz w:val="21"/>
          <w:szCs w:val="21"/>
          <w:shd w:val="clear" w:color="auto" w:fill="FCFCFC"/>
        </w:rPr>
        <w:t xml:space="preserve">Johnson, </w:t>
      </w:r>
      <w:proofErr w:type="spellStart"/>
      <w:r w:rsidRPr="00CE49F6">
        <w:rPr>
          <w:rFonts w:cs="Helvetica"/>
          <w:color w:val="000000" w:themeColor="text1"/>
          <w:spacing w:val="4"/>
          <w:sz w:val="21"/>
          <w:szCs w:val="21"/>
          <w:shd w:val="clear" w:color="auto" w:fill="FCFCFC"/>
        </w:rPr>
        <w:t>Orace</w:t>
      </w:r>
      <w:proofErr w:type="spellEnd"/>
      <w:r w:rsidRPr="00CE49F6">
        <w:rPr>
          <w:rFonts w:cs="Helvetica"/>
          <w:color w:val="000000" w:themeColor="text1"/>
          <w:spacing w:val="4"/>
          <w:sz w:val="21"/>
          <w:szCs w:val="21"/>
          <w:shd w:val="clear" w:color="auto" w:fill="FCFCFC"/>
        </w:rPr>
        <w:t xml:space="preserve"> (1966), ‘Corporate Philanthropy: An Analysis of Corporate Contributions’, </w:t>
      </w:r>
      <w:r w:rsidRPr="00CE49F6">
        <w:rPr>
          <w:rFonts w:cs="Helvetica"/>
          <w:i/>
          <w:color w:val="000000" w:themeColor="text1"/>
          <w:spacing w:val="4"/>
          <w:sz w:val="21"/>
          <w:szCs w:val="21"/>
          <w:shd w:val="clear" w:color="auto" w:fill="FCFCFC"/>
        </w:rPr>
        <w:t>The Journal of Business</w:t>
      </w:r>
      <w:r w:rsidRPr="00CE49F6">
        <w:rPr>
          <w:rFonts w:cs="Helvetica"/>
          <w:color w:val="000000" w:themeColor="text1"/>
          <w:spacing w:val="4"/>
          <w:sz w:val="21"/>
          <w:szCs w:val="21"/>
          <w:shd w:val="clear" w:color="auto" w:fill="FCFCFC"/>
        </w:rPr>
        <w:t>, vol. 39, no.4, pp. 489–504.</w:t>
      </w:r>
    </w:p>
    <w:p w14:paraId="3355150C" w14:textId="77777777" w:rsidR="00931269" w:rsidRPr="00CE49F6" w:rsidRDefault="00931269" w:rsidP="00BD69B7">
      <w:pPr>
        <w:spacing w:after="0"/>
        <w:rPr>
          <w:rFonts w:cs="Helvetica"/>
          <w:color w:val="000000" w:themeColor="text1"/>
          <w:spacing w:val="4"/>
          <w:sz w:val="21"/>
          <w:szCs w:val="21"/>
          <w:shd w:val="clear" w:color="auto" w:fill="FCFCFC"/>
        </w:rPr>
      </w:pPr>
    </w:p>
  </w:endnote>
  <w:endnote w:id="10">
    <w:p w14:paraId="621534D7" w14:textId="77777777" w:rsidR="00931269" w:rsidRDefault="00931269" w:rsidP="00BD69B7">
      <w:pPr>
        <w:spacing w:after="0"/>
        <w:rPr>
          <w:rFonts w:cs="Helvetica"/>
          <w:color w:val="000000" w:themeColor="text1"/>
          <w:spacing w:val="4"/>
          <w:sz w:val="21"/>
          <w:szCs w:val="21"/>
          <w:shd w:val="clear" w:color="auto" w:fill="FCFCFC"/>
        </w:rPr>
      </w:pPr>
      <w:r w:rsidRPr="00CE49F6">
        <w:rPr>
          <w:rStyle w:val="EndnoteReference"/>
          <w:color w:val="000000" w:themeColor="text1"/>
          <w:sz w:val="21"/>
          <w:szCs w:val="21"/>
        </w:rPr>
        <w:endnoteRef/>
      </w:r>
      <w:r w:rsidRPr="00CE49F6">
        <w:rPr>
          <w:color w:val="000000" w:themeColor="text1"/>
          <w:sz w:val="21"/>
          <w:szCs w:val="21"/>
        </w:rPr>
        <w:t xml:space="preserve"> </w:t>
      </w:r>
      <w:proofErr w:type="spellStart"/>
      <w:r w:rsidRPr="00CE49F6">
        <w:rPr>
          <w:rFonts w:cs="Helvetica"/>
          <w:color w:val="000000" w:themeColor="text1"/>
          <w:spacing w:val="4"/>
          <w:sz w:val="21"/>
          <w:szCs w:val="21"/>
          <w:shd w:val="clear" w:color="auto" w:fill="FCFCFC"/>
        </w:rPr>
        <w:t>Useem</w:t>
      </w:r>
      <w:proofErr w:type="spellEnd"/>
      <w:r w:rsidRPr="00CE49F6">
        <w:rPr>
          <w:rFonts w:cs="Helvetica"/>
          <w:color w:val="000000" w:themeColor="text1"/>
          <w:spacing w:val="4"/>
          <w:sz w:val="21"/>
          <w:szCs w:val="21"/>
          <w:shd w:val="clear" w:color="auto" w:fill="FCFCFC"/>
        </w:rPr>
        <w:t xml:space="preserve">, Michael (1988), ‘Market and Institutional Factors in Corporate Contributions’, </w:t>
      </w:r>
      <w:r w:rsidRPr="00CE49F6">
        <w:rPr>
          <w:rFonts w:cs="Helvetica"/>
          <w:i/>
          <w:color w:val="000000" w:themeColor="text1"/>
          <w:spacing w:val="4"/>
          <w:sz w:val="21"/>
          <w:szCs w:val="21"/>
          <w:shd w:val="clear" w:color="auto" w:fill="FCFCFC"/>
        </w:rPr>
        <w:t>California Management Review</w:t>
      </w:r>
      <w:r w:rsidRPr="00CE49F6">
        <w:rPr>
          <w:rFonts w:cs="Helvetica"/>
          <w:color w:val="000000" w:themeColor="text1"/>
          <w:spacing w:val="4"/>
          <w:sz w:val="21"/>
          <w:szCs w:val="21"/>
          <w:shd w:val="clear" w:color="auto" w:fill="FCFCFC"/>
        </w:rPr>
        <w:t>, vol. 30, no. 2, pp. 77–88.</w:t>
      </w:r>
    </w:p>
    <w:p w14:paraId="629900E2" w14:textId="77777777" w:rsidR="00931269" w:rsidRPr="00CE49F6" w:rsidRDefault="00931269" w:rsidP="00BD69B7">
      <w:pPr>
        <w:spacing w:after="0"/>
        <w:rPr>
          <w:rFonts w:cs="Helvetica"/>
          <w:color w:val="000000" w:themeColor="text1"/>
          <w:spacing w:val="4"/>
          <w:sz w:val="21"/>
          <w:szCs w:val="21"/>
          <w:shd w:val="clear" w:color="auto" w:fill="FCFCFC"/>
        </w:rPr>
      </w:pPr>
    </w:p>
  </w:endnote>
  <w:endnote w:id="11">
    <w:p w14:paraId="22C3C3B5" w14:textId="77777777" w:rsidR="00931269" w:rsidRPr="00CE49F6" w:rsidRDefault="00931269" w:rsidP="00E25A11">
      <w:pPr>
        <w:spacing w:after="0"/>
        <w:rPr>
          <w:rStyle w:val="Hyperlink"/>
          <w:rFonts w:eastAsia="Times New Roman" w:cs="Times New Roman"/>
          <w:i/>
          <w:sz w:val="21"/>
          <w:szCs w:val="21"/>
          <w:lang w:eastAsia="en-AU"/>
        </w:rPr>
      </w:pPr>
      <w:r w:rsidRPr="00CE49F6">
        <w:rPr>
          <w:rStyle w:val="EndnoteReference"/>
          <w:color w:val="000000" w:themeColor="text1"/>
          <w:sz w:val="21"/>
          <w:szCs w:val="21"/>
        </w:rPr>
        <w:endnoteRef/>
      </w:r>
      <w:r w:rsidRPr="00CE49F6">
        <w:rPr>
          <w:color w:val="000000" w:themeColor="text1"/>
          <w:sz w:val="21"/>
          <w:szCs w:val="21"/>
        </w:rPr>
        <w:t xml:space="preserve"> Australian Major Performing Arts Group (2016),</w:t>
      </w:r>
      <w:r w:rsidRPr="00CE49F6">
        <w:rPr>
          <w:rFonts w:cs="Helvetica"/>
          <w:color w:val="000000" w:themeColor="text1"/>
          <w:spacing w:val="4"/>
          <w:sz w:val="21"/>
          <w:szCs w:val="21"/>
          <w:shd w:val="clear" w:color="auto" w:fill="FCFCFC"/>
        </w:rPr>
        <w:t xml:space="preserve"> </w:t>
      </w:r>
      <w:r w:rsidRPr="00CE49F6">
        <w:rPr>
          <w:rFonts w:cs="Helvetica"/>
          <w:i/>
          <w:color w:val="000000" w:themeColor="text1"/>
          <w:spacing w:val="4"/>
          <w:sz w:val="21"/>
          <w:szCs w:val="21"/>
          <w:shd w:val="clear" w:color="auto" w:fill="FCFCFC"/>
        </w:rPr>
        <w:t>Tracking Changes in Corporate Sponsorship and Donations 2015.</w:t>
      </w:r>
      <w:r w:rsidRPr="00CE49F6">
        <w:rPr>
          <w:rFonts w:cs="Helvetica"/>
          <w:color w:val="000000" w:themeColor="text1"/>
          <w:spacing w:val="4"/>
          <w:sz w:val="21"/>
          <w:szCs w:val="21"/>
          <w:shd w:val="clear" w:color="auto" w:fill="FCFCFC"/>
        </w:rPr>
        <w:t xml:space="preserve"> Accessed 19 October 2016, available at </w:t>
      </w:r>
      <w:hyperlink r:id="rId7" w:history="1">
        <w:r w:rsidRPr="00CE49F6">
          <w:rPr>
            <w:rStyle w:val="Hyperlink"/>
            <w:rFonts w:eastAsia="Times New Roman" w:cs="Times New Roman"/>
            <w:i/>
            <w:sz w:val="21"/>
            <w:szCs w:val="21"/>
            <w:lang w:eastAsia="en-AU"/>
          </w:rPr>
          <w:t>http://www.ampag.com.au/article/Surveys</w:t>
        </w:r>
      </w:hyperlink>
    </w:p>
    <w:p w14:paraId="4B37B5EB" w14:textId="77777777" w:rsidR="00931269" w:rsidRPr="00CE49F6" w:rsidRDefault="00931269" w:rsidP="00E25A11">
      <w:pPr>
        <w:spacing w:after="0"/>
        <w:rPr>
          <w:sz w:val="21"/>
          <w:szCs w:val="21"/>
        </w:rPr>
      </w:pPr>
    </w:p>
  </w:endnote>
  <w:endnote w:id="12">
    <w:p w14:paraId="334AD6EF" w14:textId="77777777" w:rsidR="00931269" w:rsidRPr="00CE49F6" w:rsidRDefault="00931269" w:rsidP="00E25A11">
      <w:pPr>
        <w:pStyle w:val="EndnoteText"/>
        <w:rPr>
          <w:color w:val="000000" w:themeColor="text1"/>
          <w:sz w:val="21"/>
          <w:szCs w:val="21"/>
        </w:rPr>
      </w:pPr>
      <w:r w:rsidRPr="00CE49F6">
        <w:rPr>
          <w:rStyle w:val="EndnoteReference"/>
          <w:color w:val="000000" w:themeColor="text1"/>
          <w:sz w:val="21"/>
          <w:szCs w:val="21"/>
        </w:rPr>
        <w:endnoteRef/>
      </w:r>
      <w:r w:rsidRPr="00CE49F6">
        <w:rPr>
          <w:color w:val="000000" w:themeColor="text1"/>
          <w:sz w:val="21"/>
          <w:szCs w:val="21"/>
        </w:rPr>
        <w:t xml:space="preserve"> Australian Bureau of Statistics (2016), </w:t>
      </w:r>
      <w:r w:rsidRPr="00CE49F6">
        <w:rPr>
          <w:i/>
          <w:color w:val="000000" w:themeColor="text1"/>
          <w:sz w:val="21"/>
          <w:szCs w:val="21"/>
        </w:rPr>
        <w:t>8155.0 – Australian Industry 2014-15</w:t>
      </w:r>
      <w:r w:rsidRPr="00CE49F6">
        <w:rPr>
          <w:color w:val="000000" w:themeColor="text1"/>
          <w:sz w:val="21"/>
          <w:szCs w:val="21"/>
        </w:rPr>
        <w:t xml:space="preserve">, data cube: Arts and recreations services 2014-15, Table 2: Sources of income, Cultural activities. Sum of </w:t>
      </w:r>
      <w:r w:rsidRPr="00CE49F6">
        <w:rPr>
          <w:i/>
          <w:color w:val="000000" w:themeColor="text1"/>
          <w:sz w:val="21"/>
          <w:szCs w:val="21"/>
        </w:rPr>
        <w:t xml:space="preserve">Sponsorship and fundraising income </w:t>
      </w:r>
      <w:r w:rsidRPr="00CE49F6">
        <w:rPr>
          <w:color w:val="000000" w:themeColor="text1"/>
          <w:sz w:val="21"/>
          <w:szCs w:val="21"/>
        </w:rPr>
        <w:t xml:space="preserve">and </w:t>
      </w:r>
      <w:r w:rsidRPr="00CE49F6">
        <w:rPr>
          <w:i/>
          <w:color w:val="000000" w:themeColor="text1"/>
          <w:sz w:val="21"/>
          <w:szCs w:val="21"/>
        </w:rPr>
        <w:t xml:space="preserve">Donations and bequests </w:t>
      </w:r>
      <w:r w:rsidRPr="00CE49F6">
        <w:rPr>
          <w:color w:val="000000" w:themeColor="text1"/>
          <w:sz w:val="21"/>
          <w:szCs w:val="21"/>
        </w:rPr>
        <w:t>for ‘891 Museum operation’ and ‘900 Creative and performing arts activities’.</w:t>
      </w:r>
    </w:p>
    <w:p w14:paraId="59244B24" w14:textId="77777777" w:rsidR="00931269" w:rsidRPr="00CE49F6" w:rsidRDefault="00931269" w:rsidP="00E25A11">
      <w:pPr>
        <w:pStyle w:val="EndnoteText"/>
        <w:rPr>
          <w:color w:val="000000" w:themeColor="text1"/>
          <w:sz w:val="21"/>
          <w:szCs w:val="21"/>
        </w:rPr>
      </w:pPr>
    </w:p>
  </w:endnote>
  <w:endnote w:id="13">
    <w:p w14:paraId="60638662" w14:textId="77777777" w:rsidR="00931269" w:rsidRPr="00CE49F6" w:rsidRDefault="00931269" w:rsidP="00E25A11">
      <w:pPr>
        <w:pStyle w:val="EndnoteText"/>
        <w:rPr>
          <w:sz w:val="21"/>
          <w:szCs w:val="21"/>
        </w:rPr>
      </w:pPr>
      <w:r w:rsidRPr="00CE49F6">
        <w:rPr>
          <w:rStyle w:val="EndnoteReference"/>
          <w:color w:val="000000" w:themeColor="text1"/>
          <w:sz w:val="21"/>
          <w:szCs w:val="21"/>
        </w:rPr>
        <w:endnoteRef/>
      </w:r>
      <w:r w:rsidRPr="00CE49F6">
        <w:rPr>
          <w:color w:val="000000" w:themeColor="text1"/>
          <w:sz w:val="21"/>
          <w:szCs w:val="21"/>
        </w:rPr>
        <w:t xml:space="preserve"> Simpson’s paradox, Oxford Reference definition. Available at </w:t>
      </w:r>
      <w:hyperlink r:id="rId8" w:history="1">
        <w:r w:rsidRPr="00CE49F6">
          <w:rPr>
            <w:rStyle w:val="Hyperlink"/>
            <w:i/>
            <w:sz w:val="21"/>
            <w:szCs w:val="21"/>
          </w:rPr>
          <w:t>http://www.oxfordreference.com/view/10.1093/oi/authority.20110803100507464</w:t>
        </w:r>
      </w:hyperlink>
    </w:p>
    <w:p w14:paraId="6527436D" w14:textId="77777777" w:rsidR="00931269" w:rsidRDefault="00931269" w:rsidP="00E25A11">
      <w:pPr>
        <w:pStyle w:val="EndnoteText"/>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ngal">
    <w:panose1 w:val="02040503050203030202"/>
    <w:charset w:val="00"/>
    <w:family w:val="roman"/>
    <w:pitch w:val="variable"/>
    <w:sig w:usb0="00008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TradeGothicLTStd-Light">
    <w:altName w:val="Trade Gothic LT Std Light"/>
    <w:panose1 w:val="00000000000000000000"/>
    <w:charset w:val="4D"/>
    <w:family w:val="auto"/>
    <w:notTrueType/>
    <w:pitch w:val="default"/>
    <w:sig w:usb0="00000003" w:usb1="00000000" w:usb2="00000000" w:usb3="00000000" w:csb0="00000001" w:csb1="00000000"/>
  </w:font>
  <w:font w:name="Geogrotesque-Light">
    <w:altName w:val="Geogrotesque Light"/>
    <w:panose1 w:val="00000000000000000000"/>
    <w:charset w:val="4D"/>
    <w:family w:val="auto"/>
    <w:notTrueType/>
    <w:pitch w:val="default"/>
    <w:sig w:usb0="00000003" w:usb1="00000000" w:usb2="00000000" w:usb3="00000000" w:csb0="00000001" w:csb1="00000000"/>
  </w:font>
  <w:font w:name="Consolas">
    <w:panose1 w:val="020B0609020204030204"/>
    <w:charset w:val="00"/>
    <w:family w:val="modern"/>
    <w:pitch w:val="fixed"/>
    <w:sig w:usb0="E10002FF" w:usb1="4000FCFF" w:usb2="00000009" w:usb3="00000000" w:csb0="0000019F" w:csb1="00000000"/>
  </w:font>
  <w:font w:name="Gafata">
    <w:altName w:val="Malgun Gothic"/>
    <w:panose1 w:val="02000503000000020004"/>
    <w:charset w:val="00"/>
    <w:family w:val="auto"/>
    <w:pitch w:val="variable"/>
    <w:sig w:usb0="8000002F" w:usb1="4000004A"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BECFEC" w14:textId="77777777" w:rsidR="00931269" w:rsidRDefault="00931269" w:rsidP="00297528">
    <w:pPr>
      <w:pStyle w:val="Footer"/>
      <w:ind w:left="-1418"/>
    </w:pPr>
    <w:r>
      <w:rPr>
        <w:noProof/>
        <w:lang w:eastAsia="zh-TW" w:bidi="hi-IN"/>
      </w:rPr>
      <w:drawing>
        <wp:inline distT="0" distB="0" distL="0" distR="0" wp14:anchorId="6CFFE327" wp14:editId="2FBA372B">
          <wp:extent cx="7599486" cy="767021"/>
          <wp:effectExtent l="0" t="0" r="1905" b="0"/>
          <wp:docPr id="35" name="Picture 35" descr="Australian Government, Department of Communications and the Arts.&#10;http://www.communications.gov.au&#10;http://www.arts.gov.au&#10;http://www.classification.gov.au&#10;&#10;GPO Box 2154, Canberra ACT 2601 Australia.&#10;Telephone 02 6271 1000" title="Contact the Department of Communications and the Ar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footer-banne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726550" cy="779846"/>
                  </a:xfrm>
                  <a:prstGeom prst="rect">
                    <a:avLst/>
                  </a:prstGeom>
                </pic:spPr>
              </pic:pic>
            </a:graphicData>
          </a:graphic>
        </wp:inline>
      </w:drawing>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color w:val="07478C"/>
      </w:rPr>
      <w:id w:val="1214160386"/>
      <w:docPartObj>
        <w:docPartGallery w:val="Page Numbers (Bottom of Page)"/>
        <w:docPartUnique/>
      </w:docPartObj>
    </w:sdtPr>
    <w:sdtEndPr>
      <w:rPr>
        <w:noProof/>
        <w:sz w:val="16"/>
        <w:szCs w:val="16"/>
      </w:rPr>
    </w:sdtEndPr>
    <w:sdtContent>
      <w:p w14:paraId="184AE347" w14:textId="77777777" w:rsidR="00931269" w:rsidRPr="00E44746" w:rsidRDefault="00931269" w:rsidP="00666FC7">
        <w:pPr>
          <w:pStyle w:val="Footer"/>
          <w:rPr>
            <w:color w:val="07478C"/>
            <w:sz w:val="16"/>
            <w:szCs w:val="16"/>
          </w:rPr>
        </w:pPr>
        <w:r w:rsidRPr="00E44746">
          <w:rPr>
            <w:color w:val="07478C"/>
          </w:rPr>
          <w:t>Private sector support for the arts in Australia</w:t>
        </w:r>
        <w:r w:rsidRPr="00E44746">
          <w:rPr>
            <w:color w:val="07478C"/>
          </w:rPr>
          <w:tab/>
        </w:r>
        <w:r w:rsidRPr="00E44746">
          <w:rPr>
            <w:color w:val="07478C"/>
          </w:rPr>
          <w:tab/>
        </w:r>
        <w:r w:rsidRPr="00E44746">
          <w:rPr>
            <w:color w:val="07478C"/>
            <w:sz w:val="16"/>
            <w:szCs w:val="16"/>
          </w:rPr>
          <w:fldChar w:fldCharType="begin"/>
        </w:r>
        <w:r w:rsidRPr="00E44746">
          <w:rPr>
            <w:color w:val="07478C"/>
            <w:sz w:val="16"/>
            <w:szCs w:val="16"/>
          </w:rPr>
          <w:instrText xml:space="preserve"> PAGE   \* MERGEFORMAT </w:instrText>
        </w:r>
        <w:r w:rsidRPr="00E44746">
          <w:rPr>
            <w:color w:val="07478C"/>
            <w:sz w:val="16"/>
            <w:szCs w:val="16"/>
          </w:rPr>
          <w:fldChar w:fldCharType="separate"/>
        </w:r>
        <w:r w:rsidR="00ED08CC">
          <w:rPr>
            <w:noProof/>
            <w:color w:val="07478C"/>
            <w:sz w:val="16"/>
            <w:szCs w:val="16"/>
          </w:rPr>
          <w:t>25</w:t>
        </w:r>
        <w:r w:rsidRPr="00E44746">
          <w:rPr>
            <w:noProof/>
            <w:color w:val="07478C"/>
            <w:sz w:val="16"/>
            <w:szCs w:val="16"/>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color w:val="07478C"/>
      </w:rPr>
      <w:id w:val="563215974"/>
      <w:docPartObj>
        <w:docPartGallery w:val="Page Numbers (Bottom of Page)"/>
        <w:docPartUnique/>
      </w:docPartObj>
    </w:sdtPr>
    <w:sdtEndPr>
      <w:rPr>
        <w:noProof/>
        <w:sz w:val="16"/>
        <w:szCs w:val="16"/>
      </w:rPr>
    </w:sdtEndPr>
    <w:sdtContent>
      <w:p w14:paraId="2A4E4AA3" w14:textId="77777777" w:rsidR="00931269" w:rsidRPr="00E44746" w:rsidRDefault="00931269" w:rsidP="00666FC7">
        <w:pPr>
          <w:pStyle w:val="Footer"/>
          <w:rPr>
            <w:color w:val="07478C"/>
            <w:sz w:val="16"/>
            <w:szCs w:val="16"/>
          </w:rPr>
        </w:pPr>
        <w:r w:rsidRPr="00E44746">
          <w:rPr>
            <w:color w:val="07478C"/>
          </w:rPr>
          <w:t>Private sector support for the arts in Australia</w:t>
        </w:r>
        <w:r w:rsidRPr="00E44746">
          <w:rPr>
            <w:color w:val="07478C"/>
          </w:rPr>
          <w:tab/>
        </w:r>
        <w:r w:rsidRPr="00E44746">
          <w:rPr>
            <w:color w:val="07478C"/>
          </w:rPr>
          <w:tab/>
        </w:r>
        <w:r w:rsidRPr="00E44746">
          <w:rPr>
            <w:color w:val="07478C"/>
            <w:sz w:val="16"/>
            <w:szCs w:val="16"/>
          </w:rPr>
          <w:fldChar w:fldCharType="begin"/>
        </w:r>
        <w:r w:rsidRPr="00E44746">
          <w:rPr>
            <w:color w:val="07478C"/>
            <w:sz w:val="16"/>
            <w:szCs w:val="16"/>
          </w:rPr>
          <w:instrText xml:space="preserve"> PAGE   \* MERGEFORMAT </w:instrText>
        </w:r>
        <w:r w:rsidRPr="00E44746">
          <w:rPr>
            <w:color w:val="07478C"/>
            <w:sz w:val="16"/>
            <w:szCs w:val="16"/>
          </w:rPr>
          <w:fldChar w:fldCharType="separate"/>
        </w:r>
        <w:r w:rsidR="00ED08CC">
          <w:rPr>
            <w:noProof/>
            <w:color w:val="07478C"/>
            <w:sz w:val="16"/>
            <w:szCs w:val="16"/>
          </w:rPr>
          <w:t>ii</w:t>
        </w:r>
        <w:r w:rsidRPr="00E44746">
          <w:rPr>
            <w:noProof/>
            <w:color w:val="07478C"/>
            <w:sz w:val="16"/>
            <w:szCs w:val="16"/>
          </w:rPr>
          <w:fldChar w:fldCharType="end"/>
        </w:r>
      </w:p>
    </w:sdtContent>
  </w:sdt>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color w:val="07478C"/>
      </w:rPr>
      <w:id w:val="-1212415967"/>
      <w:docPartObj>
        <w:docPartGallery w:val="Page Numbers (Bottom of Page)"/>
        <w:docPartUnique/>
      </w:docPartObj>
    </w:sdtPr>
    <w:sdtEndPr>
      <w:rPr>
        <w:noProof/>
        <w:sz w:val="16"/>
        <w:szCs w:val="16"/>
      </w:rPr>
    </w:sdtEndPr>
    <w:sdtContent>
      <w:p w14:paraId="12F9DAD9" w14:textId="77777777" w:rsidR="00931269" w:rsidRPr="00E44746" w:rsidRDefault="00931269" w:rsidP="000248E0">
        <w:pPr>
          <w:pStyle w:val="Footer"/>
          <w:tabs>
            <w:tab w:val="clear" w:pos="4513"/>
            <w:tab w:val="clear" w:pos="9026"/>
            <w:tab w:val="center" w:pos="7655"/>
            <w:tab w:val="right" w:pos="15309"/>
          </w:tabs>
          <w:rPr>
            <w:color w:val="07478C"/>
            <w:sz w:val="16"/>
            <w:szCs w:val="16"/>
          </w:rPr>
        </w:pPr>
        <w:r w:rsidRPr="00E44746">
          <w:rPr>
            <w:color w:val="07478C"/>
          </w:rPr>
          <w:t>Private sector support for the arts in Australia</w:t>
        </w:r>
        <w:r w:rsidRPr="00E44746">
          <w:rPr>
            <w:color w:val="07478C"/>
          </w:rPr>
          <w:tab/>
        </w:r>
        <w:r w:rsidRPr="00E44746">
          <w:rPr>
            <w:color w:val="07478C"/>
          </w:rPr>
          <w:tab/>
        </w:r>
        <w:r w:rsidRPr="00E44746">
          <w:rPr>
            <w:color w:val="07478C"/>
            <w:sz w:val="16"/>
            <w:szCs w:val="16"/>
          </w:rPr>
          <w:fldChar w:fldCharType="begin"/>
        </w:r>
        <w:r w:rsidRPr="00E44746">
          <w:rPr>
            <w:color w:val="07478C"/>
            <w:sz w:val="16"/>
            <w:szCs w:val="16"/>
          </w:rPr>
          <w:instrText xml:space="preserve"> PAGE   \* MERGEFORMAT </w:instrText>
        </w:r>
        <w:r w:rsidRPr="00E44746">
          <w:rPr>
            <w:color w:val="07478C"/>
            <w:sz w:val="16"/>
            <w:szCs w:val="16"/>
          </w:rPr>
          <w:fldChar w:fldCharType="separate"/>
        </w:r>
        <w:r w:rsidR="00ED08CC">
          <w:rPr>
            <w:noProof/>
            <w:color w:val="07478C"/>
            <w:sz w:val="16"/>
            <w:szCs w:val="16"/>
          </w:rPr>
          <w:t>31</w:t>
        </w:r>
        <w:r w:rsidRPr="00E44746">
          <w:rPr>
            <w:noProof/>
            <w:color w:val="07478C"/>
            <w:sz w:val="16"/>
            <w:szCs w:val="16"/>
          </w:rPr>
          <w:fldChar w:fldCharType="end"/>
        </w:r>
      </w:p>
    </w:sdtContent>
  </w:sdt>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color w:val="07478C"/>
      </w:rPr>
      <w:id w:val="1016502416"/>
      <w:docPartObj>
        <w:docPartGallery w:val="Page Numbers (Bottom of Page)"/>
        <w:docPartUnique/>
      </w:docPartObj>
    </w:sdtPr>
    <w:sdtEndPr>
      <w:rPr>
        <w:noProof/>
        <w:sz w:val="16"/>
        <w:szCs w:val="16"/>
      </w:rPr>
    </w:sdtEndPr>
    <w:sdtContent>
      <w:p w14:paraId="2EB28803" w14:textId="77777777" w:rsidR="00931269" w:rsidRPr="00E44746" w:rsidRDefault="00931269" w:rsidP="000248E0">
        <w:pPr>
          <w:pStyle w:val="Footer"/>
          <w:tabs>
            <w:tab w:val="clear" w:pos="4513"/>
            <w:tab w:val="clear" w:pos="9026"/>
            <w:tab w:val="center" w:pos="7513"/>
            <w:tab w:val="right" w:pos="15309"/>
          </w:tabs>
          <w:rPr>
            <w:color w:val="07478C"/>
            <w:sz w:val="16"/>
            <w:szCs w:val="16"/>
          </w:rPr>
        </w:pPr>
        <w:r w:rsidRPr="00E44746">
          <w:rPr>
            <w:color w:val="07478C"/>
          </w:rPr>
          <w:t>Private sector support for the arts in Australia</w:t>
        </w:r>
        <w:r w:rsidRPr="00E44746">
          <w:rPr>
            <w:color w:val="07478C"/>
          </w:rPr>
          <w:tab/>
        </w:r>
        <w:r w:rsidRPr="00E44746">
          <w:rPr>
            <w:color w:val="07478C"/>
          </w:rPr>
          <w:tab/>
        </w:r>
        <w:r w:rsidRPr="00E44746">
          <w:rPr>
            <w:color w:val="07478C"/>
            <w:sz w:val="16"/>
            <w:szCs w:val="16"/>
          </w:rPr>
          <w:fldChar w:fldCharType="begin"/>
        </w:r>
        <w:r w:rsidRPr="00E44746">
          <w:rPr>
            <w:color w:val="07478C"/>
            <w:sz w:val="16"/>
            <w:szCs w:val="16"/>
          </w:rPr>
          <w:instrText xml:space="preserve"> PAGE   \* MERGEFORMAT </w:instrText>
        </w:r>
        <w:r w:rsidRPr="00E44746">
          <w:rPr>
            <w:color w:val="07478C"/>
            <w:sz w:val="16"/>
            <w:szCs w:val="16"/>
          </w:rPr>
          <w:fldChar w:fldCharType="separate"/>
        </w:r>
        <w:r w:rsidR="00ED08CC">
          <w:rPr>
            <w:noProof/>
            <w:color w:val="07478C"/>
            <w:sz w:val="16"/>
            <w:szCs w:val="16"/>
          </w:rPr>
          <w:t>30</w:t>
        </w:r>
        <w:r w:rsidRPr="00E44746">
          <w:rPr>
            <w:noProof/>
            <w:color w:val="07478C"/>
            <w:sz w:val="16"/>
            <w:szCs w:val="16"/>
          </w:rPr>
          <w:fldChar w:fldCharType="end"/>
        </w:r>
      </w:p>
    </w:sdtContent>
  </w:sdt>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93412587"/>
      <w:docPartObj>
        <w:docPartGallery w:val="Page Numbers (Bottom of Page)"/>
        <w:docPartUnique/>
      </w:docPartObj>
    </w:sdtPr>
    <w:sdtEndPr>
      <w:rPr>
        <w:noProof/>
        <w:sz w:val="16"/>
        <w:szCs w:val="16"/>
      </w:rPr>
    </w:sdtEndPr>
    <w:sdtContent>
      <w:p w14:paraId="3C589D63" w14:textId="77777777" w:rsidR="00931269" w:rsidRDefault="00931269" w:rsidP="000248E0">
        <w:pPr>
          <w:pStyle w:val="Footer"/>
          <w:rPr>
            <w:sz w:val="16"/>
            <w:szCs w:val="16"/>
          </w:rPr>
        </w:pPr>
        <w:r w:rsidRPr="00666FC7">
          <w:t>Private sector support for the arts in Australia</w:t>
        </w:r>
        <w:r>
          <w:tab/>
        </w:r>
        <w:r>
          <w:tab/>
        </w:r>
        <w:r w:rsidRPr="008042EE">
          <w:rPr>
            <w:sz w:val="16"/>
            <w:szCs w:val="16"/>
          </w:rPr>
          <w:fldChar w:fldCharType="begin"/>
        </w:r>
        <w:r w:rsidRPr="008042EE">
          <w:rPr>
            <w:sz w:val="16"/>
            <w:szCs w:val="16"/>
          </w:rPr>
          <w:instrText xml:space="preserve"> PAGE   \* MERGEFORMAT </w:instrText>
        </w:r>
        <w:r w:rsidRPr="008042EE">
          <w:rPr>
            <w:sz w:val="16"/>
            <w:szCs w:val="16"/>
          </w:rPr>
          <w:fldChar w:fldCharType="separate"/>
        </w:r>
        <w:r w:rsidR="00ED08CC">
          <w:rPr>
            <w:noProof/>
            <w:sz w:val="16"/>
            <w:szCs w:val="16"/>
          </w:rPr>
          <w:t>39</w:t>
        </w:r>
        <w:r w:rsidRPr="008042EE">
          <w:rPr>
            <w:noProof/>
            <w:sz w:val="16"/>
            <w:szCs w:val="16"/>
          </w:rPr>
          <w:fldChar w:fldCharType="end"/>
        </w:r>
      </w:p>
    </w:sdtContent>
  </w:sdt>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color w:val="07478C"/>
      </w:rPr>
      <w:id w:val="638007385"/>
      <w:docPartObj>
        <w:docPartGallery w:val="Page Numbers (Bottom of Page)"/>
        <w:docPartUnique/>
      </w:docPartObj>
    </w:sdtPr>
    <w:sdtEndPr>
      <w:rPr>
        <w:noProof/>
        <w:sz w:val="16"/>
        <w:szCs w:val="16"/>
      </w:rPr>
    </w:sdtEndPr>
    <w:sdtContent>
      <w:p w14:paraId="7DE60EEC" w14:textId="77777777" w:rsidR="00931269" w:rsidRPr="00E44746" w:rsidRDefault="00931269" w:rsidP="000248E0">
        <w:pPr>
          <w:pStyle w:val="Footer"/>
          <w:rPr>
            <w:color w:val="07478C"/>
            <w:sz w:val="16"/>
            <w:szCs w:val="16"/>
          </w:rPr>
        </w:pPr>
        <w:r w:rsidRPr="00E44746">
          <w:rPr>
            <w:color w:val="07478C"/>
          </w:rPr>
          <w:t>Private sector support for the arts in Australia</w:t>
        </w:r>
        <w:r w:rsidRPr="00E44746">
          <w:rPr>
            <w:color w:val="07478C"/>
          </w:rPr>
          <w:tab/>
        </w:r>
        <w:r w:rsidRPr="00E44746">
          <w:rPr>
            <w:color w:val="07478C"/>
          </w:rPr>
          <w:tab/>
        </w:r>
        <w:r w:rsidRPr="00E44746">
          <w:rPr>
            <w:color w:val="07478C"/>
            <w:sz w:val="16"/>
            <w:szCs w:val="16"/>
          </w:rPr>
          <w:fldChar w:fldCharType="begin"/>
        </w:r>
        <w:r w:rsidRPr="00E44746">
          <w:rPr>
            <w:color w:val="07478C"/>
            <w:sz w:val="16"/>
            <w:szCs w:val="16"/>
          </w:rPr>
          <w:instrText xml:space="preserve"> PAGE   \* MERGEFORMAT </w:instrText>
        </w:r>
        <w:r w:rsidRPr="00E44746">
          <w:rPr>
            <w:color w:val="07478C"/>
            <w:sz w:val="16"/>
            <w:szCs w:val="16"/>
          </w:rPr>
          <w:fldChar w:fldCharType="separate"/>
        </w:r>
        <w:r w:rsidR="00ED08CC">
          <w:rPr>
            <w:noProof/>
            <w:color w:val="07478C"/>
            <w:sz w:val="16"/>
            <w:szCs w:val="16"/>
          </w:rPr>
          <w:t>32</w:t>
        </w:r>
        <w:r w:rsidRPr="00E44746">
          <w:rPr>
            <w:noProof/>
            <w:color w:val="07478C"/>
            <w:sz w:val="16"/>
            <w:szCs w:val="16"/>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C477362" w14:textId="77777777" w:rsidR="00931269" w:rsidRDefault="00931269" w:rsidP="003F0A2D">
      <w:pPr>
        <w:spacing w:after="0"/>
      </w:pPr>
      <w:r>
        <w:separator/>
      </w:r>
    </w:p>
  </w:footnote>
  <w:footnote w:type="continuationSeparator" w:id="0">
    <w:p w14:paraId="58B77047" w14:textId="77777777" w:rsidR="00931269" w:rsidRDefault="00931269" w:rsidP="003F0A2D">
      <w:pPr>
        <w:spacing w:after="0"/>
      </w:pPr>
      <w:r>
        <w:continuationSeparator/>
      </w:r>
    </w:p>
  </w:footnote>
  <w:footnote w:id="1">
    <w:p w14:paraId="09B243CE" w14:textId="77777777" w:rsidR="00931269" w:rsidRDefault="00931269" w:rsidP="001061E5">
      <w:pPr>
        <w:pStyle w:val="FootnoteText"/>
      </w:pPr>
      <w:r>
        <w:rPr>
          <w:rStyle w:val="FootnoteReference"/>
        </w:rPr>
        <w:footnoteRef/>
      </w:r>
      <w:r>
        <w:t xml:space="preserve"> Per capita calculations are based on: private sector contribution figures as per the sources indicated in the endnotes; using currency conversion rates available at the Reserve Bank of Australia web site (median rate for the year); and the population figures accessed through OECD, ABS, and UK Office for National Statistics. The United States figures are also adjusted for inflation for their respective years.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22D46F" w14:textId="77777777" w:rsidR="00931269" w:rsidRDefault="00931269" w:rsidP="009D5F3C">
    <w:pPr>
      <w:pStyle w:val="Header"/>
      <w:ind w:left="-1418"/>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EAF91C" w14:textId="77777777" w:rsidR="00931269" w:rsidRDefault="00931269" w:rsidP="00E44746">
    <w:pPr>
      <w:pStyle w:val="Header"/>
      <w:ind w:left="-1418"/>
    </w:pPr>
    <w:r>
      <w:rPr>
        <w:noProof/>
        <w:lang w:eastAsia="zh-TW" w:bidi="hi-IN"/>
      </w:rPr>
      <w:drawing>
        <wp:inline distT="0" distB="0" distL="0" distR="0" wp14:anchorId="7BB5A026" wp14:editId="01CDDAED">
          <wp:extent cx="7548880" cy="327025"/>
          <wp:effectExtent l="0" t="0" r="0" b="0"/>
          <wp:docPr id="20" name="Picture 20" descr="Decoration" title="Decor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7549583" cy="327055"/>
                  </a:xfrm>
                  <a:prstGeom prst="rect">
                    <a:avLst/>
                  </a:prstGeom>
                </pic:spPr>
              </pic:pic>
            </a:graphicData>
          </a:graphic>
        </wp:inline>
      </w:drawing>
    </w:r>
  </w:p>
  <w:p w14:paraId="42636F67" w14:textId="77777777" w:rsidR="00931269" w:rsidRPr="009A56D0" w:rsidRDefault="00931269" w:rsidP="00E44746">
    <w:pPr>
      <w:pStyle w:val="Header"/>
      <w:tabs>
        <w:tab w:val="clear" w:pos="9026"/>
        <w:tab w:val="right" w:pos="9333"/>
      </w:tabs>
      <w:rPr>
        <w:color w:val="07478C"/>
      </w:rPr>
    </w:pPr>
    <w:r>
      <w:rPr>
        <w:color w:val="07478C"/>
      </w:rPr>
      <w:t xml:space="preserve">Bureau of </w:t>
    </w:r>
    <w:r w:rsidRPr="009A56D0">
      <w:rPr>
        <w:color w:val="07478C"/>
      </w:rPr>
      <w:t>Communications and Arts</w:t>
    </w:r>
    <w:r>
      <w:rPr>
        <w:color w:val="07478C"/>
      </w:rPr>
      <w:t xml:space="preserve"> Research</w:t>
    </w:r>
    <w:r w:rsidRPr="009A56D0">
      <w:rPr>
        <w:color w:val="07478C"/>
      </w:rPr>
      <w:tab/>
    </w:r>
    <w:r w:rsidRPr="009A56D0">
      <w:rPr>
        <w:color w:val="07478C"/>
      </w:rPr>
      <w:tab/>
    </w:r>
    <w:r>
      <w:rPr>
        <w:color w:val="07478C"/>
      </w:rPr>
      <w:t>June 2017</w:t>
    </w:r>
  </w:p>
  <w:p w14:paraId="470BAF4F" w14:textId="3392E86A" w:rsidR="00931269" w:rsidRDefault="00931269" w:rsidP="009D5F3C">
    <w:pPr>
      <w:pStyle w:val="Header"/>
      <w:ind w:left="-1418"/>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C10EABE" w14:textId="77777777" w:rsidR="00931269" w:rsidRDefault="00931269" w:rsidP="00E44746">
    <w:pPr>
      <w:pStyle w:val="Header"/>
      <w:ind w:left="-1418"/>
    </w:pPr>
    <w:r>
      <w:rPr>
        <w:noProof/>
        <w:lang w:eastAsia="zh-TW" w:bidi="hi-IN"/>
      </w:rPr>
      <w:drawing>
        <wp:inline distT="0" distB="0" distL="0" distR="0" wp14:anchorId="098E5B34" wp14:editId="354DA246">
          <wp:extent cx="7548880" cy="327025"/>
          <wp:effectExtent l="0" t="0" r="0" b="0"/>
          <wp:docPr id="19" name="Picture 19" descr="Decoration" title="Decor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7549583" cy="327055"/>
                  </a:xfrm>
                  <a:prstGeom prst="rect">
                    <a:avLst/>
                  </a:prstGeom>
                </pic:spPr>
              </pic:pic>
            </a:graphicData>
          </a:graphic>
        </wp:inline>
      </w:drawing>
    </w:r>
  </w:p>
  <w:p w14:paraId="600A633F" w14:textId="77777777" w:rsidR="00931269" w:rsidRPr="009A56D0" w:rsidRDefault="00931269" w:rsidP="00E44746">
    <w:pPr>
      <w:pStyle w:val="Header"/>
      <w:tabs>
        <w:tab w:val="clear" w:pos="9026"/>
        <w:tab w:val="right" w:pos="9333"/>
      </w:tabs>
      <w:rPr>
        <w:color w:val="07478C"/>
      </w:rPr>
    </w:pPr>
    <w:r>
      <w:rPr>
        <w:color w:val="07478C"/>
      </w:rPr>
      <w:t xml:space="preserve">Bureau of </w:t>
    </w:r>
    <w:r w:rsidRPr="009A56D0">
      <w:rPr>
        <w:color w:val="07478C"/>
      </w:rPr>
      <w:t>Communications and Arts</w:t>
    </w:r>
    <w:r>
      <w:rPr>
        <w:color w:val="07478C"/>
      </w:rPr>
      <w:t xml:space="preserve"> </w:t>
    </w:r>
    <w:r w:rsidRPr="00E44746">
      <w:rPr>
        <w:color w:val="07478C"/>
      </w:rPr>
      <w:t>Rese</w:t>
    </w:r>
    <w:r>
      <w:rPr>
        <w:color w:val="07478C"/>
      </w:rPr>
      <w:t>arch</w:t>
    </w:r>
    <w:r w:rsidRPr="009A56D0">
      <w:rPr>
        <w:color w:val="07478C"/>
      </w:rPr>
      <w:tab/>
    </w:r>
    <w:r w:rsidRPr="009A56D0">
      <w:rPr>
        <w:color w:val="07478C"/>
      </w:rPr>
      <w:tab/>
    </w:r>
    <w:r>
      <w:rPr>
        <w:color w:val="07478C"/>
      </w:rPr>
      <w:t>June 2017</w:t>
    </w:r>
  </w:p>
  <w:p w14:paraId="2748ABEA" w14:textId="23D2E110" w:rsidR="00931269" w:rsidRDefault="00931269" w:rsidP="009D5F3C">
    <w:pPr>
      <w:pStyle w:val="Header"/>
      <w:ind w:left="-1418"/>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7D977C" w14:textId="3904FBCC" w:rsidR="00931269" w:rsidRDefault="00931269" w:rsidP="00E44746">
    <w:pPr>
      <w:pStyle w:val="Header"/>
      <w:ind w:left="-709"/>
    </w:pPr>
    <w:r>
      <w:rPr>
        <w:noProof/>
        <w:lang w:eastAsia="zh-TW" w:bidi="hi-IN"/>
      </w:rPr>
      <w:drawing>
        <wp:inline distT="0" distB="0" distL="0" distR="0" wp14:anchorId="0F3C9B7A" wp14:editId="1BEA87D6">
          <wp:extent cx="9777730" cy="434707"/>
          <wp:effectExtent l="0" t="0" r="0" b="3810"/>
          <wp:docPr id="18" name="Picture 18" descr="Decoration" title="Decor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9777730" cy="434707"/>
                  </a:xfrm>
                  <a:prstGeom prst="rect">
                    <a:avLst/>
                  </a:prstGeom>
                </pic:spPr>
              </pic:pic>
            </a:graphicData>
          </a:graphic>
        </wp:inline>
      </w:drawing>
    </w:r>
  </w:p>
  <w:p w14:paraId="64224447" w14:textId="602B35DF" w:rsidR="00931269" w:rsidRPr="009A56D0" w:rsidRDefault="00931269" w:rsidP="00D73822">
    <w:pPr>
      <w:pStyle w:val="Header"/>
      <w:tabs>
        <w:tab w:val="clear" w:pos="9026"/>
        <w:tab w:val="right" w:pos="15309"/>
      </w:tabs>
      <w:rPr>
        <w:color w:val="07478C"/>
      </w:rPr>
    </w:pPr>
    <w:r>
      <w:rPr>
        <w:color w:val="07478C"/>
      </w:rPr>
      <w:t xml:space="preserve">Bureau of </w:t>
    </w:r>
    <w:r w:rsidRPr="009A56D0">
      <w:rPr>
        <w:color w:val="07478C"/>
      </w:rPr>
      <w:t>Communications and Arts</w:t>
    </w:r>
    <w:r>
      <w:rPr>
        <w:color w:val="07478C"/>
      </w:rPr>
      <w:t xml:space="preserve"> Research</w:t>
    </w:r>
    <w:r w:rsidRPr="009A56D0">
      <w:rPr>
        <w:color w:val="07478C"/>
      </w:rPr>
      <w:tab/>
    </w:r>
    <w:r>
      <w:rPr>
        <w:color w:val="07478C"/>
      </w:rPr>
      <w:tab/>
      <w:t>June 2017</w:t>
    </w:r>
  </w:p>
  <w:p w14:paraId="0E9F4B11" w14:textId="4B9E6B0C" w:rsidR="00931269" w:rsidRDefault="00931269" w:rsidP="00E44746">
    <w:pPr>
      <w:pStyle w:val="Header"/>
      <w:tabs>
        <w:tab w:val="clear" w:pos="9026"/>
        <w:tab w:val="right" w:pos="13608"/>
      </w:tabs>
      <w:ind w:left="-1418"/>
    </w:pPr>
    <w:r>
      <w:t>Bureau</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A8EB34" w14:textId="71F6899C" w:rsidR="00931269" w:rsidRDefault="00931269" w:rsidP="000248E0">
    <w:pPr>
      <w:pStyle w:val="Header"/>
      <w:ind w:left="-709"/>
    </w:pPr>
    <w:r>
      <w:rPr>
        <w:noProof/>
        <w:lang w:eastAsia="zh-TW" w:bidi="hi-IN"/>
      </w:rPr>
      <w:drawing>
        <wp:inline distT="0" distB="0" distL="0" distR="0" wp14:anchorId="20C20082" wp14:editId="4D9A4A47">
          <wp:extent cx="10783570" cy="479425"/>
          <wp:effectExtent l="0" t="0" r="0" b="0"/>
          <wp:docPr id="6" name="Picture 6" descr="Decoration" title="Decor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0783570" cy="479425"/>
                  </a:xfrm>
                  <a:prstGeom prst="rect">
                    <a:avLst/>
                  </a:prstGeom>
                </pic:spPr>
              </pic:pic>
            </a:graphicData>
          </a:graphic>
        </wp:inline>
      </w:drawing>
    </w:r>
  </w:p>
  <w:p w14:paraId="3C49A9DA" w14:textId="3E3390DC" w:rsidR="00931269" w:rsidRPr="009A56D0" w:rsidRDefault="00931269" w:rsidP="00D73822">
    <w:pPr>
      <w:pStyle w:val="Header"/>
      <w:tabs>
        <w:tab w:val="clear" w:pos="9026"/>
        <w:tab w:val="right" w:pos="15309"/>
      </w:tabs>
      <w:rPr>
        <w:color w:val="07478C"/>
      </w:rPr>
    </w:pPr>
    <w:r>
      <w:rPr>
        <w:color w:val="07478C"/>
      </w:rPr>
      <w:t xml:space="preserve">Bureau of </w:t>
    </w:r>
    <w:r w:rsidRPr="009A56D0">
      <w:rPr>
        <w:color w:val="07478C"/>
      </w:rPr>
      <w:t>Communications and Arts</w:t>
    </w:r>
    <w:r>
      <w:rPr>
        <w:color w:val="07478C"/>
      </w:rPr>
      <w:t xml:space="preserve"> Research</w:t>
    </w:r>
    <w:r w:rsidRPr="009A56D0">
      <w:rPr>
        <w:color w:val="07478C"/>
      </w:rPr>
      <w:tab/>
    </w:r>
    <w:r>
      <w:rPr>
        <w:color w:val="07478C"/>
      </w:rPr>
      <w:tab/>
      <w:t>June 2017</w:t>
    </w:r>
  </w:p>
  <w:p w14:paraId="7DA65DBB" w14:textId="77777777" w:rsidR="00931269" w:rsidRDefault="00931269" w:rsidP="000248E0">
    <w:pPr>
      <w:pStyle w:val="Header"/>
      <w:ind w:left="-709"/>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106098" w14:textId="77777777" w:rsidR="00931269" w:rsidRDefault="00931269" w:rsidP="003F0A2D">
    <w:pPr>
      <w:pStyle w:val="Header"/>
      <w:ind w:left="-1418"/>
    </w:pPr>
    <w:r>
      <w:rPr>
        <w:noProof/>
        <w:lang w:eastAsia="zh-TW" w:bidi="hi-IN"/>
      </w:rPr>
      <w:drawing>
        <wp:inline distT="0" distB="0" distL="0" distR="0" wp14:anchorId="33205179" wp14:editId="79E253F6">
          <wp:extent cx="7548880" cy="327025"/>
          <wp:effectExtent l="0" t="0" r="0" b="0"/>
          <wp:docPr id="8" name="Picture 8" descr="Decoration" title="Decor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7549583" cy="327055"/>
                  </a:xfrm>
                  <a:prstGeom prst="rect">
                    <a:avLst/>
                  </a:prstGeom>
                </pic:spPr>
              </pic:pic>
            </a:graphicData>
          </a:graphic>
        </wp:inline>
      </w:drawing>
    </w:r>
  </w:p>
  <w:p w14:paraId="4D567F2F" w14:textId="749364E3" w:rsidR="00931269" w:rsidRPr="009A56D0" w:rsidRDefault="00931269" w:rsidP="00535ADA">
    <w:pPr>
      <w:pStyle w:val="Header"/>
      <w:tabs>
        <w:tab w:val="clear" w:pos="9026"/>
        <w:tab w:val="right" w:pos="9333"/>
      </w:tabs>
      <w:rPr>
        <w:color w:val="07478C"/>
      </w:rPr>
    </w:pPr>
    <w:r>
      <w:rPr>
        <w:color w:val="07478C"/>
      </w:rPr>
      <w:t xml:space="preserve">Bureau of </w:t>
    </w:r>
    <w:r w:rsidRPr="009A56D0">
      <w:rPr>
        <w:color w:val="07478C"/>
      </w:rPr>
      <w:t>Communications and Arts</w:t>
    </w:r>
    <w:r>
      <w:rPr>
        <w:color w:val="07478C"/>
      </w:rPr>
      <w:t xml:space="preserve"> Research</w:t>
    </w:r>
    <w:r w:rsidRPr="009A56D0">
      <w:rPr>
        <w:color w:val="07478C"/>
      </w:rPr>
      <w:tab/>
    </w:r>
    <w:r w:rsidRPr="009A56D0">
      <w:rPr>
        <w:color w:val="07478C"/>
      </w:rPr>
      <w:tab/>
    </w:r>
    <w:r>
      <w:rPr>
        <w:color w:val="07478C"/>
      </w:rPr>
      <w:t>June 2017</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C40CB93" w14:textId="77777777" w:rsidR="00931269" w:rsidRDefault="00931269" w:rsidP="00E44746">
    <w:pPr>
      <w:pStyle w:val="Header"/>
      <w:ind w:left="-1418"/>
    </w:pPr>
    <w:r>
      <w:rPr>
        <w:noProof/>
        <w:lang w:eastAsia="zh-TW" w:bidi="hi-IN"/>
      </w:rPr>
      <w:drawing>
        <wp:inline distT="0" distB="0" distL="0" distR="0" wp14:anchorId="017E12E4" wp14:editId="5CA7606F">
          <wp:extent cx="7548880" cy="327025"/>
          <wp:effectExtent l="0" t="0" r="0" b="0"/>
          <wp:docPr id="12" name="Picture 12" descr="Decoration" title="Decor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7549583" cy="327055"/>
                  </a:xfrm>
                  <a:prstGeom prst="rect">
                    <a:avLst/>
                  </a:prstGeom>
                </pic:spPr>
              </pic:pic>
            </a:graphicData>
          </a:graphic>
        </wp:inline>
      </w:drawing>
    </w:r>
  </w:p>
  <w:p w14:paraId="5CCEB838" w14:textId="77777777" w:rsidR="00931269" w:rsidRPr="009A56D0" w:rsidRDefault="00931269" w:rsidP="00E44746">
    <w:pPr>
      <w:pStyle w:val="Header"/>
      <w:tabs>
        <w:tab w:val="clear" w:pos="9026"/>
        <w:tab w:val="right" w:pos="9333"/>
      </w:tabs>
      <w:rPr>
        <w:color w:val="07478C"/>
      </w:rPr>
    </w:pPr>
    <w:r>
      <w:rPr>
        <w:color w:val="07478C"/>
      </w:rPr>
      <w:t xml:space="preserve">Bureau of </w:t>
    </w:r>
    <w:r w:rsidRPr="009A56D0">
      <w:rPr>
        <w:color w:val="07478C"/>
      </w:rPr>
      <w:t>Communications and Arts</w:t>
    </w:r>
    <w:r>
      <w:rPr>
        <w:color w:val="07478C"/>
      </w:rPr>
      <w:t xml:space="preserve"> Research</w:t>
    </w:r>
    <w:r w:rsidRPr="009A56D0">
      <w:rPr>
        <w:color w:val="07478C"/>
      </w:rPr>
      <w:tab/>
    </w:r>
    <w:r w:rsidRPr="009A56D0">
      <w:rPr>
        <w:color w:val="07478C"/>
      </w:rPr>
      <w:tab/>
    </w:r>
    <w:r>
      <w:rPr>
        <w:color w:val="07478C"/>
      </w:rPr>
      <w:t>June 2017</w:t>
    </w:r>
  </w:p>
  <w:p w14:paraId="7D8BACB7" w14:textId="7AB4BC80" w:rsidR="00931269" w:rsidRDefault="00931269" w:rsidP="009D5F3C">
    <w:pPr>
      <w:pStyle w:val="Header"/>
      <w:ind w:left="-141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EBD603DA"/>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8D1CD292"/>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0D8ABB42"/>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93C8FF76"/>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48C04A30"/>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7ED704"/>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DFAF3E6"/>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0F87C34"/>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3C4B8A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937A17B8"/>
    <w:lvl w:ilvl="0">
      <w:start w:val="1"/>
      <w:numFmt w:val="bullet"/>
      <w:pStyle w:val="Heading9"/>
      <w:lvlText w:val=""/>
      <w:lvlJc w:val="left"/>
      <w:pPr>
        <w:tabs>
          <w:tab w:val="num" w:pos="360"/>
        </w:tabs>
        <w:ind w:left="360" w:hanging="360"/>
      </w:pPr>
      <w:rPr>
        <w:rFonts w:ascii="Symbol" w:hAnsi="Symbol" w:hint="default"/>
      </w:rPr>
    </w:lvl>
  </w:abstractNum>
  <w:abstractNum w:abstractNumId="10" w15:restartNumberingAfterBreak="0">
    <w:nsid w:val="008A6A45"/>
    <w:multiLevelType w:val="multilevel"/>
    <w:tmpl w:val="0C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12922DF2"/>
    <w:multiLevelType w:val="multilevel"/>
    <w:tmpl w:val="4ADC59DC"/>
    <w:lvl w:ilvl="0">
      <w:start w:val="1"/>
      <w:numFmt w:val="decimal"/>
      <w:pStyle w:val="Heading2-list"/>
      <w:lvlText w:val="%1."/>
      <w:lvlJc w:val="left"/>
      <w:pPr>
        <w:ind w:left="360" w:hanging="360"/>
      </w:pPr>
    </w:lvl>
    <w:lvl w:ilvl="1">
      <w:start w:val="1"/>
      <w:numFmt w:val="decimal"/>
      <w:pStyle w:val="Heading3-list"/>
      <w:lvlText w:val="%1.%2."/>
      <w:lvlJc w:val="left"/>
      <w:pPr>
        <w:ind w:left="792" w:hanging="432"/>
      </w:pPr>
    </w:lvl>
    <w:lvl w:ilvl="2">
      <w:start w:val="1"/>
      <w:numFmt w:val="decimal"/>
      <w:pStyle w:val="Heading4-list"/>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1B850330"/>
    <w:multiLevelType w:val="multilevel"/>
    <w:tmpl w:val="AED6BE6E"/>
    <w:lvl w:ilvl="0">
      <w:start w:val="1"/>
      <w:numFmt w:val="decimal"/>
      <w:pStyle w:val="Instructionaltext-Numberedlist"/>
      <w:lvlText w:val="%1."/>
      <w:lvlJc w:val="left"/>
      <w:pPr>
        <w:tabs>
          <w:tab w:val="num" w:pos="340"/>
        </w:tabs>
        <w:ind w:left="340" w:hanging="340"/>
      </w:pPr>
      <w:rPr>
        <w:rFonts w:hint="default"/>
        <w:b w:val="0"/>
        <w:i/>
        <w:sz w:val="22"/>
      </w:rPr>
    </w:lvl>
    <w:lvl w:ilvl="1">
      <w:start w:val="1"/>
      <w:numFmt w:val="lowerLetter"/>
      <w:lvlText w:val="%2."/>
      <w:lvlJc w:val="left"/>
      <w:pPr>
        <w:ind w:left="680" w:hanging="34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 w15:restartNumberingAfterBreak="0">
    <w:nsid w:val="20701725"/>
    <w:multiLevelType w:val="hybridMultilevel"/>
    <w:tmpl w:val="21366C54"/>
    <w:lvl w:ilvl="0" w:tplc="573C30B0">
      <w:start w:val="1"/>
      <w:numFmt w:val="lowerLetter"/>
      <w:pStyle w:val="Bodynumbered-Level2"/>
      <w:lvlText w:val="%1."/>
      <w:lvlJc w:val="left"/>
      <w:pPr>
        <w:ind w:left="1400" w:hanging="360"/>
      </w:pPr>
      <w:rPr>
        <w:rFonts w:hint="default"/>
        <w:b/>
        <w:i w:val="0"/>
        <w:color w:val="1F4E79" w:themeColor="accent1" w:themeShade="80"/>
        <w:sz w:val="20"/>
      </w:rPr>
    </w:lvl>
    <w:lvl w:ilvl="1" w:tplc="0C090019" w:tentative="1">
      <w:start w:val="1"/>
      <w:numFmt w:val="lowerLetter"/>
      <w:lvlText w:val="%2."/>
      <w:lvlJc w:val="left"/>
      <w:pPr>
        <w:ind w:left="2120" w:hanging="360"/>
      </w:pPr>
    </w:lvl>
    <w:lvl w:ilvl="2" w:tplc="0C09001B" w:tentative="1">
      <w:start w:val="1"/>
      <w:numFmt w:val="lowerRoman"/>
      <w:lvlText w:val="%3."/>
      <w:lvlJc w:val="right"/>
      <w:pPr>
        <w:ind w:left="2840" w:hanging="180"/>
      </w:pPr>
    </w:lvl>
    <w:lvl w:ilvl="3" w:tplc="0C09000F" w:tentative="1">
      <w:start w:val="1"/>
      <w:numFmt w:val="decimal"/>
      <w:lvlText w:val="%4."/>
      <w:lvlJc w:val="left"/>
      <w:pPr>
        <w:ind w:left="3560" w:hanging="360"/>
      </w:pPr>
    </w:lvl>
    <w:lvl w:ilvl="4" w:tplc="0C090019" w:tentative="1">
      <w:start w:val="1"/>
      <w:numFmt w:val="lowerLetter"/>
      <w:lvlText w:val="%5."/>
      <w:lvlJc w:val="left"/>
      <w:pPr>
        <w:ind w:left="4280" w:hanging="360"/>
      </w:pPr>
    </w:lvl>
    <w:lvl w:ilvl="5" w:tplc="0C09001B" w:tentative="1">
      <w:start w:val="1"/>
      <w:numFmt w:val="lowerRoman"/>
      <w:lvlText w:val="%6."/>
      <w:lvlJc w:val="right"/>
      <w:pPr>
        <w:ind w:left="5000" w:hanging="180"/>
      </w:pPr>
    </w:lvl>
    <w:lvl w:ilvl="6" w:tplc="0C09000F" w:tentative="1">
      <w:start w:val="1"/>
      <w:numFmt w:val="decimal"/>
      <w:lvlText w:val="%7."/>
      <w:lvlJc w:val="left"/>
      <w:pPr>
        <w:ind w:left="5720" w:hanging="360"/>
      </w:pPr>
    </w:lvl>
    <w:lvl w:ilvl="7" w:tplc="0C090019" w:tentative="1">
      <w:start w:val="1"/>
      <w:numFmt w:val="lowerLetter"/>
      <w:lvlText w:val="%8."/>
      <w:lvlJc w:val="left"/>
      <w:pPr>
        <w:ind w:left="6440" w:hanging="360"/>
      </w:pPr>
    </w:lvl>
    <w:lvl w:ilvl="8" w:tplc="0C09001B" w:tentative="1">
      <w:start w:val="1"/>
      <w:numFmt w:val="lowerRoman"/>
      <w:lvlText w:val="%9."/>
      <w:lvlJc w:val="right"/>
      <w:pPr>
        <w:ind w:left="7160" w:hanging="180"/>
      </w:pPr>
    </w:lvl>
  </w:abstractNum>
  <w:abstractNum w:abstractNumId="14" w15:restartNumberingAfterBreak="0">
    <w:nsid w:val="20A477FC"/>
    <w:multiLevelType w:val="hybridMultilevel"/>
    <w:tmpl w:val="88908EDA"/>
    <w:lvl w:ilvl="0" w:tplc="7332BB4E">
      <w:start w:val="1"/>
      <w:numFmt w:val="lowerRoman"/>
      <w:pStyle w:val="Bodynumbered-Level3"/>
      <w:lvlText w:val="%1."/>
      <w:lvlJc w:val="left"/>
      <w:pPr>
        <w:ind w:left="1740" w:hanging="360"/>
      </w:pPr>
      <w:rPr>
        <w:rFonts w:hint="default"/>
        <w:color w:val="000000" w:themeColor="text1"/>
      </w:rPr>
    </w:lvl>
    <w:lvl w:ilvl="1" w:tplc="0C090019" w:tentative="1">
      <w:start w:val="1"/>
      <w:numFmt w:val="lowerLetter"/>
      <w:lvlText w:val="%2."/>
      <w:lvlJc w:val="left"/>
      <w:pPr>
        <w:ind w:left="2460" w:hanging="360"/>
      </w:pPr>
    </w:lvl>
    <w:lvl w:ilvl="2" w:tplc="0C09001B" w:tentative="1">
      <w:start w:val="1"/>
      <w:numFmt w:val="lowerRoman"/>
      <w:lvlText w:val="%3."/>
      <w:lvlJc w:val="right"/>
      <w:pPr>
        <w:ind w:left="3180" w:hanging="180"/>
      </w:pPr>
    </w:lvl>
    <w:lvl w:ilvl="3" w:tplc="0C09000F" w:tentative="1">
      <w:start w:val="1"/>
      <w:numFmt w:val="decimal"/>
      <w:lvlText w:val="%4."/>
      <w:lvlJc w:val="left"/>
      <w:pPr>
        <w:ind w:left="3900" w:hanging="360"/>
      </w:pPr>
    </w:lvl>
    <w:lvl w:ilvl="4" w:tplc="0C090019" w:tentative="1">
      <w:start w:val="1"/>
      <w:numFmt w:val="lowerLetter"/>
      <w:lvlText w:val="%5."/>
      <w:lvlJc w:val="left"/>
      <w:pPr>
        <w:ind w:left="4620" w:hanging="360"/>
      </w:pPr>
    </w:lvl>
    <w:lvl w:ilvl="5" w:tplc="0C09001B" w:tentative="1">
      <w:start w:val="1"/>
      <w:numFmt w:val="lowerRoman"/>
      <w:lvlText w:val="%6."/>
      <w:lvlJc w:val="right"/>
      <w:pPr>
        <w:ind w:left="5340" w:hanging="180"/>
      </w:pPr>
    </w:lvl>
    <w:lvl w:ilvl="6" w:tplc="0C09000F" w:tentative="1">
      <w:start w:val="1"/>
      <w:numFmt w:val="decimal"/>
      <w:lvlText w:val="%7."/>
      <w:lvlJc w:val="left"/>
      <w:pPr>
        <w:ind w:left="6060" w:hanging="360"/>
      </w:pPr>
    </w:lvl>
    <w:lvl w:ilvl="7" w:tplc="0C090019" w:tentative="1">
      <w:start w:val="1"/>
      <w:numFmt w:val="lowerLetter"/>
      <w:lvlText w:val="%8."/>
      <w:lvlJc w:val="left"/>
      <w:pPr>
        <w:ind w:left="6780" w:hanging="360"/>
      </w:pPr>
    </w:lvl>
    <w:lvl w:ilvl="8" w:tplc="0C09001B" w:tentative="1">
      <w:start w:val="1"/>
      <w:numFmt w:val="lowerRoman"/>
      <w:lvlText w:val="%9."/>
      <w:lvlJc w:val="right"/>
      <w:pPr>
        <w:ind w:left="7500" w:hanging="180"/>
      </w:pPr>
    </w:lvl>
  </w:abstractNum>
  <w:abstractNum w:abstractNumId="15" w15:restartNumberingAfterBreak="0">
    <w:nsid w:val="222F2D20"/>
    <w:multiLevelType w:val="hybridMultilevel"/>
    <w:tmpl w:val="B80644A4"/>
    <w:lvl w:ilvl="0" w:tplc="944CABAA">
      <w:start w:val="1"/>
      <w:numFmt w:val="bullet"/>
      <w:pStyle w:val="Bulletlevel1"/>
      <w:lvlText w:val=""/>
      <w:lvlJc w:val="left"/>
      <w:pPr>
        <w:ind w:left="360" w:hanging="360"/>
      </w:pPr>
      <w:rPr>
        <w:rFonts w:ascii="Symbol" w:hAnsi="Symbol" w:cs="Calibri" w:hint="default"/>
        <w:bCs w:val="0"/>
        <w:iCs w:val="0"/>
        <w:caps w:val="0"/>
        <w:strike w:val="0"/>
        <w:dstrike w:val="0"/>
        <w:vanish w:val="0"/>
        <w:color w:val="0F293A"/>
        <w:sz w:val="22"/>
        <w:szCs w:val="22"/>
        <w:vertAlign w:val="baseline"/>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26764520"/>
    <w:multiLevelType w:val="hybridMultilevel"/>
    <w:tmpl w:val="483CA03E"/>
    <w:lvl w:ilvl="0" w:tplc="8572FE1E">
      <w:start w:val="1"/>
      <w:numFmt w:val="lowerLetter"/>
      <w:pStyle w:val="Boxlist-Alpha"/>
      <w:lvlText w:val="%1."/>
      <w:lvlJc w:val="left"/>
      <w:pPr>
        <w:ind w:left="720" w:hanging="360"/>
      </w:pPr>
      <w:rPr>
        <w:rFonts w:hint="default"/>
        <w:b/>
        <w:i w:val="0"/>
        <w:color w:val="1F4E79" w:themeColor="accent1" w:themeShade="80"/>
        <w:sz w:val="2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29FA1B61"/>
    <w:multiLevelType w:val="multilevel"/>
    <w:tmpl w:val="F1F28074"/>
    <w:lvl w:ilvl="0">
      <w:start w:val="1"/>
      <w:numFmt w:val="bullet"/>
      <w:pStyle w:val="BCRbodybullet-Level1"/>
      <w:lvlText w:val=""/>
      <w:lvlJc w:val="left"/>
      <w:pPr>
        <w:ind w:left="720" w:hanging="360"/>
      </w:pPr>
      <w:rPr>
        <w:rFonts w:ascii="Symbol" w:hAnsi="Symbol" w:hint="default"/>
        <w:color w:val="000000" w:themeColor="text1"/>
      </w:rPr>
    </w:lvl>
    <w:lvl w:ilvl="1">
      <w:start w:val="1"/>
      <w:numFmt w:val="bullet"/>
      <w:pStyle w:val="BCRbodybullet-Level2"/>
      <w:lvlText w:val="-"/>
      <w:lvlJc w:val="left"/>
      <w:pPr>
        <w:ind w:left="1284" w:hanging="34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8" w15:restartNumberingAfterBreak="0">
    <w:nsid w:val="2BD67DAE"/>
    <w:multiLevelType w:val="multilevel"/>
    <w:tmpl w:val="0C09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9" w15:restartNumberingAfterBreak="0">
    <w:nsid w:val="3C8F0AC3"/>
    <w:multiLevelType w:val="hybridMultilevel"/>
    <w:tmpl w:val="21006FDE"/>
    <w:lvl w:ilvl="0" w:tplc="7B5CFF08">
      <w:start w:val="1"/>
      <w:numFmt w:val="bullet"/>
      <w:pStyle w:val="Bodybullet-Level3"/>
      <w:lvlText w:val=""/>
      <w:lvlJc w:val="left"/>
      <w:pPr>
        <w:ind w:left="1400" w:hanging="360"/>
      </w:pPr>
      <w:rPr>
        <w:rFonts w:ascii="Symbol" w:hAnsi="Symbol" w:hint="default"/>
        <w:color w:val="000000" w:themeColor="text1"/>
      </w:rPr>
    </w:lvl>
    <w:lvl w:ilvl="1" w:tplc="0C090003" w:tentative="1">
      <w:start w:val="1"/>
      <w:numFmt w:val="bullet"/>
      <w:lvlText w:val="o"/>
      <w:lvlJc w:val="left"/>
      <w:pPr>
        <w:ind w:left="2120" w:hanging="360"/>
      </w:pPr>
      <w:rPr>
        <w:rFonts w:ascii="Courier New" w:hAnsi="Courier New" w:cs="Courier New" w:hint="default"/>
      </w:rPr>
    </w:lvl>
    <w:lvl w:ilvl="2" w:tplc="0C090005" w:tentative="1">
      <w:start w:val="1"/>
      <w:numFmt w:val="bullet"/>
      <w:lvlText w:val=""/>
      <w:lvlJc w:val="left"/>
      <w:pPr>
        <w:ind w:left="2840" w:hanging="360"/>
      </w:pPr>
      <w:rPr>
        <w:rFonts w:ascii="Wingdings" w:hAnsi="Wingdings" w:hint="default"/>
      </w:rPr>
    </w:lvl>
    <w:lvl w:ilvl="3" w:tplc="0C090001" w:tentative="1">
      <w:start w:val="1"/>
      <w:numFmt w:val="bullet"/>
      <w:lvlText w:val=""/>
      <w:lvlJc w:val="left"/>
      <w:pPr>
        <w:ind w:left="3560" w:hanging="360"/>
      </w:pPr>
      <w:rPr>
        <w:rFonts w:ascii="Symbol" w:hAnsi="Symbol" w:hint="default"/>
      </w:rPr>
    </w:lvl>
    <w:lvl w:ilvl="4" w:tplc="0C090003" w:tentative="1">
      <w:start w:val="1"/>
      <w:numFmt w:val="bullet"/>
      <w:lvlText w:val="o"/>
      <w:lvlJc w:val="left"/>
      <w:pPr>
        <w:ind w:left="4280" w:hanging="360"/>
      </w:pPr>
      <w:rPr>
        <w:rFonts w:ascii="Courier New" w:hAnsi="Courier New" w:cs="Courier New" w:hint="default"/>
      </w:rPr>
    </w:lvl>
    <w:lvl w:ilvl="5" w:tplc="0C090005" w:tentative="1">
      <w:start w:val="1"/>
      <w:numFmt w:val="bullet"/>
      <w:lvlText w:val=""/>
      <w:lvlJc w:val="left"/>
      <w:pPr>
        <w:ind w:left="5000" w:hanging="360"/>
      </w:pPr>
      <w:rPr>
        <w:rFonts w:ascii="Wingdings" w:hAnsi="Wingdings" w:hint="default"/>
      </w:rPr>
    </w:lvl>
    <w:lvl w:ilvl="6" w:tplc="0C090001" w:tentative="1">
      <w:start w:val="1"/>
      <w:numFmt w:val="bullet"/>
      <w:lvlText w:val=""/>
      <w:lvlJc w:val="left"/>
      <w:pPr>
        <w:ind w:left="5720" w:hanging="360"/>
      </w:pPr>
      <w:rPr>
        <w:rFonts w:ascii="Symbol" w:hAnsi="Symbol" w:hint="default"/>
      </w:rPr>
    </w:lvl>
    <w:lvl w:ilvl="7" w:tplc="0C090003" w:tentative="1">
      <w:start w:val="1"/>
      <w:numFmt w:val="bullet"/>
      <w:lvlText w:val="o"/>
      <w:lvlJc w:val="left"/>
      <w:pPr>
        <w:ind w:left="6440" w:hanging="360"/>
      </w:pPr>
      <w:rPr>
        <w:rFonts w:ascii="Courier New" w:hAnsi="Courier New" w:cs="Courier New" w:hint="default"/>
      </w:rPr>
    </w:lvl>
    <w:lvl w:ilvl="8" w:tplc="0C090005" w:tentative="1">
      <w:start w:val="1"/>
      <w:numFmt w:val="bullet"/>
      <w:lvlText w:val=""/>
      <w:lvlJc w:val="left"/>
      <w:pPr>
        <w:ind w:left="7160" w:hanging="360"/>
      </w:pPr>
      <w:rPr>
        <w:rFonts w:ascii="Wingdings" w:hAnsi="Wingdings" w:hint="default"/>
      </w:rPr>
    </w:lvl>
  </w:abstractNum>
  <w:abstractNum w:abstractNumId="20" w15:restartNumberingAfterBreak="0">
    <w:nsid w:val="3E6606BB"/>
    <w:multiLevelType w:val="multilevel"/>
    <w:tmpl w:val="F5927E24"/>
    <w:lvl w:ilvl="0">
      <w:start w:val="1"/>
      <w:numFmt w:val="decimal"/>
      <w:pStyle w:val="BCRbodynumbered-Level1"/>
      <w:lvlText w:val="%1."/>
      <w:lvlJc w:val="left"/>
      <w:pPr>
        <w:ind w:left="700" w:hanging="360"/>
      </w:pPr>
      <w:rPr>
        <w:rFonts w:hint="default"/>
        <w:b/>
        <w:bCs/>
        <w:i w:val="0"/>
        <w:iCs w:val="0"/>
        <w:color w:val="1F4E79" w:themeColor="accent1" w:themeShade="80"/>
        <w:sz w:val="20"/>
        <w:szCs w:val="22"/>
      </w:rPr>
    </w:lvl>
    <w:lvl w:ilvl="1">
      <w:start w:val="1"/>
      <w:numFmt w:val="lowerLetter"/>
      <w:lvlText w:val="%2."/>
      <w:lvlJc w:val="left"/>
      <w:pPr>
        <w:ind w:left="1020" w:hanging="340"/>
      </w:pPr>
      <w:rPr>
        <w:rFonts w:hint="default"/>
        <w:b/>
        <w:bCs/>
        <w:i w:val="0"/>
        <w:iCs w:val="0"/>
        <w:color w:val="0072B9"/>
        <w:sz w:val="22"/>
        <w:szCs w:val="22"/>
      </w:rPr>
    </w:lvl>
    <w:lvl w:ilvl="2">
      <w:start w:val="1"/>
      <w:numFmt w:val="lowerRoman"/>
      <w:lvlText w:val="%3"/>
      <w:lvlJc w:val="left"/>
      <w:pPr>
        <w:ind w:left="1361" w:hanging="341"/>
      </w:pPr>
      <w:rPr>
        <w:rFonts w:hint="default"/>
        <w:b/>
        <w:bCs/>
        <w:i w:val="0"/>
        <w:iCs w:val="0"/>
        <w:color w:val="0072B9"/>
        <w:sz w:val="22"/>
        <w:szCs w:val="22"/>
      </w:rPr>
    </w:lvl>
    <w:lvl w:ilvl="3">
      <w:start w:val="1"/>
      <w:numFmt w:val="none"/>
      <w:lvlText w:val=""/>
      <w:lvlJc w:val="left"/>
      <w:pPr>
        <w:ind w:left="1361" w:firstLine="0"/>
      </w:pPr>
      <w:rPr>
        <w:rFonts w:hint="default"/>
      </w:rPr>
    </w:lvl>
    <w:lvl w:ilvl="4">
      <w:start w:val="1"/>
      <w:numFmt w:val="none"/>
      <w:lvlText w:val=""/>
      <w:lvlJc w:val="left"/>
      <w:pPr>
        <w:ind w:left="1361" w:firstLine="0"/>
      </w:pPr>
      <w:rPr>
        <w:rFonts w:hint="default"/>
      </w:rPr>
    </w:lvl>
    <w:lvl w:ilvl="5">
      <w:start w:val="1"/>
      <w:numFmt w:val="none"/>
      <w:lvlText w:val=""/>
      <w:lvlJc w:val="left"/>
      <w:pPr>
        <w:ind w:left="1361" w:firstLine="0"/>
      </w:pPr>
      <w:rPr>
        <w:rFonts w:hint="default"/>
      </w:rPr>
    </w:lvl>
    <w:lvl w:ilvl="6">
      <w:start w:val="1"/>
      <w:numFmt w:val="none"/>
      <w:lvlText w:val=""/>
      <w:lvlJc w:val="left"/>
      <w:pPr>
        <w:ind w:left="1361" w:firstLine="0"/>
      </w:pPr>
      <w:rPr>
        <w:rFonts w:hint="default"/>
      </w:rPr>
    </w:lvl>
    <w:lvl w:ilvl="7">
      <w:start w:val="1"/>
      <w:numFmt w:val="none"/>
      <w:lvlText w:val="%8"/>
      <w:lvlJc w:val="left"/>
      <w:pPr>
        <w:ind w:left="1361" w:firstLine="0"/>
      </w:pPr>
      <w:rPr>
        <w:rFonts w:hint="default"/>
      </w:rPr>
    </w:lvl>
    <w:lvl w:ilvl="8">
      <w:start w:val="1"/>
      <w:numFmt w:val="none"/>
      <w:lvlText w:val="%9"/>
      <w:lvlJc w:val="left"/>
      <w:pPr>
        <w:ind w:left="1361" w:firstLine="0"/>
      </w:pPr>
      <w:rPr>
        <w:rFonts w:hint="default"/>
      </w:rPr>
    </w:lvl>
  </w:abstractNum>
  <w:abstractNum w:abstractNumId="21" w15:restartNumberingAfterBreak="0">
    <w:nsid w:val="4BF77995"/>
    <w:multiLevelType w:val="multilevel"/>
    <w:tmpl w:val="FEE67744"/>
    <w:lvl w:ilvl="0">
      <w:start w:val="1"/>
      <w:numFmt w:val="bullet"/>
      <w:pStyle w:val="Bodybullet-Level0"/>
      <w:lvlText w:val=""/>
      <w:lvlJc w:val="left"/>
      <w:pPr>
        <w:ind w:left="340" w:hanging="340"/>
      </w:pPr>
      <w:rPr>
        <w:rFonts w:ascii="Symbol" w:hAnsi="Symbol" w:hint="default"/>
        <w:color w:val="00728F"/>
        <w:sz w:val="18"/>
      </w:rPr>
    </w:lvl>
    <w:lvl w:ilvl="1">
      <w:start w:val="1"/>
      <w:numFmt w:val="bullet"/>
      <w:lvlText w:val="­"/>
      <w:lvlJc w:val="left"/>
      <w:pPr>
        <w:ind w:left="680" w:hanging="340"/>
      </w:pPr>
      <w:rPr>
        <w:rFonts w:ascii="Courier New" w:hAnsi="Courier New" w:hint="default"/>
        <w:color w:val="00728F"/>
        <w:sz w:val="18"/>
      </w:rPr>
    </w:lvl>
    <w:lvl w:ilvl="2">
      <w:start w:val="1"/>
      <w:numFmt w:val="bullet"/>
      <w:lvlText w:val=""/>
      <w:lvlJc w:val="left"/>
      <w:pPr>
        <w:ind w:left="1021" w:hanging="341"/>
      </w:pPr>
      <w:rPr>
        <w:rFonts w:ascii="Symbol" w:hAnsi="Symbol" w:hint="default"/>
        <w:color w:val="00728F"/>
        <w:sz w:val="18"/>
      </w:rPr>
    </w:lvl>
    <w:lvl w:ilvl="3">
      <w:start w:val="1"/>
      <w:numFmt w:val="bullet"/>
      <w:lvlText w:val="­"/>
      <w:lvlJc w:val="left"/>
      <w:pPr>
        <w:ind w:left="1361" w:hanging="340"/>
      </w:pPr>
      <w:rPr>
        <w:rFonts w:ascii="Courier New" w:hAnsi="Courier New" w:hint="default"/>
        <w:color w:val="auto"/>
      </w:rPr>
    </w:lvl>
    <w:lvl w:ilvl="4">
      <w:start w:val="1"/>
      <w:numFmt w:val="none"/>
      <w:lvlText w:val=""/>
      <w:lvlJc w:val="left"/>
      <w:pPr>
        <w:ind w:left="1361" w:firstLine="0"/>
      </w:pPr>
      <w:rPr>
        <w:rFonts w:hint="default"/>
      </w:rPr>
    </w:lvl>
    <w:lvl w:ilvl="5">
      <w:start w:val="1"/>
      <w:numFmt w:val="none"/>
      <w:lvlText w:val=""/>
      <w:lvlJc w:val="left"/>
      <w:pPr>
        <w:ind w:left="1361" w:firstLine="0"/>
      </w:pPr>
      <w:rPr>
        <w:rFonts w:hint="default"/>
      </w:rPr>
    </w:lvl>
    <w:lvl w:ilvl="6">
      <w:start w:val="1"/>
      <w:numFmt w:val="none"/>
      <w:lvlText w:val=""/>
      <w:lvlJc w:val="left"/>
      <w:pPr>
        <w:ind w:left="1361" w:firstLine="0"/>
      </w:pPr>
      <w:rPr>
        <w:rFonts w:hint="default"/>
      </w:rPr>
    </w:lvl>
    <w:lvl w:ilvl="7">
      <w:start w:val="1"/>
      <w:numFmt w:val="none"/>
      <w:lvlText w:val=""/>
      <w:lvlJc w:val="left"/>
      <w:pPr>
        <w:ind w:left="1361" w:firstLine="0"/>
      </w:pPr>
      <w:rPr>
        <w:rFonts w:hint="default"/>
      </w:rPr>
    </w:lvl>
    <w:lvl w:ilvl="8">
      <w:start w:val="1"/>
      <w:numFmt w:val="none"/>
      <w:lvlText w:val=""/>
      <w:lvlJc w:val="left"/>
      <w:pPr>
        <w:ind w:left="1361" w:firstLine="0"/>
      </w:pPr>
      <w:rPr>
        <w:rFonts w:hint="default"/>
      </w:rPr>
    </w:lvl>
  </w:abstractNum>
  <w:abstractNum w:abstractNumId="22" w15:restartNumberingAfterBreak="0">
    <w:nsid w:val="4F0F4896"/>
    <w:multiLevelType w:val="hybridMultilevel"/>
    <w:tmpl w:val="DE446150"/>
    <w:lvl w:ilvl="0" w:tplc="FCEA5AF4">
      <w:start w:val="1"/>
      <w:numFmt w:val="bullet"/>
      <w:pStyle w:val="Tickedboxbulletpoint"/>
      <w:lvlText w:val=""/>
      <w:lvlJc w:val="left"/>
      <w:pPr>
        <w:ind w:left="720" w:hanging="360"/>
      </w:pPr>
      <w:rPr>
        <w:rFonts w:ascii="Wingdings" w:hAnsi="Wingdings" w:hint="default"/>
        <w:caps w:val="0"/>
        <w:strike w:val="0"/>
        <w:dstrike w:val="0"/>
        <w:vanish w:val="0"/>
        <w:webHidden w:val="0"/>
        <w:color w:val="005391"/>
        <w:sz w:val="22"/>
        <w:u w:val="none"/>
        <w:effect w:val="none"/>
        <w:vertAlign w:val="baseline"/>
        <w:specVanish w:val="0"/>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3" w15:restartNumberingAfterBreak="0">
    <w:nsid w:val="540A43B6"/>
    <w:multiLevelType w:val="multilevel"/>
    <w:tmpl w:val="38D6B62E"/>
    <w:styleLink w:val="Style1"/>
    <w:lvl w:ilvl="0">
      <w:start w:val="1"/>
      <w:numFmt w:val="bullet"/>
      <w:lvlText w:val=""/>
      <w:lvlJc w:val="left"/>
      <w:pPr>
        <w:ind w:left="1080" w:hanging="360"/>
      </w:pPr>
      <w:rPr>
        <w:rFonts w:ascii="Symbol" w:hAnsi="Symbol" w:hint="default"/>
        <w:color w:val="000000" w:themeColor="text1"/>
      </w:rPr>
    </w:lvl>
    <w:lvl w:ilvl="1">
      <w:start w:val="1"/>
      <w:numFmt w:val="bullet"/>
      <w:lvlText w:val="—"/>
      <w:lvlJc w:val="left"/>
      <w:pPr>
        <w:ind w:left="1800" w:hanging="360"/>
      </w:pPr>
      <w:rPr>
        <w:rFonts w:ascii="Calibri" w:hAnsi="Calibri" w:cs="Courier New"/>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24" w15:restartNumberingAfterBreak="0">
    <w:nsid w:val="60E15E51"/>
    <w:multiLevelType w:val="multilevel"/>
    <w:tmpl w:val="F6C0C84E"/>
    <w:lvl w:ilvl="0">
      <w:start w:val="1"/>
      <w:numFmt w:val="bullet"/>
      <w:pStyle w:val="Tablebullet-Level1"/>
      <w:lvlText w:val=""/>
      <w:lvlJc w:val="left"/>
      <w:pPr>
        <w:ind w:left="360" w:hanging="360"/>
      </w:pPr>
      <w:rPr>
        <w:rFonts w:ascii="Symbol" w:hAnsi="Symbol" w:hint="default"/>
        <w:color w:val="000000" w:themeColor="text1"/>
        <w:sz w:val="18"/>
        <w:szCs w:val="18"/>
      </w:rPr>
    </w:lvl>
    <w:lvl w:ilvl="1">
      <w:start w:val="1"/>
      <w:numFmt w:val="bullet"/>
      <w:pStyle w:val="Tablebullet-Level2"/>
      <w:lvlText w:val="­"/>
      <w:lvlJc w:val="left"/>
      <w:pPr>
        <w:ind w:left="680" w:hanging="340"/>
      </w:pPr>
      <w:rPr>
        <w:rFonts w:ascii="Courier New" w:hAnsi="Courier New" w:hint="default"/>
        <w:color w:val="00728F"/>
        <w:sz w:val="18"/>
      </w:rPr>
    </w:lvl>
    <w:lvl w:ilvl="2">
      <w:start w:val="1"/>
      <w:numFmt w:val="bullet"/>
      <w:lvlText w:val=""/>
      <w:lvlJc w:val="left"/>
      <w:pPr>
        <w:ind w:left="1021" w:hanging="341"/>
      </w:pPr>
      <w:rPr>
        <w:rFonts w:ascii="Symbol" w:hAnsi="Symbol" w:hint="default"/>
        <w:color w:val="00728F"/>
        <w:sz w:val="18"/>
      </w:rPr>
    </w:lvl>
    <w:lvl w:ilvl="3">
      <w:start w:val="1"/>
      <w:numFmt w:val="bullet"/>
      <w:lvlText w:val="­"/>
      <w:lvlJc w:val="left"/>
      <w:pPr>
        <w:ind w:left="1361" w:hanging="340"/>
      </w:pPr>
      <w:rPr>
        <w:rFonts w:ascii="Courier New" w:hAnsi="Courier New" w:hint="default"/>
        <w:color w:val="auto"/>
      </w:rPr>
    </w:lvl>
    <w:lvl w:ilvl="4">
      <w:start w:val="1"/>
      <w:numFmt w:val="none"/>
      <w:lvlText w:val=""/>
      <w:lvlJc w:val="left"/>
      <w:pPr>
        <w:ind w:left="1361" w:firstLine="0"/>
      </w:pPr>
      <w:rPr>
        <w:rFonts w:hint="default"/>
      </w:rPr>
    </w:lvl>
    <w:lvl w:ilvl="5">
      <w:start w:val="1"/>
      <w:numFmt w:val="none"/>
      <w:lvlText w:val=""/>
      <w:lvlJc w:val="left"/>
      <w:pPr>
        <w:ind w:left="1361" w:firstLine="0"/>
      </w:pPr>
      <w:rPr>
        <w:rFonts w:hint="default"/>
      </w:rPr>
    </w:lvl>
    <w:lvl w:ilvl="6">
      <w:start w:val="1"/>
      <w:numFmt w:val="none"/>
      <w:lvlText w:val=""/>
      <w:lvlJc w:val="left"/>
      <w:pPr>
        <w:ind w:left="1361" w:firstLine="0"/>
      </w:pPr>
      <w:rPr>
        <w:rFonts w:hint="default"/>
      </w:rPr>
    </w:lvl>
    <w:lvl w:ilvl="7">
      <w:start w:val="1"/>
      <w:numFmt w:val="none"/>
      <w:lvlText w:val=""/>
      <w:lvlJc w:val="left"/>
      <w:pPr>
        <w:ind w:left="1361" w:firstLine="0"/>
      </w:pPr>
      <w:rPr>
        <w:rFonts w:hint="default"/>
      </w:rPr>
    </w:lvl>
    <w:lvl w:ilvl="8">
      <w:start w:val="1"/>
      <w:numFmt w:val="none"/>
      <w:lvlText w:val=""/>
      <w:lvlJc w:val="left"/>
      <w:pPr>
        <w:ind w:left="1361" w:firstLine="0"/>
      </w:pPr>
      <w:rPr>
        <w:rFonts w:hint="default"/>
      </w:rPr>
    </w:lvl>
  </w:abstractNum>
  <w:abstractNum w:abstractNumId="25" w15:restartNumberingAfterBreak="0">
    <w:nsid w:val="6E1F7CC9"/>
    <w:multiLevelType w:val="hybridMultilevel"/>
    <w:tmpl w:val="1646C9A0"/>
    <w:lvl w:ilvl="0" w:tplc="B680BA64">
      <w:start w:val="1"/>
      <w:numFmt w:val="decimal"/>
      <w:pStyle w:val="Tablelist-Numbered"/>
      <w:lvlText w:val="%1."/>
      <w:lvlJc w:val="left"/>
      <w:pPr>
        <w:ind w:left="394" w:hanging="360"/>
      </w:pPr>
      <w:rPr>
        <w:rFonts w:hint="default"/>
        <w:b/>
        <w:i w:val="0"/>
        <w:color w:val="000000" w:themeColor="text1"/>
        <w:sz w:val="2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0">
    <w:nsid w:val="6E615F19"/>
    <w:multiLevelType w:val="multilevel"/>
    <w:tmpl w:val="0C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744E22C0"/>
    <w:multiLevelType w:val="hybridMultilevel"/>
    <w:tmpl w:val="EBE202A8"/>
    <w:lvl w:ilvl="0" w:tplc="275EC662">
      <w:start w:val="1"/>
      <w:numFmt w:val="bullet"/>
      <w:pStyle w:val="Boxbullet"/>
      <w:lvlText w:val=""/>
      <w:lvlJc w:val="left"/>
      <w:pPr>
        <w:ind w:left="720" w:hanging="360"/>
      </w:pPr>
      <w:rPr>
        <w:rFonts w:ascii="Symbol" w:hAnsi="Symbol" w:hint="default"/>
        <w:color w:val="00728F"/>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75050778"/>
    <w:multiLevelType w:val="multilevel"/>
    <w:tmpl w:val="DAB27858"/>
    <w:lvl w:ilvl="0">
      <w:start w:val="1"/>
      <w:numFmt w:val="upperLetter"/>
      <w:pStyle w:val="Appendix-Heading1"/>
      <w:lvlText w:val="%1."/>
      <w:lvlJc w:val="left"/>
      <w:pPr>
        <w:ind w:left="907" w:hanging="907"/>
      </w:pPr>
      <w:rPr>
        <w:rFonts w:hint="default"/>
      </w:rPr>
    </w:lvl>
    <w:lvl w:ilvl="1">
      <w:start w:val="1"/>
      <w:numFmt w:val="decimal"/>
      <w:pStyle w:val="Appendix-Heading2"/>
      <w:lvlText w:val="%1.%2."/>
      <w:lvlJc w:val="left"/>
      <w:pPr>
        <w:ind w:left="907" w:hanging="907"/>
      </w:pPr>
      <w:rPr>
        <w:rFonts w:hint="default"/>
      </w:rPr>
    </w:lvl>
    <w:lvl w:ilvl="2">
      <w:start w:val="1"/>
      <w:numFmt w:val="decimal"/>
      <w:pStyle w:val="Appendix-Heading3"/>
      <w:lvlText w:val="%1.%2.%3."/>
      <w:lvlJc w:val="left"/>
      <w:pPr>
        <w:ind w:left="907" w:hanging="907"/>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9" w15:restartNumberingAfterBreak="0">
    <w:nsid w:val="75B504F0"/>
    <w:multiLevelType w:val="hybridMultilevel"/>
    <w:tmpl w:val="AC4ED6F8"/>
    <w:lvl w:ilvl="0" w:tplc="91E8E848">
      <w:start w:val="1"/>
      <w:numFmt w:val="bullet"/>
      <w:pStyle w:val="Checkboxemptybulletpoint"/>
      <w:lvlText w:val=""/>
      <w:lvlJc w:val="left"/>
      <w:pPr>
        <w:ind w:left="360" w:hanging="360"/>
      </w:pPr>
      <w:rPr>
        <w:rFonts w:ascii="Wingdings" w:hAnsi="Wingdings" w:hint="default"/>
        <w:caps w:val="0"/>
        <w:strike w:val="0"/>
        <w:dstrike w:val="0"/>
        <w:vanish w:val="0"/>
        <w:webHidden w:val="0"/>
        <w:color w:val="0F293A"/>
        <w:sz w:val="22"/>
        <w:u w:val="none"/>
        <w:effect w:val="none"/>
        <w:vertAlign w:val="baseline"/>
        <w:specVanish w:val="0"/>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num w:numId="1">
    <w:abstractNumId w:val="15"/>
  </w:num>
  <w:num w:numId="2">
    <w:abstractNumId w:val="22"/>
  </w:num>
  <w:num w:numId="3">
    <w:abstractNumId w:val="29"/>
  </w:num>
  <w:num w:numId="4">
    <w:abstractNumId w:val="11"/>
  </w:num>
  <w:num w:numId="5">
    <w:abstractNumId w:val="9"/>
  </w:num>
  <w:num w:numId="6">
    <w:abstractNumId w:val="7"/>
  </w:num>
  <w:num w:numId="7">
    <w:abstractNumId w:val="6"/>
  </w:num>
  <w:num w:numId="8">
    <w:abstractNumId w:val="5"/>
  </w:num>
  <w:num w:numId="9">
    <w:abstractNumId w:val="4"/>
  </w:num>
  <w:num w:numId="10">
    <w:abstractNumId w:val="8"/>
  </w:num>
  <w:num w:numId="11">
    <w:abstractNumId w:val="3"/>
  </w:num>
  <w:num w:numId="12">
    <w:abstractNumId w:val="2"/>
  </w:num>
  <w:num w:numId="13">
    <w:abstractNumId w:val="1"/>
  </w:num>
  <w:num w:numId="14">
    <w:abstractNumId w:val="0"/>
  </w:num>
  <w:num w:numId="15">
    <w:abstractNumId w:val="21"/>
  </w:num>
  <w:num w:numId="16">
    <w:abstractNumId w:val="24"/>
  </w:num>
  <w:num w:numId="17">
    <w:abstractNumId w:val="20"/>
  </w:num>
  <w:num w:numId="18">
    <w:abstractNumId w:val="27"/>
  </w:num>
  <w:num w:numId="19">
    <w:abstractNumId w:val="25"/>
  </w:num>
  <w:num w:numId="20">
    <w:abstractNumId w:val="26"/>
  </w:num>
  <w:num w:numId="21">
    <w:abstractNumId w:val="10"/>
  </w:num>
  <w:num w:numId="22">
    <w:abstractNumId w:val="18"/>
  </w:num>
  <w:num w:numId="2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8"/>
  </w:num>
  <w:num w:numId="25">
    <w:abstractNumId w:val="17"/>
  </w:num>
  <w:num w:numId="26">
    <w:abstractNumId w:val="14"/>
  </w:num>
  <w:num w:numId="27">
    <w:abstractNumId w:val="16"/>
  </w:num>
  <w:num w:numId="28">
    <w:abstractNumId w:val="13"/>
  </w:num>
  <w:num w:numId="29">
    <w:abstractNumId w:val="23"/>
  </w:num>
  <w:num w:numId="30">
    <w:abstractNumId w:val="19"/>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6413"/>
    <w:rsid w:val="000248E0"/>
    <w:rsid w:val="000249BC"/>
    <w:rsid w:val="000A53E6"/>
    <w:rsid w:val="000C25F0"/>
    <w:rsid w:val="000C460E"/>
    <w:rsid w:val="000E18E3"/>
    <w:rsid w:val="000E1A93"/>
    <w:rsid w:val="000E31DD"/>
    <w:rsid w:val="000F2ED9"/>
    <w:rsid w:val="001061E5"/>
    <w:rsid w:val="001D3AAF"/>
    <w:rsid w:val="001F3924"/>
    <w:rsid w:val="00226203"/>
    <w:rsid w:val="0024105A"/>
    <w:rsid w:val="00285881"/>
    <w:rsid w:val="00297528"/>
    <w:rsid w:val="002B0472"/>
    <w:rsid w:val="002C6776"/>
    <w:rsid w:val="002D7EAC"/>
    <w:rsid w:val="003509FE"/>
    <w:rsid w:val="0037566A"/>
    <w:rsid w:val="00391A40"/>
    <w:rsid w:val="003F0A2D"/>
    <w:rsid w:val="0040012A"/>
    <w:rsid w:val="004046C2"/>
    <w:rsid w:val="0040622C"/>
    <w:rsid w:val="0045434B"/>
    <w:rsid w:val="0047258C"/>
    <w:rsid w:val="004C5FB0"/>
    <w:rsid w:val="004C719D"/>
    <w:rsid w:val="004D1391"/>
    <w:rsid w:val="004F024A"/>
    <w:rsid w:val="004F3C4E"/>
    <w:rsid w:val="00507E41"/>
    <w:rsid w:val="005263B0"/>
    <w:rsid w:val="00534F43"/>
    <w:rsid w:val="00535ADA"/>
    <w:rsid w:val="00540B2F"/>
    <w:rsid w:val="00556638"/>
    <w:rsid w:val="00566376"/>
    <w:rsid w:val="00567FAF"/>
    <w:rsid w:val="005700B7"/>
    <w:rsid w:val="00597042"/>
    <w:rsid w:val="005B4B7C"/>
    <w:rsid w:val="005D1423"/>
    <w:rsid w:val="005E066F"/>
    <w:rsid w:val="005F08D5"/>
    <w:rsid w:val="0060346D"/>
    <w:rsid w:val="00606BE5"/>
    <w:rsid w:val="00612A2A"/>
    <w:rsid w:val="00641088"/>
    <w:rsid w:val="0064771D"/>
    <w:rsid w:val="00666FC7"/>
    <w:rsid w:val="006A19A2"/>
    <w:rsid w:val="006C2331"/>
    <w:rsid w:val="006D014F"/>
    <w:rsid w:val="00704775"/>
    <w:rsid w:val="00715BC8"/>
    <w:rsid w:val="007531BB"/>
    <w:rsid w:val="00770928"/>
    <w:rsid w:val="00796C39"/>
    <w:rsid w:val="007C0935"/>
    <w:rsid w:val="0080530D"/>
    <w:rsid w:val="00815DD0"/>
    <w:rsid w:val="00832492"/>
    <w:rsid w:val="0084603E"/>
    <w:rsid w:val="00852E5C"/>
    <w:rsid w:val="00853419"/>
    <w:rsid w:val="008A0CB2"/>
    <w:rsid w:val="008A312B"/>
    <w:rsid w:val="008A6EBC"/>
    <w:rsid w:val="008C0218"/>
    <w:rsid w:val="008C6204"/>
    <w:rsid w:val="008C6C53"/>
    <w:rsid w:val="008D36D1"/>
    <w:rsid w:val="009310B1"/>
    <w:rsid w:val="00931269"/>
    <w:rsid w:val="00933ABA"/>
    <w:rsid w:val="00945743"/>
    <w:rsid w:val="00987507"/>
    <w:rsid w:val="00991DF4"/>
    <w:rsid w:val="009A56D0"/>
    <w:rsid w:val="009D5F3C"/>
    <w:rsid w:val="00A30335"/>
    <w:rsid w:val="00A50344"/>
    <w:rsid w:val="00A625B3"/>
    <w:rsid w:val="00A669A1"/>
    <w:rsid w:val="00A7176A"/>
    <w:rsid w:val="00A72966"/>
    <w:rsid w:val="00A73082"/>
    <w:rsid w:val="00AF277C"/>
    <w:rsid w:val="00B20EA9"/>
    <w:rsid w:val="00B268BC"/>
    <w:rsid w:val="00B370BC"/>
    <w:rsid w:val="00B72C06"/>
    <w:rsid w:val="00B74F9F"/>
    <w:rsid w:val="00B94092"/>
    <w:rsid w:val="00BC0293"/>
    <w:rsid w:val="00BD69B7"/>
    <w:rsid w:val="00BE6F9D"/>
    <w:rsid w:val="00C331F6"/>
    <w:rsid w:val="00C44BDF"/>
    <w:rsid w:val="00C53C30"/>
    <w:rsid w:val="00C56413"/>
    <w:rsid w:val="00C61D2E"/>
    <w:rsid w:val="00C6576B"/>
    <w:rsid w:val="00C93B86"/>
    <w:rsid w:val="00C97AC9"/>
    <w:rsid w:val="00CD41C6"/>
    <w:rsid w:val="00D03788"/>
    <w:rsid w:val="00D24D05"/>
    <w:rsid w:val="00D2685D"/>
    <w:rsid w:val="00D419D2"/>
    <w:rsid w:val="00D54A6E"/>
    <w:rsid w:val="00D73822"/>
    <w:rsid w:val="00D83284"/>
    <w:rsid w:val="00DB095A"/>
    <w:rsid w:val="00DD4718"/>
    <w:rsid w:val="00E16466"/>
    <w:rsid w:val="00E240F8"/>
    <w:rsid w:val="00E24CC5"/>
    <w:rsid w:val="00E25A11"/>
    <w:rsid w:val="00E44746"/>
    <w:rsid w:val="00E56962"/>
    <w:rsid w:val="00E85992"/>
    <w:rsid w:val="00E926EA"/>
    <w:rsid w:val="00EB64F7"/>
    <w:rsid w:val="00EC0F01"/>
    <w:rsid w:val="00ED08CC"/>
    <w:rsid w:val="00ED6E52"/>
    <w:rsid w:val="00EF66EB"/>
    <w:rsid w:val="00F0693D"/>
    <w:rsid w:val="00F222BC"/>
    <w:rsid w:val="00F22CCE"/>
    <w:rsid w:val="00F36EFE"/>
    <w:rsid w:val="00F41896"/>
    <w:rsid w:val="00F729AE"/>
    <w:rsid w:val="00F977DF"/>
    <w:rsid w:val="00FA414F"/>
    <w:rsid w:val="00FA7C28"/>
    <w:rsid w:val="00FB4064"/>
    <w:rsid w:val="00FB6A4B"/>
    <w:rsid w:val="00FF180D"/>
  </w:rsids>
  <m:mathPr>
    <m:mathFont m:val="Cambria Math"/>
    <m:brkBin m:val="before"/>
    <m:brkBinSub m:val="--"/>
    <m:smallFrac m:val="0"/>
    <m:dispDef/>
    <m:lMargin m:val="0"/>
    <m:rMargin m:val="0"/>
    <m:defJc m:val="centerGroup"/>
    <m:wrapIndent m:val="1440"/>
    <m:intLim m:val="subSup"/>
    <m:naryLim m:val="undOvr"/>
  </m:mathPr>
  <w:themeFontLang w:val="en-AU" w:eastAsia="zh-TW" w:bidi="hi-IN"/>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67B1463"/>
  <w15:chartTrackingRefBased/>
  <w15:docId w15:val="{DE1EC045-CE8C-420A-98A5-130C4305B4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4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5"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5"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53C30"/>
    <w:pPr>
      <w:spacing w:after="240" w:line="240" w:lineRule="auto"/>
    </w:pPr>
  </w:style>
  <w:style w:type="paragraph" w:styleId="Heading1">
    <w:name w:val="heading 1"/>
    <w:basedOn w:val="Normal"/>
    <w:next w:val="Normal"/>
    <w:link w:val="Heading1Char"/>
    <w:uiPriority w:val="9"/>
    <w:qFormat/>
    <w:rsid w:val="00EC0F01"/>
    <w:pPr>
      <w:keepNext/>
      <w:tabs>
        <w:tab w:val="num" w:pos="360"/>
      </w:tabs>
      <w:spacing w:before="3000"/>
      <w:ind w:left="357" w:hanging="357"/>
      <w:outlineLvl w:val="0"/>
    </w:pPr>
    <w:rPr>
      <w:rFonts w:asciiTheme="majorHAnsi" w:eastAsiaTheme="majorEastAsia" w:hAnsiTheme="majorHAnsi" w:cstheme="majorBidi"/>
      <w:b/>
      <w:sz w:val="48"/>
      <w:szCs w:val="32"/>
    </w:rPr>
  </w:style>
  <w:style w:type="paragraph" w:styleId="Heading2">
    <w:name w:val="heading 2"/>
    <w:basedOn w:val="Normal"/>
    <w:next w:val="Normal"/>
    <w:link w:val="Heading2Char"/>
    <w:uiPriority w:val="9"/>
    <w:unhideWhenUsed/>
    <w:qFormat/>
    <w:rsid w:val="00E25A11"/>
    <w:pPr>
      <w:keepNext/>
      <w:tabs>
        <w:tab w:val="left" w:pos="2268"/>
      </w:tabs>
      <w:spacing w:before="120"/>
      <w:outlineLvl w:val="1"/>
    </w:pPr>
    <w:rPr>
      <w:rFonts w:asciiTheme="majorHAnsi" w:eastAsiaTheme="majorEastAsia" w:hAnsiTheme="majorHAnsi" w:cstheme="majorBidi"/>
      <w:b/>
      <w:color w:val="AB0F14"/>
      <w:sz w:val="36"/>
      <w:szCs w:val="26"/>
    </w:rPr>
  </w:style>
  <w:style w:type="paragraph" w:styleId="Heading3">
    <w:name w:val="heading 3"/>
    <w:basedOn w:val="Normal"/>
    <w:next w:val="Normal"/>
    <w:link w:val="Heading3Char"/>
    <w:uiPriority w:val="9"/>
    <w:unhideWhenUsed/>
    <w:qFormat/>
    <w:rsid w:val="00E25A11"/>
    <w:pPr>
      <w:keepNext/>
      <w:spacing w:before="120" w:after="120"/>
      <w:outlineLvl w:val="2"/>
    </w:pPr>
    <w:rPr>
      <w:rFonts w:asciiTheme="majorHAnsi" w:eastAsiaTheme="majorEastAsia" w:hAnsiTheme="majorHAnsi" w:cstheme="majorBidi"/>
      <w:b/>
      <w:color w:val="113652"/>
      <w:sz w:val="30"/>
      <w:szCs w:val="24"/>
    </w:rPr>
  </w:style>
  <w:style w:type="paragraph" w:styleId="Heading4">
    <w:name w:val="heading 4"/>
    <w:basedOn w:val="Normal"/>
    <w:next w:val="Normal"/>
    <w:link w:val="Heading4Char"/>
    <w:uiPriority w:val="9"/>
    <w:unhideWhenUsed/>
    <w:qFormat/>
    <w:rsid w:val="005700B7"/>
    <w:pPr>
      <w:keepNext/>
      <w:numPr>
        <w:ilvl w:val="3"/>
        <w:numId w:val="5"/>
      </w:numPr>
      <w:spacing w:before="120" w:after="60"/>
      <w:outlineLvl w:val="3"/>
    </w:pPr>
    <w:rPr>
      <w:rFonts w:asciiTheme="majorHAnsi" w:eastAsiaTheme="majorEastAsia" w:hAnsiTheme="majorHAnsi" w:cstheme="majorBidi"/>
      <w:b/>
      <w:iCs/>
      <w:sz w:val="24"/>
    </w:rPr>
  </w:style>
  <w:style w:type="paragraph" w:styleId="Heading5">
    <w:name w:val="heading 5"/>
    <w:basedOn w:val="Normal"/>
    <w:next w:val="Normal"/>
    <w:link w:val="Heading5Char"/>
    <w:uiPriority w:val="9"/>
    <w:unhideWhenUsed/>
    <w:qFormat/>
    <w:rsid w:val="009A56D0"/>
    <w:pPr>
      <w:keepNext/>
      <w:numPr>
        <w:ilvl w:val="4"/>
        <w:numId w:val="5"/>
      </w:numPr>
      <w:spacing w:after="60"/>
      <w:outlineLvl w:val="4"/>
    </w:pPr>
    <w:rPr>
      <w:rFonts w:asciiTheme="majorHAnsi" w:eastAsiaTheme="majorEastAsia" w:hAnsiTheme="majorHAnsi" w:cstheme="majorBidi"/>
      <w:color w:val="07478C"/>
    </w:rPr>
  </w:style>
  <w:style w:type="paragraph" w:styleId="Heading6">
    <w:name w:val="heading 6"/>
    <w:basedOn w:val="Normal"/>
    <w:next w:val="Normal"/>
    <w:link w:val="Heading6Char"/>
    <w:uiPriority w:val="9"/>
    <w:unhideWhenUsed/>
    <w:qFormat/>
    <w:rsid w:val="00987507"/>
    <w:pPr>
      <w:keepNext/>
      <w:keepLines/>
      <w:numPr>
        <w:ilvl w:val="5"/>
        <w:numId w:val="5"/>
      </w:numPr>
      <w:spacing w:before="200" w:after="0" w:line="276" w:lineRule="auto"/>
      <w:outlineLvl w:val="5"/>
    </w:pPr>
    <w:rPr>
      <w:rFonts w:asciiTheme="majorHAnsi" w:eastAsiaTheme="majorEastAsia" w:hAnsiTheme="majorHAnsi" w:cstheme="majorBidi"/>
      <w:i/>
      <w:iCs/>
      <w:color w:val="1F4D78" w:themeColor="accent1" w:themeShade="7F"/>
      <w:lang w:eastAsia="en-AU"/>
    </w:rPr>
  </w:style>
  <w:style w:type="paragraph" w:styleId="Heading7">
    <w:name w:val="heading 7"/>
    <w:basedOn w:val="Normal"/>
    <w:next w:val="Normal"/>
    <w:link w:val="Heading7Char"/>
    <w:uiPriority w:val="9"/>
    <w:semiHidden/>
    <w:unhideWhenUsed/>
    <w:qFormat/>
    <w:rsid w:val="00987507"/>
    <w:pPr>
      <w:keepNext/>
      <w:keepLines/>
      <w:numPr>
        <w:ilvl w:val="6"/>
        <w:numId w:val="5"/>
      </w:numPr>
      <w:spacing w:before="200" w:after="0" w:line="276" w:lineRule="auto"/>
      <w:outlineLvl w:val="6"/>
    </w:pPr>
    <w:rPr>
      <w:rFonts w:asciiTheme="majorHAnsi" w:eastAsiaTheme="majorEastAsia" w:hAnsiTheme="majorHAnsi" w:cstheme="majorBidi"/>
      <w:i/>
      <w:iCs/>
      <w:color w:val="404040" w:themeColor="text1" w:themeTint="BF"/>
      <w:lang w:eastAsia="en-AU"/>
    </w:rPr>
  </w:style>
  <w:style w:type="paragraph" w:styleId="Heading8">
    <w:name w:val="heading 8"/>
    <w:basedOn w:val="Normal"/>
    <w:next w:val="Normal"/>
    <w:link w:val="Heading8Char"/>
    <w:uiPriority w:val="9"/>
    <w:semiHidden/>
    <w:unhideWhenUsed/>
    <w:qFormat/>
    <w:rsid w:val="00987507"/>
    <w:pPr>
      <w:keepNext/>
      <w:keepLines/>
      <w:numPr>
        <w:ilvl w:val="7"/>
        <w:numId w:val="5"/>
      </w:numPr>
      <w:spacing w:before="200" w:after="0" w:line="276" w:lineRule="auto"/>
      <w:outlineLvl w:val="7"/>
    </w:pPr>
    <w:rPr>
      <w:rFonts w:asciiTheme="majorHAnsi" w:eastAsiaTheme="majorEastAsia" w:hAnsiTheme="majorHAnsi" w:cstheme="majorBidi"/>
      <w:color w:val="404040" w:themeColor="text1" w:themeTint="BF"/>
      <w:sz w:val="20"/>
      <w:szCs w:val="20"/>
      <w:lang w:eastAsia="en-AU"/>
    </w:rPr>
  </w:style>
  <w:style w:type="paragraph" w:styleId="Heading9">
    <w:name w:val="heading 9"/>
    <w:basedOn w:val="Normal"/>
    <w:next w:val="Normal"/>
    <w:link w:val="Heading9Char"/>
    <w:uiPriority w:val="9"/>
    <w:semiHidden/>
    <w:unhideWhenUsed/>
    <w:qFormat/>
    <w:rsid w:val="00987507"/>
    <w:pPr>
      <w:keepNext/>
      <w:keepLines/>
      <w:numPr>
        <w:ilvl w:val="8"/>
        <w:numId w:val="5"/>
      </w:numPr>
      <w:spacing w:before="200" w:after="0" w:line="276" w:lineRule="auto"/>
      <w:outlineLvl w:val="8"/>
    </w:pPr>
    <w:rPr>
      <w:rFonts w:asciiTheme="majorHAnsi" w:eastAsiaTheme="majorEastAsia" w:hAnsiTheme="majorHAnsi" w:cstheme="majorBidi"/>
      <w:i/>
      <w:iCs/>
      <w:color w:val="404040" w:themeColor="text1" w:themeTint="BF"/>
      <w:sz w:val="20"/>
      <w:szCs w:val="20"/>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C0F01"/>
    <w:rPr>
      <w:rFonts w:asciiTheme="majorHAnsi" w:eastAsiaTheme="majorEastAsia" w:hAnsiTheme="majorHAnsi" w:cstheme="majorBidi"/>
      <w:b/>
      <w:sz w:val="48"/>
      <w:szCs w:val="32"/>
    </w:rPr>
  </w:style>
  <w:style w:type="character" w:customStyle="1" w:styleId="Heading2Char">
    <w:name w:val="Heading 2 Char"/>
    <w:basedOn w:val="DefaultParagraphFont"/>
    <w:link w:val="Heading2"/>
    <w:uiPriority w:val="9"/>
    <w:rsid w:val="00666FC7"/>
    <w:rPr>
      <w:rFonts w:asciiTheme="majorHAnsi" w:eastAsiaTheme="majorEastAsia" w:hAnsiTheme="majorHAnsi" w:cstheme="majorBidi"/>
      <w:b/>
      <w:color w:val="AB0F14"/>
      <w:sz w:val="36"/>
      <w:szCs w:val="26"/>
    </w:rPr>
  </w:style>
  <w:style w:type="paragraph" w:styleId="Subtitle">
    <w:name w:val="Subtitle"/>
    <w:basedOn w:val="Normal"/>
    <w:next w:val="Normal"/>
    <w:link w:val="SubtitleChar"/>
    <w:uiPriority w:val="15"/>
    <w:qFormat/>
    <w:rsid w:val="0064771D"/>
    <w:pPr>
      <w:numPr>
        <w:ilvl w:val="1"/>
      </w:numPr>
      <w:spacing w:before="240"/>
    </w:pPr>
    <w:rPr>
      <w:rFonts w:asciiTheme="majorHAnsi" w:eastAsiaTheme="minorEastAsia" w:hAnsiTheme="majorHAnsi"/>
      <w:b/>
      <w:color w:val="07478C"/>
      <w:spacing w:val="15"/>
      <w:sz w:val="36"/>
    </w:rPr>
  </w:style>
  <w:style w:type="character" w:customStyle="1" w:styleId="SubtitleChar">
    <w:name w:val="Subtitle Char"/>
    <w:basedOn w:val="DefaultParagraphFont"/>
    <w:link w:val="Subtitle"/>
    <w:uiPriority w:val="15"/>
    <w:rsid w:val="0064771D"/>
    <w:rPr>
      <w:rFonts w:asciiTheme="majorHAnsi" w:eastAsiaTheme="minorEastAsia" w:hAnsiTheme="majorHAnsi"/>
      <w:b/>
      <w:color w:val="07478C"/>
      <w:spacing w:val="15"/>
      <w:sz w:val="36"/>
    </w:rPr>
  </w:style>
  <w:style w:type="character" w:styleId="Hyperlink">
    <w:name w:val="Hyperlink"/>
    <w:basedOn w:val="DefaultParagraphFont"/>
    <w:uiPriority w:val="99"/>
    <w:unhideWhenUsed/>
    <w:rsid w:val="0064771D"/>
    <w:rPr>
      <w:color w:val="095EBB"/>
      <w:u w:val="single"/>
    </w:rPr>
  </w:style>
  <w:style w:type="character" w:customStyle="1" w:styleId="Heading3Char">
    <w:name w:val="Heading 3 Char"/>
    <w:basedOn w:val="DefaultParagraphFont"/>
    <w:link w:val="Heading3"/>
    <w:uiPriority w:val="9"/>
    <w:rsid w:val="00666FC7"/>
    <w:rPr>
      <w:rFonts w:asciiTheme="majorHAnsi" w:eastAsiaTheme="majorEastAsia" w:hAnsiTheme="majorHAnsi" w:cstheme="majorBidi"/>
      <w:b/>
      <w:color w:val="113652"/>
      <w:sz w:val="30"/>
      <w:szCs w:val="24"/>
    </w:rPr>
  </w:style>
  <w:style w:type="paragraph" w:customStyle="1" w:styleId="Bulletlevel1">
    <w:name w:val="Bullet level 1"/>
    <w:basedOn w:val="Normal"/>
    <w:qFormat/>
    <w:rsid w:val="00BC0293"/>
    <w:pPr>
      <w:numPr>
        <w:numId w:val="1"/>
      </w:numPr>
      <w:ind w:left="567" w:hanging="567"/>
      <w:contextualSpacing/>
    </w:pPr>
  </w:style>
  <w:style w:type="paragraph" w:styleId="Header">
    <w:name w:val="header"/>
    <w:basedOn w:val="Normal"/>
    <w:link w:val="HeaderChar"/>
    <w:unhideWhenUsed/>
    <w:rsid w:val="003F0A2D"/>
    <w:pPr>
      <w:tabs>
        <w:tab w:val="center" w:pos="4513"/>
        <w:tab w:val="right" w:pos="9026"/>
      </w:tabs>
      <w:spacing w:after="0"/>
    </w:pPr>
  </w:style>
  <w:style w:type="character" w:customStyle="1" w:styleId="HeaderChar">
    <w:name w:val="Header Char"/>
    <w:basedOn w:val="DefaultParagraphFont"/>
    <w:link w:val="Header"/>
    <w:rsid w:val="003F0A2D"/>
  </w:style>
  <w:style w:type="paragraph" w:styleId="Footer">
    <w:name w:val="footer"/>
    <w:basedOn w:val="Normal"/>
    <w:link w:val="FooterChar"/>
    <w:uiPriority w:val="99"/>
    <w:unhideWhenUsed/>
    <w:rsid w:val="003F0A2D"/>
    <w:pPr>
      <w:tabs>
        <w:tab w:val="center" w:pos="4513"/>
        <w:tab w:val="right" w:pos="9026"/>
      </w:tabs>
      <w:spacing w:after="0"/>
    </w:pPr>
  </w:style>
  <w:style w:type="character" w:customStyle="1" w:styleId="FooterChar">
    <w:name w:val="Footer Char"/>
    <w:basedOn w:val="DefaultParagraphFont"/>
    <w:link w:val="Footer"/>
    <w:uiPriority w:val="99"/>
    <w:rsid w:val="003F0A2D"/>
  </w:style>
  <w:style w:type="character" w:customStyle="1" w:styleId="Heading4Char">
    <w:name w:val="Heading 4 Char"/>
    <w:basedOn w:val="DefaultParagraphFont"/>
    <w:link w:val="Heading4"/>
    <w:uiPriority w:val="9"/>
    <w:rsid w:val="005700B7"/>
    <w:rPr>
      <w:rFonts w:asciiTheme="majorHAnsi" w:eastAsiaTheme="majorEastAsia" w:hAnsiTheme="majorHAnsi" w:cstheme="majorBidi"/>
      <w:b/>
      <w:iCs/>
      <w:sz w:val="24"/>
    </w:rPr>
  </w:style>
  <w:style w:type="table" w:styleId="TableGrid">
    <w:name w:val="Table Grid"/>
    <w:basedOn w:val="TableNormal"/>
    <w:uiPriority w:val="99"/>
    <w:rsid w:val="000249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figureheading">
    <w:name w:val="Table/figure heading"/>
    <w:basedOn w:val="Normal"/>
    <w:next w:val="Normal"/>
    <w:qFormat/>
    <w:rsid w:val="00666FC7"/>
    <w:pPr>
      <w:keepNext/>
      <w:spacing w:before="40" w:after="0"/>
    </w:pPr>
    <w:rPr>
      <w:rFonts w:asciiTheme="majorHAnsi" w:hAnsiTheme="majorHAnsi"/>
      <w:b/>
      <w:color w:val="113652"/>
    </w:rPr>
  </w:style>
  <w:style w:type="paragraph" w:styleId="FootnoteText">
    <w:name w:val="footnote text"/>
    <w:basedOn w:val="Normal"/>
    <w:link w:val="FootnoteTextChar"/>
    <w:uiPriority w:val="99"/>
    <w:unhideWhenUsed/>
    <w:rsid w:val="000249BC"/>
    <w:pPr>
      <w:spacing w:after="0"/>
    </w:pPr>
    <w:rPr>
      <w:sz w:val="20"/>
      <w:szCs w:val="20"/>
    </w:rPr>
  </w:style>
  <w:style w:type="character" w:customStyle="1" w:styleId="FootnoteTextChar">
    <w:name w:val="Footnote Text Char"/>
    <w:basedOn w:val="DefaultParagraphFont"/>
    <w:link w:val="FootnoteText"/>
    <w:uiPriority w:val="99"/>
    <w:rsid w:val="000249BC"/>
    <w:rPr>
      <w:sz w:val="20"/>
      <w:szCs w:val="20"/>
    </w:rPr>
  </w:style>
  <w:style w:type="character" w:styleId="FootnoteReference">
    <w:name w:val="footnote reference"/>
    <w:basedOn w:val="DefaultParagraphFont"/>
    <w:uiPriority w:val="99"/>
    <w:unhideWhenUsed/>
    <w:rsid w:val="000249BC"/>
    <w:rPr>
      <w:vertAlign w:val="superscript"/>
    </w:rPr>
  </w:style>
  <w:style w:type="paragraph" w:styleId="ListParagraph">
    <w:name w:val="List Paragraph"/>
    <w:aliases w:val="List Paragraph1,Recommendation,bullet point list"/>
    <w:basedOn w:val="Normal"/>
    <w:link w:val="ListParagraphChar"/>
    <w:uiPriority w:val="34"/>
    <w:qFormat/>
    <w:rsid w:val="0064771D"/>
    <w:pPr>
      <w:ind w:left="1134" w:hanging="567"/>
      <w:contextualSpacing/>
    </w:pPr>
  </w:style>
  <w:style w:type="paragraph" w:styleId="TOC1">
    <w:name w:val="toc 1"/>
    <w:basedOn w:val="Normal"/>
    <w:next w:val="Normal"/>
    <w:autoRedefine/>
    <w:uiPriority w:val="39"/>
    <w:unhideWhenUsed/>
    <w:rsid w:val="00FA414F"/>
    <w:pPr>
      <w:spacing w:before="120" w:after="0"/>
    </w:pPr>
    <w:rPr>
      <w:b/>
      <w:color w:val="07478C"/>
      <w:sz w:val="24"/>
    </w:rPr>
  </w:style>
  <w:style w:type="paragraph" w:styleId="TOC2">
    <w:name w:val="toc 2"/>
    <w:basedOn w:val="Normal"/>
    <w:next w:val="Normal"/>
    <w:autoRedefine/>
    <w:uiPriority w:val="39"/>
    <w:unhideWhenUsed/>
    <w:rsid w:val="00FA414F"/>
    <w:pPr>
      <w:spacing w:after="0"/>
      <w:ind w:left="567"/>
    </w:pPr>
  </w:style>
  <w:style w:type="paragraph" w:styleId="TOC3">
    <w:name w:val="toc 3"/>
    <w:basedOn w:val="Normal"/>
    <w:next w:val="Normal"/>
    <w:autoRedefine/>
    <w:uiPriority w:val="39"/>
    <w:unhideWhenUsed/>
    <w:rsid w:val="00540B2F"/>
    <w:pPr>
      <w:spacing w:after="0"/>
      <w:ind w:left="1134"/>
    </w:pPr>
  </w:style>
  <w:style w:type="paragraph" w:customStyle="1" w:styleId="Tablerowcolumnheading">
    <w:name w:val="Table row/column heading"/>
    <w:basedOn w:val="Normal"/>
    <w:next w:val="Normal"/>
    <w:rsid w:val="00540B2F"/>
    <w:pPr>
      <w:spacing w:after="0"/>
    </w:pPr>
    <w:rPr>
      <w:rFonts w:eastAsia="Times New Roman" w:cs="Times New Roman"/>
      <w:b/>
      <w:bCs/>
      <w:szCs w:val="20"/>
    </w:rPr>
  </w:style>
  <w:style w:type="paragraph" w:customStyle="1" w:styleId="Tablecentredrowcolumnheading">
    <w:name w:val="Table centred row/column heading"/>
    <w:basedOn w:val="Normal"/>
    <w:next w:val="Normal"/>
    <w:rsid w:val="00B370BC"/>
    <w:pPr>
      <w:spacing w:after="0"/>
      <w:jc w:val="center"/>
    </w:pPr>
    <w:rPr>
      <w:rFonts w:eastAsia="Times New Roman" w:cs="Times New Roman"/>
      <w:b/>
      <w:bCs/>
      <w:szCs w:val="20"/>
    </w:rPr>
  </w:style>
  <w:style w:type="paragraph" w:customStyle="1" w:styleId="Tabletextcentred">
    <w:name w:val="Table text centred"/>
    <w:basedOn w:val="Normal"/>
    <w:next w:val="NoSpacing"/>
    <w:rsid w:val="00B370BC"/>
    <w:pPr>
      <w:spacing w:after="0"/>
      <w:jc w:val="center"/>
    </w:pPr>
    <w:rPr>
      <w:rFonts w:eastAsia="Times New Roman" w:cs="Times New Roman"/>
      <w:szCs w:val="20"/>
    </w:rPr>
  </w:style>
  <w:style w:type="paragraph" w:styleId="NoSpacing">
    <w:name w:val="No Spacing"/>
    <w:link w:val="NoSpacingChar"/>
    <w:uiPriority w:val="1"/>
    <w:qFormat/>
    <w:rsid w:val="00B370BC"/>
    <w:pPr>
      <w:spacing w:after="0" w:line="240" w:lineRule="auto"/>
    </w:pPr>
  </w:style>
  <w:style w:type="character" w:customStyle="1" w:styleId="Heading5Char">
    <w:name w:val="Heading 5 Char"/>
    <w:basedOn w:val="DefaultParagraphFont"/>
    <w:link w:val="Heading5"/>
    <w:uiPriority w:val="9"/>
    <w:rsid w:val="009A56D0"/>
    <w:rPr>
      <w:rFonts w:asciiTheme="majorHAnsi" w:eastAsiaTheme="majorEastAsia" w:hAnsiTheme="majorHAnsi" w:cstheme="majorBidi"/>
      <w:color w:val="07478C"/>
    </w:rPr>
  </w:style>
  <w:style w:type="character" w:styleId="IntenseEmphasis">
    <w:name w:val="Intense Emphasis"/>
    <w:basedOn w:val="DefaultParagraphFont"/>
    <w:uiPriority w:val="21"/>
    <w:qFormat/>
    <w:rsid w:val="0064771D"/>
    <w:rPr>
      <w:rFonts w:asciiTheme="minorHAnsi" w:hAnsiTheme="minorHAnsi"/>
      <w:i/>
      <w:iCs/>
      <w:color w:val="07478C"/>
      <w:sz w:val="22"/>
    </w:rPr>
  </w:style>
  <w:style w:type="paragraph" w:styleId="IntenseQuote">
    <w:name w:val="Intense Quote"/>
    <w:basedOn w:val="Normal"/>
    <w:next w:val="Normal"/>
    <w:link w:val="IntenseQuoteChar"/>
    <w:uiPriority w:val="30"/>
    <w:qFormat/>
    <w:rsid w:val="0064771D"/>
    <w:pPr>
      <w:pBdr>
        <w:top w:val="single" w:sz="4" w:space="10" w:color="5B9BD5" w:themeColor="accent1"/>
        <w:bottom w:val="single" w:sz="4" w:space="10" w:color="5B9BD5" w:themeColor="accent1"/>
      </w:pBdr>
      <w:ind w:left="567" w:right="567"/>
    </w:pPr>
    <w:rPr>
      <w:i/>
      <w:iCs/>
      <w:color w:val="07478C"/>
    </w:rPr>
  </w:style>
  <w:style w:type="character" w:customStyle="1" w:styleId="IntenseQuoteChar">
    <w:name w:val="Intense Quote Char"/>
    <w:basedOn w:val="DefaultParagraphFont"/>
    <w:link w:val="IntenseQuote"/>
    <w:uiPriority w:val="30"/>
    <w:rsid w:val="0064771D"/>
    <w:rPr>
      <w:i/>
      <w:iCs/>
      <w:color w:val="07478C"/>
    </w:rPr>
  </w:style>
  <w:style w:type="character" w:styleId="IntenseReference">
    <w:name w:val="Intense Reference"/>
    <w:basedOn w:val="DefaultParagraphFont"/>
    <w:uiPriority w:val="32"/>
    <w:qFormat/>
    <w:rsid w:val="0064771D"/>
    <w:rPr>
      <w:rFonts w:asciiTheme="minorHAnsi" w:hAnsiTheme="minorHAnsi"/>
      <w:b/>
      <w:bCs/>
      <w:smallCaps/>
      <w:color w:val="07478C"/>
      <w:spacing w:val="5"/>
      <w:sz w:val="22"/>
    </w:rPr>
  </w:style>
  <w:style w:type="character" w:styleId="BookTitle">
    <w:name w:val="Book Title"/>
    <w:basedOn w:val="DefaultParagraphFont"/>
    <w:uiPriority w:val="33"/>
    <w:qFormat/>
    <w:rsid w:val="0064771D"/>
    <w:rPr>
      <w:rFonts w:asciiTheme="minorHAnsi" w:hAnsiTheme="minorHAnsi"/>
      <w:b/>
      <w:bCs/>
      <w:i/>
      <w:iCs/>
      <w:spacing w:val="5"/>
      <w:sz w:val="22"/>
    </w:rPr>
  </w:style>
  <w:style w:type="character" w:styleId="SubtleReference">
    <w:name w:val="Subtle Reference"/>
    <w:basedOn w:val="DefaultParagraphFont"/>
    <w:uiPriority w:val="31"/>
    <w:qFormat/>
    <w:rsid w:val="0064771D"/>
    <w:rPr>
      <w:rFonts w:asciiTheme="minorHAnsi" w:hAnsiTheme="minorHAnsi"/>
      <w:smallCaps/>
      <w:color w:val="5A5A5A" w:themeColor="text1" w:themeTint="A5"/>
      <w:sz w:val="22"/>
    </w:rPr>
  </w:style>
  <w:style w:type="paragraph" w:customStyle="1" w:styleId="Heading2-notshowingincontentsindocument">
    <w:name w:val="Heading 2 - not showing in contents in document"/>
    <w:basedOn w:val="Normal"/>
    <w:next w:val="Normal"/>
    <w:rsid w:val="00C56413"/>
    <w:pPr>
      <w:spacing w:before="120"/>
      <w:outlineLvl w:val="1"/>
    </w:pPr>
    <w:rPr>
      <w:rFonts w:asciiTheme="majorHAnsi" w:hAnsiTheme="majorHAnsi"/>
      <w:b/>
      <w:sz w:val="36"/>
      <w:szCs w:val="36"/>
    </w:rPr>
  </w:style>
  <w:style w:type="paragraph" w:customStyle="1" w:styleId="Normal-monthyearforcoverpage">
    <w:name w:val="Normal - month/year for cover page"/>
    <w:basedOn w:val="Normal"/>
    <w:next w:val="Normal"/>
    <w:rsid w:val="00C56413"/>
    <w:rPr>
      <w:sz w:val="24"/>
      <w:szCs w:val="24"/>
    </w:rPr>
  </w:style>
  <w:style w:type="paragraph" w:customStyle="1" w:styleId="Heading3-notshowingincontentsindocument">
    <w:name w:val="Heading 3 - not showing in contents in document"/>
    <w:basedOn w:val="Normal"/>
    <w:next w:val="Normal"/>
    <w:rsid w:val="00C56413"/>
    <w:pPr>
      <w:spacing w:before="120" w:after="60"/>
      <w:outlineLvl w:val="2"/>
    </w:pPr>
    <w:rPr>
      <w:sz w:val="26"/>
      <w:szCs w:val="26"/>
    </w:rPr>
  </w:style>
  <w:style w:type="paragraph" w:customStyle="1" w:styleId="subtitleofdocument">
    <w:name w:val="subtitle of document"/>
    <w:basedOn w:val="Normal"/>
    <w:next w:val="Normal"/>
    <w:rsid w:val="00A7176A"/>
    <w:pPr>
      <w:spacing w:before="1000" w:after="1000"/>
      <w:outlineLvl w:val="1"/>
    </w:pPr>
    <w:rPr>
      <w:rFonts w:asciiTheme="majorHAnsi" w:eastAsia="Times New Roman" w:hAnsiTheme="majorHAnsi" w:cs="Times New Roman"/>
      <w:b/>
      <w:bCs/>
      <w:color w:val="07478C"/>
      <w:sz w:val="36"/>
      <w:szCs w:val="20"/>
    </w:rPr>
  </w:style>
  <w:style w:type="paragraph" w:customStyle="1" w:styleId="Tickedboxbulletpoint">
    <w:name w:val="Ticked box bullet point"/>
    <w:basedOn w:val="Bulletlevel1"/>
    <w:qFormat/>
    <w:rsid w:val="004F3C4E"/>
    <w:pPr>
      <w:numPr>
        <w:numId w:val="2"/>
      </w:numPr>
      <w:spacing w:before="240" w:after="0"/>
      <w:ind w:left="567" w:hanging="567"/>
    </w:pPr>
  </w:style>
  <w:style w:type="paragraph" w:customStyle="1" w:styleId="Checkboxemptybulletpoint">
    <w:name w:val="Check box empty bullet point"/>
    <w:basedOn w:val="Bulletlevel1"/>
    <w:qFormat/>
    <w:rsid w:val="008D36D1"/>
    <w:pPr>
      <w:numPr>
        <w:numId w:val="3"/>
      </w:numPr>
      <w:spacing w:after="0"/>
      <w:ind w:left="567" w:hanging="567"/>
    </w:pPr>
  </w:style>
  <w:style w:type="paragraph" w:customStyle="1" w:styleId="StyleHeading3Before12pt">
    <w:name w:val="Style Heading 3 + Before:  12 pt"/>
    <w:basedOn w:val="Heading3"/>
    <w:rsid w:val="00815DD0"/>
    <w:rPr>
      <w:rFonts w:eastAsia="Times New Roman" w:cs="Times New Roman"/>
      <w:bCs/>
      <w:szCs w:val="20"/>
    </w:rPr>
  </w:style>
  <w:style w:type="character" w:customStyle="1" w:styleId="Heading6Char">
    <w:name w:val="Heading 6 Char"/>
    <w:basedOn w:val="DefaultParagraphFont"/>
    <w:link w:val="Heading6"/>
    <w:uiPriority w:val="9"/>
    <w:rsid w:val="00987507"/>
    <w:rPr>
      <w:rFonts w:asciiTheme="majorHAnsi" w:eastAsiaTheme="majorEastAsia" w:hAnsiTheme="majorHAnsi" w:cstheme="majorBidi"/>
      <w:i/>
      <w:iCs/>
      <w:color w:val="1F4D78" w:themeColor="accent1" w:themeShade="7F"/>
      <w:lang w:eastAsia="en-AU"/>
    </w:rPr>
  </w:style>
  <w:style w:type="character" w:customStyle="1" w:styleId="Heading7Char">
    <w:name w:val="Heading 7 Char"/>
    <w:basedOn w:val="DefaultParagraphFont"/>
    <w:link w:val="Heading7"/>
    <w:uiPriority w:val="9"/>
    <w:semiHidden/>
    <w:rsid w:val="00987507"/>
    <w:rPr>
      <w:rFonts w:asciiTheme="majorHAnsi" w:eastAsiaTheme="majorEastAsia" w:hAnsiTheme="majorHAnsi" w:cstheme="majorBidi"/>
      <w:i/>
      <w:iCs/>
      <w:color w:val="404040" w:themeColor="text1" w:themeTint="BF"/>
      <w:lang w:eastAsia="en-AU"/>
    </w:rPr>
  </w:style>
  <w:style w:type="character" w:customStyle="1" w:styleId="Heading8Char">
    <w:name w:val="Heading 8 Char"/>
    <w:basedOn w:val="DefaultParagraphFont"/>
    <w:link w:val="Heading8"/>
    <w:uiPriority w:val="9"/>
    <w:semiHidden/>
    <w:rsid w:val="00987507"/>
    <w:rPr>
      <w:rFonts w:asciiTheme="majorHAnsi" w:eastAsiaTheme="majorEastAsia" w:hAnsiTheme="majorHAnsi" w:cstheme="majorBidi"/>
      <w:color w:val="404040" w:themeColor="text1" w:themeTint="BF"/>
      <w:sz w:val="20"/>
      <w:szCs w:val="20"/>
      <w:lang w:eastAsia="en-AU"/>
    </w:rPr>
  </w:style>
  <w:style w:type="character" w:customStyle="1" w:styleId="Heading9Char">
    <w:name w:val="Heading 9 Char"/>
    <w:basedOn w:val="DefaultParagraphFont"/>
    <w:link w:val="Heading9"/>
    <w:uiPriority w:val="9"/>
    <w:semiHidden/>
    <w:rsid w:val="00987507"/>
    <w:rPr>
      <w:rFonts w:asciiTheme="majorHAnsi" w:eastAsiaTheme="majorEastAsia" w:hAnsiTheme="majorHAnsi" w:cstheme="majorBidi"/>
      <w:i/>
      <w:iCs/>
      <w:color w:val="404040" w:themeColor="text1" w:themeTint="BF"/>
      <w:sz w:val="20"/>
      <w:szCs w:val="20"/>
      <w:lang w:eastAsia="en-AU"/>
    </w:rPr>
  </w:style>
  <w:style w:type="paragraph" w:styleId="BalloonText">
    <w:name w:val="Balloon Text"/>
    <w:basedOn w:val="Normal"/>
    <w:link w:val="BalloonTextChar"/>
    <w:uiPriority w:val="99"/>
    <w:semiHidden/>
    <w:unhideWhenUsed/>
    <w:rsid w:val="00987507"/>
    <w:pPr>
      <w:spacing w:after="0"/>
    </w:pPr>
    <w:rPr>
      <w:rFonts w:ascii="Tahoma" w:hAnsi="Tahoma" w:cs="Tahoma"/>
      <w:sz w:val="16"/>
      <w:szCs w:val="16"/>
      <w:lang w:eastAsia="en-AU"/>
    </w:rPr>
  </w:style>
  <w:style w:type="character" w:customStyle="1" w:styleId="BalloonTextChar">
    <w:name w:val="Balloon Text Char"/>
    <w:basedOn w:val="DefaultParagraphFont"/>
    <w:link w:val="BalloonText"/>
    <w:uiPriority w:val="99"/>
    <w:semiHidden/>
    <w:rsid w:val="00987507"/>
    <w:rPr>
      <w:rFonts w:ascii="Tahoma" w:hAnsi="Tahoma" w:cs="Tahoma"/>
      <w:sz w:val="16"/>
      <w:szCs w:val="16"/>
      <w:lang w:eastAsia="en-AU"/>
    </w:rPr>
  </w:style>
  <w:style w:type="table" w:styleId="LightShading-Accent1">
    <w:name w:val="Light Shading Accent 1"/>
    <w:basedOn w:val="TableNormal"/>
    <w:uiPriority w:val="60"/>
    <w:rsid w:val="00987507"/>
    <w:pPr>
      <w:spacing w:after="0" w:line="240" w:lineRule="auto"/>
    </w:pPr>
    <w:rPr>
      <w:color w:val="2E74B5" w:themeColor="accent1" w:themeShade="BF"/>
      <w:lang w:eastAsia="en-AU"/>
    </w:rPr>
    <w:tblPr>
      <w:tblStyleRowBandSize w:val="1"/>
      <w:tblStyleColBandSize w:val="1"/>
      <w:tblBorders>
        <w:top w:val="single" w:sz="8" w:space="0" w:color="5B9BD5" w:themeColor="accent1"/>
        <w:bottom w:val="single" w:sz="8" w:space="0" w:color="5B9BD5" w:themeColor="accent1"/>
      </w:tblBorders>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table" w:styleId="LightShading-Accent2">
    <w:name w:val="Light Shading Accent 2"/>
    <w:basedOn w:val="TableNormal"/>
    <w:uiPriority w:val="99"/>
    <w:rsid w:val="00987507"/>
    <w:pPr>
      <w:spacing w:after="0" w:line="240" w:lineRule="auto"/>
    </w:pPr>
    <w:rPr>
      <w:color w:val="C45911" w:themeColor="accent2" w:themeShade="BF"/>
      <w:lang w:eastAsia="en-AU"/>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LightGrid-Accent1">
    <w:name w:val="Light Grid Accent 1"/>
    <w:basedOn w:val="TableNormal"/>
    <w:uiPriority w:val="62"/>
    <w:rsid w:val="00987507"/>
    <w:pPr>
      <w:spacing w:after="0" w:line="240" w:lineRule="auto"/>
    </w:pPr>
    <w:rPr>
      <w:lang w:eastAsia="en-AU"/>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18" w:space="0" w:color="5B9BD5" w:themeColor="accent1"/>
          <w:right w:val="single" w:sz="8" w:space="0" w:color="5B9BD5" w:themeColor="accent1"/>
          <w:insideH w:val="nil"/>
          <w:insideV w:val="single" w:sz="8" w:space="0" w:color="5B9BD5"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insideH w:val="nil"/>
          <w:insideV w:val="single" w:sz="8" w:space="0" w:color="5B9BD5"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shd w:val="clear" w:color="auto" w:fill="D6E6F4" w:themeFill="accent1" w:themeFillTint="3F"/>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shd w:val="clear" w:color="auto" w:fill="D6E6F4" w:themeFill="accent1" w:themeFillTint="3F"/>
      </w:tcPr>
    </w:tblStylePr>
    <w:tblStylePr w:type="band2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tcPr>
    </w:tblStylePr>
  </w:style>
  <w:style w:type="paragraph" w:customStyle="1" w:styleId="Default">
    <w:name w:val="Default"/>
    <w:rsid w:val="00987507"/>
    <w:pPr>
      <w:autoSpaceDE w:val="0"/>
      <w:autoSpaceDN w:val="0"/>
      <w:adjustRightInd w:val="0"/>
      <w:spacing w:after="200" w:line="276" w:lineRule="auto"/>
    </w:pPr>
    <w:rPr>
      <w:rFonts w:ascii="Arial" w:eastAsiaTheme="minorEastAsia" w:hAnsi="Arial" w:cs="Arial"/>
      <w:color w:val="000000"/>
      <w:lang w:val="en-US"/>
    </w:rPr>
  </w:style>
  <w:style w:type="paragraph" w:customStyle="1" w:styleId="SubHeadingBlue">
    <w:name w:val="SubHeading Blue"/>
    <w:basedOn w:val="Heading1"/>
    <w:rsid w:val="00987507"/>
    <w:pPr>
      <w:keepLines/>
      <w:spacing w:before="480" w:after="0" w:line="276" w:lineRule="auto"/>
      <w:ind w:left="567" w:hanging="567"/>
    </w:pPr>
    <w:rPr>
      <w:rFonts w:asciiTheme="minorHAnsi" w:hAnsiTheme="minorHAnsi" w:cstheme="minorHAnsi"/>
      <w:bCs/>
      <w:color w:val="172983"/>
      <w:sz w:val="32"/>
      <w:szCs w:val="28"/>
      <w:lang w:eastAsia="en-AU"/>
    </w:rPr>
  </w:style>
  <w:style w:type="paragraph" w:customStyle="1" w:styleId="AIHWbodytext">
    <w:name w:val="AIHW body text"/>
    <w:rsid w:val="00987507"/>
    <w:pPr>
      <w:spacing w:before="60" w:after="40" w:line="260" w:lineRule="atLeast"/>
    </w:pPr>
    <w:rPr>
      <w:rFonts w:ascii="Book Antiqua" w:eastAsia="Times New Roman" w:hAnsi="Book Antiqua" w:cs="Times New Roman"/>
      <w:color w:val="000000"/>
      <w:szCs w:val="20"/>
    </w:rPr>
  </w:style>
  <w:style w:type="paragraph" w:styleId="Title">
    <w:name w:val="Title"/>
    <w:basedOn w:val="Normal"/>
    <w:next w:val="AIHWbodytext"/>
    <w:link w:val="TitleChar"/>
    <w:uiPriority w:val="15"/>
    <w:qFormat/>
    <w:rsid w:val="00987507"/>
    <w:pPr>
      <w:keepLines/>
      <w:spacing w:before="1200" w:after="600" w:line="600" w:lineRule="atLeast"/>
      <w:jc w:val="center"/>
      <w:outlineLvl w:val="8"/>
    </w:pPr>
    <w:rPr>
      <w:rFonts w:ascii="Arial" w:eastAsia="Times New Roman" w:hAnsi="Arial" w:cs="Times New Roman"/>
      <w:b/>
      <w:bCs/>
      <w:color w:val="000000"/>
      <w:kern w:val="28"/>
      <w:sz w:val="48"/>
      <w:szCs w:val="32"/>
      <w:lang w:eastAsia="en-AU"/>
    </w:rPr>
  </w:style>
  <w:style w:type="character" w:customStyle="1" w:styleId="TitleChar">
    <w:name w:val="Title Char"/>
    <w:basedOn w:val="DefaultParagraphFont"/>
    <w:link w:val="Title"/>
    <w:uiPriority w:val="15"/>
    <w:rsid w:val="00987507"/>
    <w:rPr>
      <w:rFonts w:ascii="Arial" w:eastAsia="Times New Roman" w:hAnsi="Arial" w:cs="Times New Roman"/>
      <w:b/>
      <w:bCs/>
      <w:color w:val="000000"/>
      <w:kern w:val="28"/>
      <w:sz w:val="48"/>
      <w:szCs w:val="32"/>
      <w:lang w:eastAsia="en-AU"/>
    </w:rPr>
  </w:style>
  <w:style w:type="character" w:customStyle="1" w:styleId="NoSpacingChar">
    <w:name w:val="No Spacing Char"/>
    <w:basedOn w:val="DefaultParagraphFont"/>
    <w:link w:val="NoSpacing"/>
    <w:uiPriority w:val="1"/>
    <w:rsid w:val="00987507"/>
  </w:style>
  <w:style w:type="paragraph" w:styleId="TOCHeading">
    <w:name w:val="TOC Heading"/>
    <w:basedOn w:val="Heading1"/>
    <w:next w:val="Normal"/>
    <w:uiPriority w:val="39"/>
    <w:unhideWhenUsed/>
    <w:qFormat/>
    <w:rsid w:val="00987507"/>
    <w:pPr>
      <w:keepLines/>
      <w:spacing w:before="480" w:after="0" w:line="276" w:lineRule="auto"/>
      <w:outlineLvl w:val="9"/>
    </w:pPr>
    <w:rPr>
      <w:bCs/>
      <w:color w:val="2E74B5" w:themeColor="accent1" w:themeShade="BF"/>
      <w:sz w:val="28"/>
      <w:szCs w:val="28"/>
      <w:lang w:val="en-US" w:eastAsia="ja-JP"/>
    </w:rPr>
  </w:style>
  <w:style w:type="table" w:customStyle="1" w:styleId="TableGrid2">
    <w:name w:val="Table Grid2"/>
    <w:basedOn w:val="TableNormal"/>
    <w:next w:val="TableGrid"/>
    <w:uiPriority w:val="59"/>
    <w:rsid w:val="00987507"/>
    <w:pPr>
      <w:spacing w:before="240" w:after="200" w:line="276" w:lineRule="auto"/>
    </w:pPr>
    <w:rPr>
      <w:rFonts w:eastAsiaTheme="minorEastAsia"/>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4">
    <w:name w:val="toc 4"/>
    <w:basedOn w:val="Normal"/>
    <w:next w:val="Normal"/>
    <w:autoRedefine/>
    <w:uiPriority w:val="39"/>
    <w:unhideWhenUsed/>
    <w:rsid w:val="00E25A11"/>
    <w:pPr>
      <w:spacing w:after="60"/>
    </w:pPr>
    <w:rPr>
      <w:rFonts w:eastAsiaTheme="minorEastAsia"/>
      <w:lang w:eastAsia="en-AU"/>
    </w:rPr>
  </w:style>
  <w:style w:type="paragraph" w:styleId="TOC5">
    <w:name w:val="toc 5"/>
    <w:basedOn w:val="Normal"/>
    <w:next w:val="Normal"/>
    <w:autoRedefine/>
    <w:uiPriority w:val="39"/>
    <w:unhideWhenUsed/>
    <w:rsid w:val="00987507"/>
    <w:pPr>
      <w:spacing w:after="100" w:line="276" w:lineRule="auto"/>
      <w:ind w:left="880"/>
    </w:pPr>
    <w:rPr>
      <w:rFonts w:eastAsiaTheme="minorEastAsia"/>
      <w:lang w:eastAsia="en-AU"/>
    </w:rPr>
  </w:style>
  <w:style w:type="paragraph" w:styleId="TOC6">
    <w:name w:val="toc 6"/>
    <w:basedOn w:val="Normal"/>
    <w:next w:val="Normal"/>
    <w:autoRedefine/>
    <w:uiPriority w:val="39"/>
    <w:unhideWhenUsed/>
    <w:rsid w:val="00987507"/>
    <w:pPr>
      <w:spacing w:after="100" w:line="276" w:lineRule="auto"/>
      <w:ind w:left="1100"/>
    </w:pPr>
    <w:rPr>
      <w:rFonts w:eastAsiaTheme="minorEastAsia"/>
      <w:lang w:eastAsia="en-AU"/>
    </w:rPr>
  </w:style>
  <w:style w:type="paragraph" w:styleId="TOC7">
    <w:name w:val="toc 7"/>
    <w:basedOn w:val="Normal"/>
    <w:next w:val="Normal"/>
    <w:autoRedefine/>
    <w:uiPriority w:val="39"/>
    <w:unhideWhenUsed/>
    <w:rsid w:val="00987507"/>
    <w:pPr>
      <w:spacing w:after="100" w:line="276" w:lineRule="auto"/>
      <w:ind w:left="1320"/>
    </w:pPr>
    <w:rPr>
      <w:rFonts w:eastAsiaTheme="minorEastAsia"/>
      <w:lang w:eastAsia="en-AU"/>
    </w:rPr>
  </w:style>
  <w:style w:type="paragraph" w:styleId="TOC8">
    <w:name w:val="toc 8"/>
    <w:basedOn w:val="Normal"/>
    <w:next w:val="Normal"/>
    <w:autoRedefine/>
    <w:uiPriority w:val="39"/>
    <w:unhideWhenUsed/>
    <w:rsid w:val="00987507"/>
    <w:pPr>
      <w:spacing w:after="100" w:line="276" w:lineRule="auto"/>
      <w:ind w:left="1540"/>
    </w:pPr>
    <w:rPr>
      <w:rFonts w:eastAsiaTheme="minorEastAsia"/>
      <w:lang w:eastAsia="en-AU"/>
    </w:rPr>
  </w:style>
  <w:style w:type="paragraph" w:styleId="TOC9">
    <w:name w:val="toc 9"/>
    <w:basedOn w:val="Normal"/>
    <w:next w:val="Normal"/>
    <w:autoRedefine/>
    <w:uiPriority w:val="39"/>
    <w:unhideWhenUsed/>
    <w:rsid w:val="00987507"/>
    <w:pPr>
      <w:spacing w:after="100" w:line="276" w:lineRule="auto"/>
      <w:ind w:left="1760"/>
    </w:pPr>
    <w:rPr>
      <w:rFonts w:eastAsiaTheme="minorEastAsia"/>
      <w:lang w:eastAsia="en-AU"/>
    </w:rPr>
  </w:style>
  <w:style w:type="character" w:styleId="FollowedHyperlink">
    <w:name w:val="FollowedHyperlink"/>
    <w:basedOn w:val="DefaultParagraphFont"/>
    <w:uiPriority w:val="99"/>
    <w:semiHidden/>
    <w:unhideWhenUsed/>
    <w:rsid w:val="00987507"/>
    <w:rPr>
      <w:color w:val="954F72" w:themeColor="followedHyperlink"/>
      <w:u w:val="single"/>
    </w:rPr>
  </w:style>
  <w:style w:type="paragraph" w:styleId="NormalWeb">
    <w:name w:val="Normal (Web)"/>
    <w:basedOn w:val="Normal"/>
    <w:uiPriority w:val="99"/>
    <w:unhideWhenUsed/>
    <w:rsid w:val="00987507"/>
    <w:pPr>
      <w:spacing w:before="100" w:beforeAutospacing="1" w:after="100" w:afterAutospacing="1"/>
    </w:pPr>
    <w:rPr>
      <w:rFonts w:ascii="Times New Roman" w:eastAsia="Times New Roman" w:hAnsi="Times New Roman" w:cs="Times New Roman"/>
      <w:sz w:val="24"/>
      <w:szCs w:val="24"/>
      <w:lang w:eastAsia="en-AU"/>
    </w:rPr>
  </w:style>
  <w:style w:type="character" w:styleId="Emphasis">
    <w:name w:val="Emphasis"/>
    <w:basedOn w:val="DefaultParagraphFont"/>
    <w:uiPriority w:val="20"/>
    <w:qFormat/>
    <w:rsid w:val="00987507"/>
    <w:rPr>
      <w:i/>
      <w:iCs/>
    </w:rPr>
  </w:style>
  <w:style w:type="table" w:customStyle="1" w:styleId="TableGrid1">
    <w:name w:val="Table Grid1"/>
    <w:basedOn w:val="TableNormal"/>
    <w:next w:val="TableGrid"/>
    <w:uiPriority w:val="59"/>
    <w:rsid w:val="00987507"/>
    <w:pPr>
      <w:spacing w:after="0" w:line="240" w:lineRule="auto"/>
    </w:pPr>
    <w:rPr>
      <w:rFonts w:ascii="Calibri" w:eastAsia="Calibri" w:hAnsi="Calibri"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987507"/>
    <w:rPr>
      <w:sz w:val="16"/>
      <w:szCs w:val="16"/>
    </w:rPr>
  </w:style>
  <w:style w:type="paragraph" w:styleId="CommentText">
    <w:name w:val="annotation text"/>
    <w:basedOn w:val="Normal"/>
    <w:link w:val="CommentTextChar"/>
    <w:uiPriority w:val="99"/>
    <w:unhideWhenUsed/>
    <w:rsid w:val="00987507"/>
    <w:pPr>
      <w:spacing w:after="200"/>
    </w:pPr>
    <w:rPr>
      <w:sz w:val="20"/>
      <w:szCs w:val="20"/>
    </w:rPr>
  </w:style>
  <w:style w:type="character" w:customStyle="1" w:styleId="CommentTextChar">
    <w:name w:val="Comment Text Char"/>
    <w:basedOn w:val="DefaultParagraphFont"/>
    <w:link w:val="CommentText"/>
    <w:uiPriority w:val="99"/>
    <w:rsid w:val="00987507"/>
    <w:rPr>
      <w:sz w:val="20"/>
      <w:szCs w:val="20"/>
    </w:rPr>
  </w:style>
  <w:style w:type="paragraph" w:styleId="CommentSubject">
    <w:name w:val="annotation subject"/>
    <w:basedOn w:val="CommentText"/>
    <w:next w:val="CommentText"/>
    <w:link w:val="CommentSubjectChar"/>
    <w:uiPriority w:val="99"/>
    <w:semiHidden/>
    <w:unhideWhenUsed/>
    <w:rsid w:val="00987507"/>
    <w:rPr>
      <w:b/>
      <w:bCs/>
    </w:rPr>
  </w:style>
  <w:style w:type="character" w:customStyle="1" w:styleId="CommentSubjectChar">
    <w:name w:val="Comment Subject Char"/>
    <w:basedOn w:val="CommentTextChar"/>
    <w:link w:val="CommentSubject"/>
    <w:uiPriority w:val="99"/>
    <w:semiHidden/>
    <w:rsid w:val="00987507"/>
    <w:rPr>
      <w:b/>
      <w:bCs/>
      <w:sz w:val="20"/>
      <w:szCs w:val="20"/>
    </w:rPr>
  </w:style>
  <w:style w:type="paragraph" w:styleId="Quote">
    <w:name w:val="Quote"/>
    <w:basedOn w:val="Normal"/>
    <w:next w:val="Normal"/>
    <w:link w:val="QuoteChar"/>
    <w:uiPriority w:val="29"/>
    <w:qFormat/>
    <w:rsid w:val="00B74F9F"/>
    <w:pPr>
      <w:ind w:left="567"/>
    </w:pPr>
    <w:rPr>
      <w:i/>
      <w:iCs/>
    </w:rPr>
  </w:style>
  <w:style w:type="character" w:customStyle="1" w:styleId="QuoteChar">
    <w:name w:val="Quote Char"/>
    <w:basedOn w:val="DefaultParagraphFont"/>
    <w:link w:val="Quote"/>
    <w:uiPriority w:val="29"/>
    <w:rsid w:val="00B74F9F"/>
    <w:rPr>
      <w:i/>
      <w:iCs/>
    </w:rPr>
  </w:style>
  <w:style w:type="paragraph" w:styleId="BodyText">
    <w:name w:val="Body Text"/>
    <w:aliases w:val="BCR body Text"/>
    <w:basedOn w:val="Normal"/>
    <w:link w:val="BodyTextChar"/>
    <w:qFormat/>
    <w:rsid w:val="00987507"/>
    <w:pPr>
      <w:spacing w:before="240"/>
    </w:pPr>
    <w:rPr>
      <w:rFonts w:ascii="Calibri" w:hAnsi="Calibri"/>
    </w:rPr>
  </w:style>
  <w:style w:type="character" w:customStyle="1" w:styleId="BodyTextChar">
    <w:name w:val="Body Text Char"/>
    <w:aliases w:val="BCR body Text Char"/>
    <w:basedOn w:val="DefaultParagraphFont"/>
    <w:link w:val="BodyText"/>
    <w:rsid w:val="00987507"/>
    <w:rPr>
      <w:rFonts w:ascii="Calibri" w:hAnsi="Calibri"/>
    </w:rPr>
  </w:style>
  <w:style w:type="paragraph" w:customStyle="1" w:styleId="Titleheading">
    <w:name w:val="Title heading"/>
    <w:basedOn w:val="Normal"/>
    <w:next w:val="BodyText"/>
    <w:link w:val="TitleheadingChar"/>
    <w:uiPriority w:val="15"/>
    <w:qFormat/>
    <w:rsid w:val="00987507"/>
    <w:pPr>
      <w:spacing w:before="480" w:after="360" w:line="440" w:lineRule="atLeast"/>
    </w:pPr>
    <w:rPr>
      <w:color w:val="005391"/>
      <w:sz w:val="60"/>
    </w:rPr>
  </w:style>
  <w:style w:type="paragraph" w:customStyle="1" w:styleId="Titlesub-heading">
    <w:name w:val="Title sub-heading"/>
    <w:basedOn w:val="Normal"/>
    <w:next w:val="BodyText"/>
    <w:uiPriority w:val="15"/>
    <w:qFormat/>
    <w:rsid w:val="00987507"/>
    <w:pPr>
      <w:spacing w:before="240" w:after="120" w:line="440" w:lineRule="atLeast"/>
      <w:contextualSpacing/>
    </w:pPr>
    <w:rPr>
      <w:rFonts w:ascii="Cambria" w:eastAsiaTheme="majorEastAsia" w:hAnsi="Cambria" w:cstheme="majorBidi"/>
      <w:color w:val="0072B9"/>
      <w:kern w:val="28"/>
      <w:sz w:val="36"/>
      <w:szCs w:val="52"/>
    </w:rPr>
  </w:style>
  <w:style w:type="paragraph" w:customStyle="1" w:styleId="Titledate">
    <w:name w:val="Title date"/>
    <w:basedOn w:val="Normal"/>
    <w:uiPriority w:val="16"/>
    <w:qFormat/>
    <w:rsid w:val="00987507"/>
    <w:pPr>
      <w:spacing w:before="80" w:after="120" w:line="460" w:lineRule="atLeast"/>
      <w:contextualSpacing/>
    </w:pPr>
    <w:rPr>
      <w:rFonts w:ascii="Cambria" w:eastAsiaTheme="majorEastAsia" w:hAnsi="Cambria" w:cstheme="majorBidi"/>
      <w:b/>
      <w:color w:val="0072B9"/>
      <w:kern w:val="28"/>
      <w:sz w:val="32"/>
      <w:szCs w:val="52"/>
    </w:rPr>
  </w:style>
  <w:style w:type="paragraph" w:customStyle="1" w:styleId="Heading2-list">
    <w:name w:val="Heading 2 - list"/>
    <w:basedOn w:val="Heading2"/>
    <w:next w:val="Normal"/>
    <w:rsid w:val="00226203"/>
    <w:pPr>
      <w:pageBreakBefore/>
      <w:numPr>
        <w:numId w:val="4"/>
      </w:numPr>
      <w:ind w:left="851" w:hanging="851"/>
    </w:pPr>
  </w:style>
  <w:style w:type="paragraph" w:customStyle="1" w:styleId="Heading3-list">
    <w:name w:val="Heading 3 - list"/>
    <w:basedOn w:val="Heading3"/>
    <w:next w:val="Normal"/>
    <w:rsid w:val="00987507"/>
    <w:pPr>
      <w:numPr>
        <w:ilvl w:val="1"/>
        <w:numId w:val="4"/>
      </w:numPr>
      <w:ind w:left="851" w:hanging="851"/>
    </w:pPr>
  </w:style>
  <w:style w:type="paragraph" w:customStyle="1" w:styleId="Heading4-list">
    <w:name w:val="Heading 4 - list"/>
    <w:basedOn w:val="Heading4"/>
    <w:next w:val="Normal"/>
    <w:rsid w:val="00945743"/>
    <w:pPr>
      <w:numPr>
        <w:ilvl w:val="2"/>
        <w:numId w:val="4"/>
      </w:numPr>
      <w:ind w:left="851" w:hanging="851"/>
    </w:pPr>
  </w:style>
  <w:style w:type="paragraph" w:customStyle="1" w:styleId="Source">
    <w:name w:val="Source"/>
    <w:basedOn w:val="Normal"/>
    <w:qFormat/>
    <w:rsid w:val="00BE6F9D"/>
    <w:rPr>
      <w:i/>
      <w:sz w:val="20"/>
      <w:szCs w:val="20"/>
    </w:rPr>
  </w:style>
  <w:style w:type="paragraph" w:customStyle="1" w:styleId="Tablenormalrowtext">
    <w:name w:val="Table normal row text"/>
    <w:basedOn w:val="Normal"/>
    <w:qFormat/>
    <w:rsid w:val="00540B2F"/>
    <w:pPr>
      <w:spacing w:after="0"/>
    </w:pPr>
  </w:style>
  <w:style w:type="paragraph" w:customStyle="1" w:styleId="Tableheading">
    <w:name w:val="Table heading"/>
    <w:basedOn w:val="Normal"/>
    <w:next w:val="Normal"/>
    <w:rsid w:val="00B74F9F"/>
    <w:pPr>
      <w:spacing w:after="0"/>
    </w:pPr>
    <w:rPr>
      <w:rFonts w:eastAsia="Times New Roman" w:cs="Times New Roman"/>
      <w:b/>
      <w:bCs/>
      <w:szCs w:val="20"/>
    </w:rPr>
  </w:style>
  <w:style w:type="paragraph" w:customStyle="1" w:styleId="Tableheadingcentred">
    <w:name w:val="Table heading centred"/>
    <w:basedOn w:val="Normal"/>
    <w:next w:val="Normal"/>
    <w:rsid w:val="00B74F9F"/>
    <w:pPr>
      <w:spacing w:after="0"/>
      <w:jc w:val="center"/>
    </w:pPr>
    <w:rPr>
      <w:rFonts w:eastAsia="Times New Roman" w:cs="Times New Roman"/>
      <w:b/>
      <w:bCs/>
      <w:szCs w:val="20"/>
    </w:rPr>
  </w:style>
  <w:style w:type="paragraph" w:customStyle="1" w:styleId="Tabletext">
    <w:name w:val="Table text"/>
    <w:basedOn w:val="Tabletextcentred"/>
    <w:uiPriority w:val="12"/>
    <w:qFormat/>
    <w:rsid w:val="00666FC7"/>
    <w:pPr>
      <w:jc w:val="left"/>
    </w:pPr>
    <w:rPr>
      <w:color w:val="113652"/>
    </w:rPr>
  </w:style>
  <w:style w:type="paragraph" w:styleId="Date">
    <w:name w:val="Date"/>
    <w:basedOn w:val="Normal"/>
    <w:next w:val="Normal"/>
    <w:link w:val="DateChar"/>
    <w:uiPriority w:val="99"/>
    <w:semiHidden/>
    <w:unhideWhenUsed/>
    <w:rsid w:val="00C56413"/>
  </w:style>
  <w:style w:type="character" w:customStyle="1" w:styleId="DateChar">
    <w:name w:val="Date Char"/>
    <w:basedOn w:val="DefaultParagraphFont"/>
    <w:link w:val="Date"/>
    <w:uiPriority w:val="99"/>
    <w:semiHidden/>
    <w:rsid w:val="00C56413"/>
  </w:style>
  <w:style w:type="paragraph" w:customStyle="1" w:styleId="copyrighttextStyles">
    <w:name w:val="copyright text (Styles)"/>
    <w:basedOn w:val="Normal"/>
    <w:next w:val="Normal"/>
    <w:uiPriority w:val="99"/>
    <w:rsid w:val="00C56413"/>
    <w:pPr>
      <w:widowControl w:val="0"/>
      <w:suppressAutoHyphens/>
      <w:autoSpaceDE w:val="0"/>
      <w:autoSpaceDN w:val="0"/>
      <w:adjustRightInd w:val="0"/>
      <w:spacing w:before="170" w:after="0" w:line="270" w:lineRule="atLeast"/>
      <w:textAlignment w:val="center"/>
    </w:pPr>
    <w:rPr>
      <w:rFonts w:ascii="Arial" w:eastAsia="Times New Roman" w:hAnsi="Arial" w:cs="TradeGothicLTStd-Light"/>
      <w:color w:val="000000"/>
      <w:sz w:val="16"/>
      <w:szCs w:val="16"/>
    </w:rPr>
  </w:style>
  <w:style w:type="character" w:styleId="EndnoteReference">
    <w:name w:val="endnote reference"/>
    <w:basedOn w:val="DefaultParagraphFont"/>
    <w:uiPriority w:val="99"/>
    <w:semiHidden/>
    <w:unhideWhenUsed/>
    <w:rsid w:val="005700B7"/>
    <w:rPr>
      <w:vertAlign w:val="superscript"/>
    </w:rPr>
  </w:style>
  <w:style w:type="paragraph" w:styleId="EndnoteText">
    <w:name w:val="endnote text"/>
    <w:basedOn w:val="Normal"/>
    <w:link w:val="EndnoteTextChar"/>
    <w:uiPriority w:val="99"/>
    <w:semiHidden/>
    <w:unhideWhenUsed/>
    <w:rsid w:val="001061E5"/>
    <w:pPr>
      <w:spacing w:after="0"/>
    </w:pPr>
    <w:rPr>
      <w:sz w:val="20"/>
      <w:szCs w:val="20"/>
    </w:rPr>
  </w:style>
  <w:style w:type="character" w:customStyle="1" w:styleId="EndnoteTextChar">
    <w:name w:val="Endnote Text Char"/>
    <w:basedOn w:val="DefaultParagraphFont"/>
    <w:link w:val="EndnoteText"/>
    <w:uiPriority w:val="99"/>
    <w:semiHidden/>
    <w:rsid w:val="001061E5"/>
    <w:rPr>
      <w:sz w:val="20"/>
      <w:szCs w:val="20"/>
    </w:rPr>
  </w:style>
  <w:style w:type="paragraph" w:customStyle="1" w:styleId="Figureheading">
    <w:name w:val="Figure heading"/>
    <w:basedOn w:val="Tablefigureheading"/>
    <w:qFormat/>
    <w:rsid w:val="00BD69B7"/>
    <w:rPr>
      <w:color w:val="AB0F14"/>
    </w:rPr>
  </w:style>
  <w:style w:type="paragraph" w:customStyle="1" w:styleId="Tablecellheading">
    <w:name w:val="Table cell heading"/>
    <w:basedOn w:val="Tabletext"/>
    <w:uiPriority w:val="12"/>
    <w:qFormat/>
    <w:rsid w:val="00BD69B7"/>
    <w:pPr>
      <w:keepNext/>
      <w:spacing w:before="120" w:after="120" w:line="259" w:lineRule="auto"/>
      <w:jc w:val="both"/>
    </w:pPr>
    <w:rPr>
      <w:rFonts w:eastAsia="Calibri"/>
      <w:color w:val="FFFFFF"/>
      <w:sz w:val="21"/>
      <w:szCs w:val="22"/>
      <w:lang w:eastAsia="en-AU"/>
    </w:rPr>
  </w:style>
  <w:style w:type="paragraph" w:customStyle="1" w:styleId="Boxheading">
    <w:name w:val="Box heading"/>
    <w:basedOn w:val="Normal"/>
    <w:next w:val="Normal"/>
    <w:uiPriority w:val="14"/>
    <w:qFormat/>
    <w:rsid w:val="00E25A11"/>
    <w:pPr>
      <w:pBdr>
        <w:top w:val="single" w:sz="4" w:space="8" w:color="7B7B7B" w:themeColor="accent3" w:themeShade="BF"/>
        <w:left w:val="single" w:sz="4" w:space="8" w:color="7B7B7B" w:themeColor="accent3" w:themeShade="BF"/>
        <w:bottom w:val="single" w:sz="4" w:space="8" w:color="7B7B7B" w:themeColor="accent3" w:themeShade="BF"/>
        <w:right w:val="single" w:sz="4" w:space="8" w:color="7B7B7B" w:themeColor="accent3" w:themeShade="BF"/>
      </w:pBdr>
      <w:shd w:val="clear" w:color="auto" w:fill="EEF4FA" w:themeFill="accent1" w:themeFillTint="1A"/>
      <w:spacing w:before="240" w:after="120"/>
      <w:ind w:left="198" w:right="198"/>
    </w:pPr>
    <w:rPr>
      <w:rFonts w:ascii="Calibri" w:hAnsi="Calibri"/>
      <w:i/>
      <w:color w:val="1F4E79" w:themeColor="accent1" w:themeShade="80"/>
      <w:sz w:val="26"/>
    </w:rPr>
  </w:style>
  <w:style w:type="table" w:customStyle="1" w:styleId="ListTable3-Accent11">
    <w:name w:val="List Table 3 - Accent 11"/>
    <w:basedOn w:val="TableNormal"/>
    <w:uiPriority w:val="48"/>
    <w:rsid w:val="00E25A11"/>
    <w:pPr>
      <w:spacing w:after="0" w:line="240" w:lineRule="auto"/>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character" w:styleId="SubtleEmphasis">
    <w:name w:val="Subtle Emphasis"/>
    <w:basedOn w:val="DefaultParagraphFont"/>
    <w:uiPriority w:val="19"/>
    <w:qFormat/>
    <w:rsid w:val="00E25A11"/>
    <w:rPr>
      <w:i/>
      <w:iCs/>
      <w:color w:val="404040" w:themeColor="text1" w:themeTint="BF"/>
    </w:rPr>
  </w:style>
  <w:style w:type="paragraph" w:styleId="Caption">
    <w:name w:val="caption"/>
    <w:basedOn w:val="NoSpacing"/>
    <w:next w:val="Normal"/>
    <w:uiPriority w:val="35"/>
    <w:unhideWhenUsed/>
    <w:qFormat/>
    <w:rsid w:val="00E25A11"/>
    <w:pPr>
      <w:spacing w:before="240" w:after="120"/>
    </w:pPr>
    <w:rPr>
      <w:i/>
      <w:iCs/>
      <w:color w:val="5B9BD5" w:themeColor="accent1"/>
      <w:szCs w:val="18"/>
    </w:rPr>
  </w:style>
  <w:style w:type="paragraph" w:customStyle="1" w:styleId="BCRFolio">
    <w:name w:val="BCR Folio"/>
    <w:basedOn w:val="Footer"/>
    <w:qFormat/>
    <w:rsid w:val="00E25A11"/>
    <w:pPr>
      <w:pBdr>
        <w:top w:val="single" w:sz="4" w:space="12" w:color="F89621"/>
      </w:pBdr>
      <w:tabs>
        <w:tab w:val="clear" w:pos="4513"/>
        <w:tab w:val="clear" w:pos="9026"/>
        <w:tab w:val="center" w:pos="4320"/>
        <w:tab w:val="right" w:pos="8640"/>
      </w:tabs>
      <w:spacing w:before="120" w:after="120"/>
      <w:jc w:val="right"/>
    </w:pPr>
    <w:rPr>
      <w:rFonts w:ascii="Calibri" w:eastAsia="Cambria" w:hAnsi="Calibri" w:cs="Times New Roman"/>
      <w:color w:val="0E293A"/>
      <w:sz w:val="16"/>
      <w:szCs w:val="24"/>
      <w:lang w:val="en-US"/>
    </w:rPr>
  </w:style>
  <w:style w:type="paragraph" w:customStyle="1" w:styleId="NotesSource">
    <w:name w:val="Notes/Source"/>
    <w:basedOn w:val="Normal"/>
    <w:link w:val="NotesSourceChar"/>
    <w:qFormat/>
    <w:rsid w:val="00E25A11"/>
    <w:pPr>
      <w:spacing w:after="160" w:line="259" w:lineRule="auto"/>
    </w:pPr>
    <w:rPr>
      <w:color w:val="5B9BD5" w:themeColor="accent1"/>
      <w:sz w:val="18"/>
      <w:szCs w:val="18"/>
    </w:rPr>
  </w:style>
  <w:style w:type="character" w:customStyle="1" w:styleId="ListParagraphChar">
    <w:name w:val="List Paragraph Char"/>
    <w:aliases w:val="List Paragraph1 Char,Recommendation Char,bullet point list Char"/>
    <w:basedOn w:val="DefaultParagraphFont"/>
    <w:link w:val="ListParagraph"/>
    <w:uiPriority w:val="34"/>
    <w:locked/>
    <w:rsid w:val="00E25A11"/>
  </w:style>
  <w:style w:type="character" w:customStyle="1" w:styleId="NotesSourceChar">
    <w:name w:val="Notes/Source Char"/>
    <w:basedOn w:val="DefaultParagraphFont"/>
    <w:link w:val="NotesSource"/>
    <w:rsid w:val="00E25A11"/>
    <w:rPr>
      <w:color w:val="5B9BD5" w:themeColor="accent1"/>
      <w:sz w:val="18"/>
      <w:szCs w:val="18"/>
    </w:rPr>
  </w:style>
  <w:style w:type="character" w:styleId="Strong">
    <w:name w:val="Strong"/>
    <w:basedOn w:val="DefaultParagraphFont"/>
    <w:uiPriority w:val="2"/>
    <w:qFormat/>
    <w:rsid w:val="00E25A11"/>
    <w:rPr>
      <w:b/>
      <w:bCs/>
    </w:rPr>
  </w:style>
  <w:style w:type="paragraph" w:customStyle="1" w:styleId="copyrightHeading2Styles">
    <w:name w:val="copyrightHeading 2 (Styles)"/>
    <w:basedOn w:val="Normal"/>
    <w:next w:val="Normal"/>
    <w:uiPriority w:val="99"/>
    <w:rsid w:val="00E25A11"/>
    <w:pPr>
      <w:keepNext/>
      <w:widowControl w:val="0"/>
      <w:suppressAutoHyphens/>
      <w:autoSpaceDE w:val="0"/>
      <w:autoSpaceDN w:val="0"/>
      <w:adjustRightInd w:val="0"/>
      <w:spacing w:before="454" w:after="0" w:line="320" w:lineRule="atLeast"/>
      <w:textAlignment w:val="center"/>
    </w:pPr>
    <w:rPr>
      <w:rFonts w:ascii="Arial" w:eastAsia="Times New Roman" w:hAnsi="Arial" w:cs="Geogrotesque-Light"/>
      <w:color w:val="000000" w:themeColor="text1"/>
      <w:sz w:val="33"/>
      <w:szCs w:val="33"/>
    </w:rPr>
  </w:style>
  <w:style w:type="paragraph" w:customStyle="1" w:styleId="H1">
    <w:name w:val="H1"/>
    <w:basedOn w:val="Heading1"/>
    <w:next w:val="BodyText"/>
    <w:qFormat/>
    <w:rsid w:val="00E25A11"/>
    <w:pPr>
      <w:keepLines/>
      <w:tabs>
        <w:tab w:val="clear" w:pos="360"/>
      </w:tabs>
      <w:spacing w:before="480" w:line="400" w:lineRule="atLeast"/>
      <w:ind w:left="0" w:firstLine="0"/>
    </w:pPr>
    <w:rPr>
      <w:rFonts w:ascii="Cambria" w:hAnsi="Cambria"/>
      <w:b w:val="0"/>
      <w:bCs/>
      <w:color w:val="900D10"/>
      <w:sz w:val="40"/>
      <w:szCs w:val="28"/>
    </w:rPr>
  </w:style>
  <w:style w:type="table" w:customStyle="1" w:styleId="ListTable3-Accent51">
    <w:name w:val="List Table 3 - Accent 51"/>
    <w:basedOn w:val="TableNormal"/>
    <w:uiPriority w:val="48"/>
    <w:rsid w:val="00E25A11"/>
    <w:pPr>
      <w:spacing w:before="240" w:after="0" w:line="240" w:lineRule="auto"/>
      <w:ind w:left="1021" w:hanging="1021"/>
    </w:p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tblBorders>
    </w:tblPr>
    <w:tblStylePr w:type="firstRow">
      <w:rPr>
        <w:b/>
        <w:bCs/>
        <w:color w:val="FFFFFF" w:themeColor="background1"/>
      </w:rPr>
      <w:tblPr/>
      <w:tcPr>
        <w:shd w:val="clear" w:color="auto" w:fill="4472C4" w:themeFill="accent5"/>
      </w:tcPr>
    </w:tblStylePr>
    <w:tblStylePr w:type="lastRow">
      <w:rPr>
        <w:b/>
        <w:bCs/>
      </w:rPr>
      <w:tblPr/>
      <w:tcPr>
        <w:tcBorders>
          <w:top w:val="double" w:sz="4" w:space="0" w:color="4472C4"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5"/>
          <w:right w:val="single" w:sz="4" w:space="0" w:color="4472C4" w:themeColor="accent5"/>
        </w:tcBorders>
      </w:tcPr>
    </w:tblStylePr>
    <w:tblStylePr w:type="band1Horz">
      <w:tblPr/>
      <w:tcPr>
        <w:tcBorders>
          <w:top w:val="single" w:sz="4" w:space="0" w:color="4472C4" w:themeColor="accent5"/>
          <w:bottom w:val="single" w:sz="4" w:space="0" w:color="4472C4"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5"/>
          <w:left w:val="nil"/>
        </w:tcBorders>
      </w:tcPr>
    </w:tblStylePr>
    <w:tblStylePr w:type="swCell">
      <w:tblPr/>
      <w:tcPr>
        <w:tcBorders>
          <w:top w:val="double" w:sz="4" w:space="0" w:color="4472C4" w:themeColor="accent5"/>
          <w:right w:val="nil"/>
        </w:tcBorders>
      </w:tcPr>
    </w:tblStylePr>
  </w:style>
  <w:style w:type="character" w:customStyle="1" w:styleId="CHARTNOTheader">
    <w:name w:val="CHART NOT header"/>
    <w:basedOn w:val="BodyTextChar"/>
    <w:uiPriority w:val="1"/>
    <w:qFormat/>
    <w:rsid w:val="00E25A11"/>
    <w:rPr>
      <w:rFonts w:ascii="Calibri" w:hAnsi="Calibri"/>
      <w:bCs w:val="0"/>
      <w:color w:val="900D10"/>
      <w:sz w:val="24"/>
    </w:rPr>
  </w:style>
  <w:style w:type="paragraph" w:customStyle="1" w:styleId="H2">
    <w:name w:val="H2"/>
    <w:basedOn w:val="Heading2"/>
    <w:link w:val="H2Char"/>
    <w:qFormat/>
    <w:rsid w:val="00E25A11"/>
    <w:pPr>
      <w:keepLines/>
      <w:tabs>
        <w:tab w:val="clear" w:pos="2268"/>
      </w:tabs>
      <w:spacing w:before="360" w:line="280" w:lineRule="atLeast"/>
    </w:pPr>
    <w:rPr>
      <w:rFonts w:ascii="Cambria" w:hAnsi="Cambria"/>
      <w:b w:val="0"/>
      <w:bCs/>
      <w:color w:val="ED7D31" w:themeColor="accent2"/>
    </w:rPr>
  </w:style>
  <w:style w:type="character" w:customStyle="1" w:styleId="H2Char">
    <w:name w:val="H2 Char"/>
    <w:basedOn w:val="Heading2Char"/>
    <w:link w:val="H2"/>
    <w:rsid w:val="00E25A11"/>
    <w:rPr>
      <w:rFonts w:ascii="Cambria" w:eastAsiaTheme="majorEastAsia" w:hAnsi="Cambria" w:cstheme="majorBidi"/>
      <w:b w:val="0"/>
      <w:bCs/>
      <w:color w:val="ED7D31" w:themeColor="accent2"/>
      <w:sz w:val="36"/>
      <w:szCs w:val="26"/>
    </w:rPr>
  </w:style>
  <w:style w:type="paragraph" w:customStyle="1" w:styleId="BCRTOCHeading1">
    <w:name w:val="BCR TOC Heading 1"/>
    <w:basedOn w:val="Normal"/>
    <w:link w:val="BCRTOCHeading1Char"/>
    <w:qFormat/>
    <w:rsid w:val="00E25A11"/>
    <w:pPr>
      <w:spacing w:before="480" w:after="0" w:line="360" w:lineRule="auto"/>
      <w:ind w:left="1021" w:hanging="1021"/>
      <w:outlineLvl w:val="0"/>
    </w:pPr>
    <w:rPr>
      <w:rFonts w:ascii="Calibri" w:hAnsi="Calibri"/>
      <w:b/>
      <w:color w:val="AA0F14"/>
      <w:sz w:val="40"/>
      <w:szCs w:val="32"/>
    </w:rPr>
  </w:style>
  <w:style w:type="character" w:customStyle="1" w:styleId="BCRTOCHeading1Char">
    <w:name w:val="BCR TOC Heading 1 Char"/>
    <w:basedOn w:val="DefaultParagraphFont"/>
    <w:link w:val="BCRTOCHeading1"/>
    <w:rsid w:val="00E25A11"/>
    <w:rPr>
      <w:rFonts w:ascii="Calibri" w:hAnsi="Calibri"/>
      <w:b/>
      <w:color w:val="AA0F14"/>
      <w:sz w:val="40"/>
      <w:szCs w:val="32"/>
    </w:rPr>
  </w:style>
  <w:style w:type="paragraph" w:customStyle="1" w:styleId="Tablecaption">
    <w:name w:val="Table caption"/>
    <w:basedOn w:val="Caption"/>
    <w:next w:val="Tabledescription"/>
    <w:uiPriority w:val="11"/>
    <w:rsid w:val="00E25A11"/>
    <w:pPr>
      <w:keepNext/>
      <w:tabs>
        <w:tab w:val="left" w:pos="1021"/>
      </w:tabs>
      <w:ind w:left="1021" w:hanging="1021"/>
    </w:pPr>
    <w:rPr>
      <w:rFonts w:ascii="Calibri" w:hAnsi="Calibri"/>
      <w:b/>
      <w:bCs/>
      <w:i w:val="0"/>
      <w:iCs w:val="0"/>
      <w:color w:val="323E4F" w:themeColor="text2" w:themeShade="BF"/>
      <w:sz w:val="18"/>
    </w:rPr>
  </w:style>
  <w:style w:type="paragraph" w:customStyle="1" w:styleId="Tablebullet-Level1">
    <w:name w:val="Table bullet - Level 1"/>
    <w:basedOn w:val="Tabletext"/>
    <w:uiPriority w:val="13"/>
    <w:qFormat/>
    <w:rsid w:val="00E25A11"/>
    <w:pPr>
      <w:numPr>
        <w:numId w:val="16"/>
      </w:numPr>
      <w:spacing w:before="120" w:after="120"/>
      <w:jc w:val="both"/>
    </w:pPr>
    <w:rPr>
      <w:rFonts w:ascii="Calibri" w:eastAsia="Calibri" w:hAnsi="Calibri"/>
      <w:bCs/>
      <w:color w:val="222A35" w:themeColor="text2" w:themeShade="80"/>
      <w:sz w:val="21"/>
      <w:szCs w:val="22"/>
      <w:lang w:eastAsia="en-AU"/>
    </w:rPr>
  </w:style>
  <w:style w:type="paragraph" w:customStyle="1" w:styleId="Tabledescription">
    <w:name w:val="Table description"/>
    <w:basedOn w:val="Tablecaption"/>
    <w:uiPriority w:val="11"/>
    <w:rsid w:val="00E25A11"/>
    <w:pPr>
      <w:tabs>
        <w:tab w:val="clear" w:pos="1021"/>
      </w:tabs>
      <w:spacing w:before="120" w:after="240"/>
      <w:ind w:firstLine="0"/>
    </w:pPr>
    <w:rPr>
      <w:b w:val="0"/>
      <w:color w:val="auto"/>
    </w:rPr>
  </w:style>
  <w:style w:type="paragraph" w:customStyle="1" w:styleId="Appendix-Heading1">
    <w:name w:val="Appendix - Heading 1"/>
    <w:basedOn w:val="Heading1"/>
    <w:next w:val="BodyText"/>
    <w:uiPriority w:val="19"/>
    <w:qFormat/>
    <w:rsid w:val="00E25A11"/>
    <w:pPr>
      <w:keepLines/>
      <w:pageBreakBefore/>
      <w:numPr>
        <w:numId w:val="24"/>
      </w:numPr>
      <w:spacing w:before="480" w:line="400" w:lineRule="atLeast"/>
    </w:pPr>
    <w:rPr>
      <w:rFonts w:ascii="Cambria" w:hAnsi="Cambria"/>
      <w:bCs/>
      <w:color w:val="1F4E79" w:themeColor="accent1" w:themeShade="80"/>
      <w:sz w:val="40"/>
      <w:szCs w:val="28"/>
    </w:rPr>
  </w:style>
  <w:style w:type="paragraph" w:customStyle="1" w:styleId="Appendix-Heading2">
    <w:name w:val="Appendix - Heading 2"/>
    <w:basedOn w:val="Heading2"/>
    <w:next w:val="BodyText"/>
    <w:uiPriority w:val="19"/>
    <w:qFormat/>
    <w:rsid w:val="00E25A11"/>
    <w:pPr>
      <w:keepLines/>
      <w:numPr>
        <w:ilvl w:val="1"/>
        <w:numId w:val="24"/>
      </w:numPr>
      <w:tabs>
        <w:tab w:val="clear" w:pos="2268"/>
      </w:tabs>
      <w:spacing w:before="360" w:line="280" w:lineRule="atLeast"/>
    </w:pPr>
    <w:rPr>
      <w:rFonts w:ascii="Cambria" w:hAnsi="Cambria"/>
      <w:bCs/>
      <w:color w:val="1F4E79" w:themeColor="accent1" w:themeShade="80"/>
    </w:rPr>
  </w:style>
  <w:style w:type="paragraph" w:customStyle="1" w:styleId="Bodybullet-Level0">
    <w:name w:val="Body bullet - Level 0"/>
    <w:basedOn w:val="BodyText"/>
    <w:uiPriority w:val="1"/>
    <w:rsid w:val="00E25A11"/>
    <w:pPr>
      <w:numPr>
        <w:numId w:val="15"/>
      </w:numPr>
      <w:spacing w:before="120" w:after="180"/>
      <w:jc w:val="both"/>
    </w:pPr>
    <w:rPr>
      <w:bCs/>
      <w:color w:val="222A35" w:themeColor="text2" w:themeShade="80"/>
    </w:rPr>
  </w:style>
  <w:style w:type="paragraph" w:customStyle="1" w:styleId="BCRbodybullet-Level1">
    <w:name w:val="BCR body bullet - Level 1"/>
    <w:basedOn w:val="Bodybullet-Level0"/>
    <w:uiPriority w:val="1"/>
    <w:qFormat/>
    <w:rsid w:val="00E25A11"/>
    <w:pPr>
      <w:numPr>
        <w:numId w:val="25"/>
      </w:numPr>
    </w:pPr>
  </w:style>
  <w:style w:type="paragraph" w:customStyle="1" w:styleId="BCRbodybullet-Level2">
    <w:name w:val="BCR body bullet - Level 2"/>
    <w:basedOn w:val="BCRbodybullet-Level1"/>
    <w:uiPriority w:val="1"/>
    <w:qFormat/>
    <w:rsid w:val="00E25A11"/>
    <w:pPr>
      <w:numPr>
        <w:ilvl w:val="1"/>
      </w:numPr>
    </w:pPr>
  </w:style>
  <w:style w:type="paragraph" w:customStyle="1" w:styleId="Tablebullet-Level2">
    <w:name w:val="Table bullet - Level 2"/>
    <w:basedOn w:val="Tablebullet-Level1"/>
    <w:uiPriority w:val="13"/>
    <w:qFormat/>
    <w:rsid w:val="00E25A11"/>
    <w:pPr>
      <w:numPr>
        <w:ilvl w:val="1"/>
      </w:numPr>
    </w:pPr>
  </w:style>
  <w:style w:type="paragraph" w:customStyle="1" w:styleId="Figurecaption">
    <w:name w:val="Figure caption"/>
    <w:basedOn w:val="Caption"/>
    <w:next w:val="Normal"/>
    <w:link w:val="FigurecaptionCharChar"/>
    <w:uiPriority w:val="10"/>
    <w:rsid w:val="00E25A11"/>
    <w:pPr>
      <w:keepNext/>
      <w:tabs>
        <w:tab w:val="left" w:pos="1021"/>
      </w:tabs>
      <w:ind w:left="1021" w:hanging="1021"/>
    </w:pPr>
    <w:rPr>
      <w:rFonts w:ascii="Calibri" w:hAnsi="Calibri"/>
      <w:b/>
      <w:bCs/>
      <w:i w:val="0"/>
      <w:iCs w:val="0"/>
      <w:color w:val="000000" w:themeColor="text1"/>
      <w:sz w:val="18"/>
    </w:rPr>
  </w:style>
  <w:style w:type="character" w:styleId="PageNumber">
    <w:name w:val="page number"/>
    <w:basedOn w:val="DefaultParagraphFont"/>
    <w:uiPriority w:val="49"/>
    <w:rsid w:val="00E25A11"/>
    <w:rPr>
      <w:color w:val="FFFFFF" w:themeColor="background1"/>
      <w:sz w:val="22"/>
    </w:rPr>
  </w:style>
  <w:style w:type="paragraph" w:customStyle="1" w:styleId="BCRbodynumbered-Level1">
    <w:name w:val="BCR body numbered - Level 1"/>
    <w:basedOn w:val="BodyText"/>
    <w:uiPriority w:val="1"/>
    <w:qFormat/>
    <w:rsid w:val="00E25A11"/>
    <w:pPr>
      <w:numPr>
        <w:numId w:val="17"/>
      </w:numPr>
      <w:spacing w:before="120" w:after="180"/>
      <w:jc w:val="both"/>
    </w:pPr>
    <w:rPr>
      <w:bCs/>
      <w:color w:val="222A35" w:themeColor="text2" w:themeShade="80"/>
    </w:rPr>
  </w:style>
  <w:style w:type="paragraph" w:customStyle="1" w:styleId="Bodynumbered-Level2">
    <w:name w:val="Body numbered - Level 2"/>
    <w:basedOn w:val="BCRbodynumbered-Level1"/>
    <w:uiPriority w:val="1"/>
    <w:qFormat/>
    <w:rsid w:val="00E25A11"/>
    <w:pPr>
      <w:numPr>
        <w:numId w:val="28"/>
      </w:numPr>
    </w:pPr>
  </w:style>
  <w:style w:type="paragraph" w:customStyle="1" w:styleId="Bodynumbered-Level3">
    <w:name w:val="Body numbered - Level 3"/>
    <w:basedOn w:val="BCRbodynumbered-Level1"/>
    <w:uiPriority w:val="1"/>
    <w:qFormat/>
    <w:rsid w:val="00E25A11"/>
    <w:pPr>
      <w:numPr>
        <w:numId w:val="26"/>
      </w:numPr>
    </w:pPr>
  </w:style>
  <w:style w:type="paragraph" w:customStyle="1" w:styleId="References-Heading1">
    <w:name w:val="References - Heading 1"/>
    <w:basedOn w:val="Heading1"/>
    <w:next w:val="BodyText"/>
    <w:uiPriority w:val="18"/>
    <w:qFormat/>
    <w:rsid w:val="00E25A11"/>
    <w:pPr>
      <w:keepLines/>
      <w:tabs>
        <w:tab w:val="clear" w:pos="360"/>
      </w:tabs>
      <w:spacing w:before="480" w:line="400" w:lineRule="atLeast"/>
      <w:ind w:left="0" w:firstLine="0"/>
    </w:pPr>
    <w:rPr>
      <w:rFonts w:ascii="Cambria" w:hAnsi="Cambria"/>
      <w:bCs/>
      <w:color w:val="1F4E79" w:themeColor="accent1" w:themeShade="80"/>
      <w:sz w:val="40"/>
      <w:szCs w:val="28"/>
    </w:rPr>
  </w:style>
  <w:style w:type="paragraph" w:customStyle="1" w:styleId="References-Heading2">
    <w:name w:val="References - Heading 2"/>
    <w:basedOn w:val="Heading2"/>
    <w:next w:val="BodyText"/>
    <w:uiPriority w:val="18"/>
    <w:rsid w:val="00E25A11"/>
    <w:pPr>
      <w:keepLines/>
      <w:tabs>
        <w:tab w:val="clear" w:pos="2268"/>
      </w:tabs>
      <w:spacing w:before="360" w:line="280" w:lineRule="atLeast"/>
    </w:pPr>
    <w:rPr>
      <w:rFonts w:ascii="Cambria" w:hAnsi="Cambria"/>
      <w:bCs/>
      <w:color w:val="1F4E79" w:themeColor="accent1" w:themeShade="80"/>
    </w:rPr>
  </w:style>
  <w:style w:type="paragraph" w:customStyle="1" w:styleId="References-Heading3">
    <w:name w:val="References - Heading 3"/>
    <w:basedOn w:val="Heading3"/>
    <w:next w:val="BodyText"/>
    <w:uiPriority w:val="18"/>
    <w:rsid w:val="00E25A11"/>
    <w:pPr>
      <w:keepLines/>
      <w:spacing w:before="200"/>
    </w:pPr>
    <w:rPr>
      <w:rFonts w:ascii="Cambria" w:hAnsi="Cambria"/>
      <w:b w:val="0"/>
      <w:bCs/>
      <w:color w:val="AB0F14"/>
      <w:sz w:val="28"/>
      <w:szCs w:val="22"/>
    </w:rPr>
  </w:style>
  <w:style w:type="paragraph" w:customStyle="1" w:styleId="Bodytext-Indent">
    <w:name w:val="Body text - Indent"/>
    <w:basedOn w:val="BodyText"/>
    <w:next w:val="BodyText"/>
    <w:qFormat/>
    <w:rsid w:val="00E25A11"/>
    <w:pPr>
      <w:spacing w:before="0" w:after="0"/>
      <w:ind w:left="340"/>
      <w:jc w:val="both"/>
    </w:pPr>
    <w:rPr>
      <w:bCs/>
      <w:color w:val="222A35" w:themeColor="text2" w:themeShade="80"/>
    </w:rPr>
  </w:style>
  <w:style w:type="paragraph" w:customStyle="1" w:styleId="Boxtext">
    <w:name w:val="Box text"/>
    <w:basedOn w:val="BodyText"/>
    <w:uiPriority w:val="14"/>
    <w:qFormat/>
    <w:rsid w:val="00E25A11"/>
    <w:pPr>
      <w:pBdr>
        <w:top w:val="single" w:sz="4" w:space="8" w:color="7B7B7B" w:themeColor="accent3" w:themeShade="BF"/>
        <w:left w:val="single" w:sz="4" w:space="8" w:color="7B7B7B" w:themeColor="accent3" w:themeShade="BF"/>
        <w:bottom w:val="single" w:sz="4" w:space="8" w:color="7B7B7B" w:themeColor="accent3" w:themeShade="BF"/>
        <w:right w:val="single" w:sz="4" w:space="0" w:color="7B7B7B" w:themeColor="accent3" w:themeShade="BF"/>
      </w:pBdr>
      <w:shd w:val="clear" w:color="auto" w:fill="EDEDED" w:themeFill="accent3" w:themeFillTint="33"/>
      <w:spacing w:before="0" w:after="0"/>
      <w:ind w:left="198"/>
      <w:jc w:val="both"/>
    </w:pPr>
    <w:rPr>
      <w:bCs/>
      <w:color w:val="222A35" w:themeColor="text2" w:themeShade="80"/>
    </w:rPr>
  </w:style>
  <w:style w:type="paragraph" w:customStyle="1" w:styleId="Boxbullet">
    <w:name w:val="Box bullet"/>
    <w:basedOn w:val="Boxtext"/>
    <w:uiPriority w:val="15"/>
    <w:qFormat/>
    <w:rsid w:val="00E25A11"/>
    <w:pPr>
      <w:numPr>
        <w:numId w:val="18"/>
      </w:numPr>
      <w:spacing w:after="180"/>
      <w:ind w:left="652" w:hanging="454"/>
    </w:pPr>
  </w:style>
  <w:style w:type="paragraph" w:customStyle="1" w:styleId="Boxsub-heading">
    <w:name w:val="Box sub-heading"/>
    <w:basedOn w:val="Boxtext"/>
    <w:next w:val="Boxtext"/>
    <w:uiPriority w:val="14"/>
    <w:qFormat/>
    <w:rsid w:val="00E25A11"/>
    <w:pPr>
      <w:pBdr>
        <w:top w:val="single" w:sz="4" w:space="8" w:color="DBDBDB" w:themeColor="accent3" w:themeTint="66"/>
        <w:left w:val="single" w:sz="4" w:space="8" w:color="DBDBDB" w:themeColor="accent3" w:themeTint="66"/>
        <w:bottom w:val="single" w:sz="4" w:space="8" w:color="DBDBDB" w:themeColor="accent3" w:themeTint="66"/>
        <w:right w:val="single" w:sz="4" w:space="0" w:color="DBDBDB" w:themeColor="accent3" w:themeTint="66"/>
      </w:pBdr>
    </w:pPr>
    <w:rPr>
      <w:b/>
      <w:color w:val="000000" w:themeColor="text1"/>
    </w:rPr>
  </w:style>
  <w:style w:type="paragraph" w:customStyle="1" w:styleId="SourceNotes">
    <w:name w:val="Source/Notes"/>
    <w:basedOn w:val="BodyText"/>
    <w:next w:val="BodyText"/>
    <w:uiPriority w:val="10"/>
    <w:qFormat/>
    <w:rsid w:val="00E25A11"/>
    <w:pPr>
      <w:spacing w:before="120" w:after="0"/>
      <w:jc w:val="both"/>
    </w:pPr>
    <w:rPr>
      <w:bCs/>
      <w:color w:val="222A35" w:themeColor="text2" w:themeShade="80"/>
      <w:sz w:val="16"/>
      <w:szCs w:val="16"/>
    </w:rPr>
  </w:style>
  <w:style w:type="paragraph" w:customStyle="1" w:styleId="Boxcaption">
    <w:name w:val="Box caption"/>
    <w:basedOn w:val="Caption"/>
    <w:uiPriority w:val="14"/>
    <w:qFormat/>
    <w:rsid w:val="00E25A11"/>
    <w:pPr>
      <w:tabs>
        <w:tab w:val="left" w:pos="1021"/>
      </w:tabs>
      <w:ind w:left="1021" w:hanging="1021"/>
    </w:pPr>
    <w:rPr>
      <w:rFonts w:ascii="Calibri" w:hAnsi="Calibri"/>
      <w:b/>
      <w:bCs/>
      <w:i w:val="0"/>
      <w:iCs w:val="0"/>
      <w:color w:val="323E4F" w:themeColor="text2" w:themeShade="BF"/>
      <w:sz w:val="18"/>
    </w:rPr>
  </w:style>
  <w:style w:type="paragraph" w:customStyle="1" w:styleId="Appendix-Heading3">
    <w:name w:val="Appendix - Heading 3"/>
    <w:basedOn w:val="Heading3"/>
    <w:next w:val="BodyText"/>
    <w:uiPriority w:val="19"/>
    <w:qFormat/>
    <w:rsid w:val="00E25A11"/>
    <w:pPr>
      <w:keepLines/>
      <w:numPr>
        <w:ilvl w:val="2"/>
        <w:numId w:val="24"/>
      </w:numPr>
      <w:spacing w:before="200"/>
    </w:pPr>
    <w:rPr>
      <w:rFonts w:ascii="Cambria" w:hAnsi="Cambria"/>
      <w:b w:val="0"/>
      <w:bCs/>
      <w:color w:val="AB0F14"/>
      <w:sz w:val="28"/>
      <w:szCs w:val="22"/>
    </w:rPr>
  </w:style>
  <w:style w:type="paragraph" w:customStyle="1" w:styleId="Boxlist-Numbered">
    <w:name w:val="Box list - Numbered"/>
    <w:basedOn w:val="Titledate"/>
    <w:uiPriority w:val="15"/>
    <w:qFormat/>
    <w:rsid w:val="00E25A11"/>
    <w:rPr>
      <w:color w:val="44546A" w:themeColor="text2"/>
      <w:sz w:val="24"/>
    </w:rPr>
  </w:style>
  <w:style w:type="paragraph" w:customStyle="1" w:styleId="Boxlist-Alpha">
    <w:name w:val="Box list - Alpha"/>
    <w:basedOn w:val="Boxtext"/>
    <w:uiPriority w:val="15"/>
    <w:qFormat/>
    <w:rsid w:val="00E25A11"/>
    <w:pPr>
      <w:numPr>
        <w:numId w:val="27"/>
      </w:numPr>
      <w:spacing w:before="120"/>
    </w:pPr>
  </w:style>
  <w:style w:type="paragraph" w:customStyle="1" w:styleId="BCRcharts">
    <w:name w:val="BCR charts"/>
    <w:aliases w:val="tables and figures heading"/>
    <w:basedOn w:val="H3"/>
    <w:next w:val="BodyText"/>
    <w:link w:val="BCRchartsChar"/>
    <w:qFormat/>
    <w:rsid w:val="00E25A11"/>
    <w:pPr>
      <w:spacing w:before="360" w:after="240"/>
    </w:pPr>
    <w:rPr>
      <w:b/>
      <w:sz w:val="26"/>
      <w:szCs w:val="26"/>
    </w:rPr>
  </w:style>
  <w:style w:type="paragraph" w:customStyle="1" w:styleId="Tablelist-Numbered">
    <w:name w:val="Table list - Numbered"/>
    <w:basedOn w:val="Tabletext"/>
    <w:uiPriority w:val="13"/>
    <w:qFormat/>
    <w:rsid w:val="00E25A11"/>
    <w:pPr>
      <w:numPr>
        <w:numId w:val="19"/>
      </w:numPr>
      <w:spacing w:before="120" w:after="120"/>
      <w:jc w:val="both"/>
    </w:pPr>
    <w:rPr>
      <w:rFonts w:ascii="Calibri" w:eastAsia="Calibri" w:hAnsi="Calibri"/>
      <w:bCs/>
      <w:color w:val="222A35" w:themeColor="text2" w:themeShade="80"/>
      <w:sz w:val="21"/>
      <w:szCs w:val="22"/>
      <w:lang w:eastAsia="en-AU"/>
    </w:rPr>
  </w:style>
  <w:style w:type="paragraph" w:customStyle="1" w:styleId="Tablecellsub-heading">
    <w:name w:val="Table cell sub-heading"/>
    <w:basedOn w:val="Tablecellheading"/>
    <w:uiPriority w:val="12"/>
    <w:qFormat/>
    <w:rsid w:val="00E25A11"/>
    <w:pPr>
      <w:spacing w:line="240" w:lineRule="auto"/>
    </w:pPr>
    <w:rPr>
      <w:rFonts w:ascii="Calibri" w:hAnsi="Calibri"/>
      <w:color w:val="auto"/>
    </w:rPr>
  </w:style>
  <w:style w:type="numbering" w:styleId="111111">
    <w:name w:val="Outline List 2"/>
    <w:basedOn w:val="NoList"/>
    <w:uiPriority w:val="99"/>
    <w:semiHidden/>
    <w:unhideWhenUsed/>
    <w:rsid w:val="00E25A11"/>
    <w:pPr>
      <w:numPr>
        <w:numId w:val="20"/>
      </w:numPr>
    </w:pPr>
  </w:style>
  <w:style w:type="numbering" w:styleId="1ai">
    <w:name w:val="Outline List 1"/>
    <w:basedOn w:val="NoList"/>
    <w:uiPriority w:val="99"/>
    <w:semiHidden/>
    <w:unhideWhenUsed/>
    <w:rsid w:val="00E25A11"/>
    <w:pPr>
      <w:numPr>
        <w:numId w:val="21"/>
      </w:numPr>
    </w:pPr>
  </w:style>
  <w:style w:type="numbering" w:styleId="ArticleSection">
    <w:name w:val="Outline List 3"/>
    <w:basedOn w:val="NoList"/>
    <w:uiPriority w:val="99"/>
    <w:semiHidden/>
    <w:unhideWhenUsed/>
    <w:rsid w:val="00E25A11"/>
    <w:pPr>
      <w:numPr>
        <w:numId w:val="22"/>
      </w:numPr>
    </w:pPr>
  </w:style>
  <w:style w:type="paragraph" w:styleId="Bibliography">
    <w:name w:val="Bibliography"/>
    <w:basedOn w:val="Normal"/>
    <w:next w:val="Normal"/>
    <w:uiPriority w:val="37"/>
    <w:semiHidden/>
    <w:unhideWhenUsed/>
    <w:rsid w:val="00E25A11"/>
    <w:pPr>
      <w:spacing w:before="240" w:after="0"/>
    </w:pPr>
    <w:rPr>
      <w:rFonts w:ascii="Calibri" w:hAnsi="Calibri"/>
    </w:rPr>
  </w:style>
  <w:style w:type="paragraph" w:styleId="BlockText">
    <w:name w:val="Block Text"/>
    <w:basedOn w:val="Normal"/>
    <w:uiPriority w:val="99"/>
    <w:semiHidden/>
    <w:rsid w:val="00E25A11"/>
    <w:pPr>
      <w:pBdr>
        <w:top w:val="single" w:sz="2" w:space="10" w:color="5B9BD5" w:themeColor="accent1" w:shadow="1" w:frame="1"/>
        <w:left w:val="single" w:sz="2" w:space="10" w:color="5B9BD5" w:themeColor="accent1" w:shadow="1" w:frame="1"/>
        <w:bottom w:val="single" w:sz="2" w:space="10" w:color="5B9BD5" w:themeColor="accent1" w:shadow="1" w:frame="1"/>
        <w:right w:val="single" w:sz="2" w:space="10" w:color="5B9BD5" w:themeColor="accent1" w:shadow="1" w:frame="1"/>
      </w:pBdr>
      <w:spacing w:before="240" w:after="0"/>
      <w:ind w:left="1152" w:right="1152"/>
    </w:pPr>
    <w:rPr>
      <w:rFonts w:eastAsiaTheme="minorEastAsia"/>
      <w:i/>
      <w:iCs/>
      <w:color w:val="5B9BD5" w:themeColor="accent1"/>
    </w:rPr>
  </w:style>
  <w:style w:type="paragraph" w:styleId="BodyText2">
    <w:name w:val="Body Text 2"/>
    <w:basedOn w:val="Normal"/>
    <w:link w:val="BodyText2Char"/>
    <w:uiPriority w:val="99"/>
    <w:semiHidden/>
    <w:rsid w:val="00E25A11"/>
    <w:pPr>
      <w:spacing w:before="240" w:after="120" w:line="480" w:lineRule="auto"/>
    </w:pPr>
    <w:rPr>
      <w:rFonts w:ascii="Calibri" w:hAnsi="Calibri"/>
    </w:rPr>
  </w:style>
  <w:style w:type="character" w:customStyle="1" w:styleId="BodyText2Char">
    <w:name w:val="Body Text 2 Char"/>
    <w:basedOn w:val="DefaultParagraphFont"/>
    <w:link w:val="BodyText2"/>
    <w:uiPriority w:val="99"/>
    <w:semiHidden/>
    <w:rsid w:val="00E25A11"/>
    <w:rPr>
      <w:rFonts w:ascii="Calibri" w:hAnsi="Calibri"/>
    </w:rPr>
  </w:style>
  <w:style w:type="paragraph" w:styleId="BodyText3">
    <w:name w:val="Body Text 3"/>
    <w:basedOn w:val="Normal"/>
    <w:link w:val="BodyText3Char"/>
    <w:uiPriority w:val="99"/>
    <w:semiHidden/>
    <w:rsid w:val="00E25A11"/>
    <w:pPr>
      <w:spacing w:before="240" w:after="120"/>
    </w:pPr>
    <w:rPr>
      <w:rFonts w:ascii="Calibri" w:hAnsi="Calibri"/>
      <w:sz w:val="16"/>
      <w:szCs w:val="16"/>
    </w:rPr>
  </w:style>
  <w:style w:type="character" w:customStyle="1" w:styleId="BodyText3Char">
    <w:name w:val="Body Text 3 Char"/>
    <w:basedOn w:val="DefaultParagraphFont"/>
    <w:link w:val="BodyText3"/>
    <w:uiPriority w:val="99"/>
    <w:semiHidden/>
    <w:rsid w:val="00E25A11"/>
    <w:rPr>
      <w:rFonts w:ascii="Calibri" w:hAnsi="Calibri"/>
      <w:sz w:val="16"/>
      <w:szCs w:val="16"/>
    </w:rPr>
  </w:style>
  <w:style w:type="paragraph" w:styleId="BodyTextFirstIndent">
    <w:name w:val="Body Text First Indent"/>
    <w:basedOn w:val="BodyText"/>
    <w:link w:val="BodyTextFirstIndentChar"/>
    <w:uiPriority w:val="99"/>
    <w:semiHidden/>
    <w:rsid w:val="00E25A11"/>
    <w:pPr>
      <w:spacing w:before="0" w:after="0"/>
      <w:ind w:firstLine="360"/>
      <w:jc w:val="both"/>
    </w:pPr>
    <w:rPr>
      <w:bCs/>
      <w:color w:val="222A35" w:themeColor="text2" w:themeShade="80"/>
    </w:rPr>
  </w:style>
  <w:style w:type="character" w:customStyle="1" w:styleId="BodyTextFirstIndentChar">
    <w:name w:val="Body Text First Indent Char"/>
    <w:basedOn w:val="BodyTextChar"/>
    <w:link w:val="BodyTextFirstIndent"/>
    <w:uiPriority w:val="99"/>
    <w:semiHidden/>
    <w:rsid w:val="00E25A11"/>
    <w:rPr>
      <w:rFonts w:ascii="Calibri" w:hAnsi="Calibri"/>
      <w:bCs/>
      <w:color w:val="222A35" w:themeColor="text2" w:themeShade="80"/>
    </w:rPr>
  </w:style>
  <w:style w:type="paragraph" w:styleId="BodyTextIndent">
    <w:name w:val="Body Text Indent"/>
    <w:basedOn w:val="Normal"/>
    <w:link w:val="BodyTextIndentChar"/>
    <w:uiPriority w:val="99"/>
    <w:semiHidden/>
    <w:rsid w:val="00E25A11"/>
    <w:pPr>
      <w:spacing w:before="240" w:after="120"/>
      <w:ind w:left="283"/>
    </w:pPr>
    <w:rPr>
      <w:rFonts w:ascii="Calibri" w:hAnsi="Calibri"/>
    </w:rPr>
  </w:style>
  <w:style w:type="character" w:customStyle="1" w:styleId="BodyTextIndentChar">
    <w:name w:val="Body Text Indent Char"/>
    <w:basedOn w:val="DefaultParagraphFont"/>
    <w:link w:val="BodyTextIndent"/>
    <w:uiPriority w:val="99"/>
    <w:semiHidden/>
    <w:rsid w:val="00E25A11"/>
    <w:rPr>
      <w:rFonts w:ascii="Calibri" w:hAnsi="Calibri"/>
    </w:rPr>
  </w:style>
  <w:style w:type="paragraph" w:styleId="BodyTextFirstIndent2">
    <w:name w:val="Body Text First Indent 2"/>
    <w:basedOn w:val="BodyTextIndent"/>
    <w:link w:val="BodyTextFirstIndent2Char"/>
    <w:uiPriority w:val="99"/>
    <w:semiHidden/>
    <w:rsid w:val="00E25A11"/>
    <w:pPr>
      <w:spacing w:after="0"/>
      <w:ind w:left="360" w:firstLine="360"/>
    </w:pPr>
  </w:style>
  <w:style w:type="character" w:customStyle="1" w:styleId="BodyTextFirstIndent2Char">
    <w:name w:val="Body Text First Indent 2 Char"/>
    <w:basedOn w:val="BodyTextIndentChar"/>
    <w:link w:val="BodyTextFirstIndent2"/>
    <w:uiPriority w:val="99"/>
    <w:semiHidden/>
    <w:rsid w:val="00E25A11"/>
    <w:rPr>
      <w:rFonts w:ascii="Calibri" w:hAnsi="Calibri"/>
    </w:rPr>
  </w:style>
  <w:style w:type="paragraph" w:styleId="BodyTextIndent2">
    <w:name w:val="Body Text Indent 2"/>
    <w:basedOn w:val="Normal"/>
    <w:link w:val="BodyTextIndent2Char"/>
    <w:uiPriority w:val="99"/>
    <w:semiHidden/>
    <w:rsid w:val="00E25A11"/>
    <w:pPr>
      <w:spacing w:before="240" w:after="120" w:line="480" w:lineRule="auto"/>
      <w:ind w:left="283"/>
    </w:pPr>
    <w:rPr>
      <w:rFonts w:ascii="Calibri" w:hAnsi="Calibri"/>
    </w:rPr>
  </w:style>
  <w:style w:type="character" w:customStyle="1" w:styleId="BodyTextIndent2Char">
    <w:name w:val="Body Text Indent 2 Char"/>
    <w:basedOn w:val="DefaultParagraphFont"/>
    <w:link w:val="BodyTextIndent2"/>
    <w:uiPriority w:val="99"/>
    <w:semiHidden/>
    <w:rsid w:val="00E25A11"/>
    <w:rPr>
      <w:rFonts w:ascii="Calibri" w:hAnsi="Calibri"/>
    </w:rPr>
  </w:style>
  <w:style w:type="paragraph" w:styleId="BodyTextIndent3">
    <w:name w:val="Body Text Indent 3"/>
    <w:basedOn w:val="Normal"/>
    <w:link w:val="BodyTextIndent3Char"/>
    <w:uiPriority w:val="99"/>
    <w:semiHidden/>
    <w:rsid w:val="00E25A11"/>
    <w:pPr>
      <w:spacing w:before="240" w:after="120"/>
      <w:ind w:left="283"/>
    </w:pPr>
    <w:rPr>
      <w:rFonts w:ascii="Calibri" w:hAnsi="Calibri"/>
      <w:sz w:val="16"/>
      <w:szCs w:val="16"/>
    </w:rPr>
  </w:style>
  <w:style w:type="character" w:customStyle="1" w:styleId="BodyTextIndent3Char">
    <w:name w:val="Body Text Indent 3 Char"/>
    <w:basedOn w:val="DefaultParagraphFont"/>
    <w:link w:val="BodyTextIndent3"/>
    <w:uiPriority w:val="99"/>
    <w:semiHidden/>
    <w:rsid w:val="00E25A11"/>
    <w:rPr>
      <w:rFonts w:ascii="Calibri" w:hAnsi="Calibri"/>
      <w:sz w:val="16"/>
      <w:szCs w:val="16"/>
    </w:rPr>
  </w:style>
  <w:style w:type="paragraph" w:styleId="Closing">
    <w:name w:val="Closing"/>
    <w:basedOn w:val="Normal"/>
    <w:link w:val="ClosingChar"/>
    <w:uiPriority w:val="99"/>
    <w:semiHidden/>
    <w:rsid w:val="00E25A11"/>
    <w:pPr>
      <w:spacing w:before="240" w:after="0"/>
      <w:ind w:left="4252"/>
    </w:pPr>
    <w:rPr>
      <w:rFonts w:ascii="Calibri" w:hAnsi="Calibri"/>
    </w:rPr>
  </w:style>
  <w:style w:type="character" w:customStyle="1" w:styleId="ClosingChar">
    <w:name w:val="Closing Char"/>
    <w:basedOn w:val="DefaultParagraphFont"/>
    <w:link w:val="Closing"/>
    <w:uiPriority w:val="99"/>
    <w:semiHidden/>
    <w:rsid w:val="00E25A11"/>
    <w:rPr>
      <w:rFonts w:ascii="Calibri" w:hAnsi="Calibri"/>
    </w:rPr>
  </w:style>
  <w:style w:type="paragraph" w:styleId="DocumentMap">
    <w:name w:val="Document Map"/>
    <w:basedOn w:val="Normal"/>
    <w:link w:val="DocumentMapChar"/>
    <w:uiPriority w:val="99"/>
    <w:semiHidden/>
    <w:rsid w:val="00E25A11"/>
    <w:pPr>
      <w:spacing w:before="240" w:after="0"/>
    </w:pPr>
    <w:rPr>
      <w:rFonts w:ascii="Tahoma" w:hAnsi="Tahoma" w:cs="Tahoma"/>
      <w:sz w:val="16"/>
      <w:szCs w:val="16"/>
    </w:rPr>
  </w:style>
  <w:style w:type="character" w:customStyle="1" w:styleId="DocumentMapChar">
    <w:name w:val="Document Map Char"/>
    <w:basedOn w:val="DefaultParagraphFont"/>
    <w:link w:val="DocumentMap"/>
    <w:uiPriority w:val="99"/>
    <w:semiHidden/>
    <w:rsid w:val="00E25A11"/>
    <w:rPr>
      <w:rFonts w:ascii="Tahoma" w:hAnsi="Tahoma" w:cs="Tahoma"/>
      <w:sz w:val="16"/>
      <w:szCs w:val="16"/>
    </w:rPr>
  </w:style>
  <w:style w:type="paragraph" w:styleId="E-mailSignature">
    <w:name w:val="E-mail Signature"/>
    <w:basedOn w:val="Normal"/>
    <w:link w:val="E-mailSignatureChar"/>
    <w:uiPriority w:val="99"/>
    <w:semiHidden/>
    <w:rsid w:val="00E25A11"/>
    <w:pPr>
      <w:spacing w:before="240" w:after="0"/>
    </w:pPr>
    <w:rPr>
      <w:rFonts w:ascii="Calibri" w:hAnsi="Calibri"/>
    </w:rPr>
  </w:style>
  <w:style w:type="character" w:customStyle="1" w:styleId="E-mailSignatureChar">
    <w:name w:val="E-mail Signature Char"/>
    <w:basedOn w:val="DefaultParagraphFont"/>
    <w:link w:val="E-mailSignature"/>
    <w:uiPriority w:val="99"/>
    <w:semiHidden/>
    <w:rsid w:val="00E25A11"/>
    <w:rPr>
      <w:rFonts w:ascii="Calibri" w:hAnsi="Calibri"/>
    </w:rPr>
  </w:style>
  <w:style w:type="paragraph" w:styleId="EnvelopeAddress">
    <w:name w:val="envelope address"/>
    <w:basedOn w:val="Normal"/>
    <w:uiPriority w:val="99"/>
    <w:semiHidden/>
    <w:rsid w:val="00E25A11"/>
    <w:pPr>
      <w:framePr w:w="7920" w:h="1980" w:hRule="exact" w:hSpace="180" w:wrap="auto" w:hAnchor="page" w:xAlign="center" w:yAlign="bottom"/>
      <w:spacing w:before="240" w:after="0"/>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rsid w:val="00E25A11"/>
    <w:pPr>
      <w:spacing w:before="240" w:after="0"/>
    </w:pPr>
    <w:rPr>
      <w:rFonts w:asciiTheme="majorHAnsi" w:eastAsiaTheme="majorEastAsia" w:hAnsiTheme="majorHAnsi" w:cstheme="majorBidi"/>
      <w:sz w:val="20"/>
      <w:szCs w:val="20"/>
    </w:rPr>
  </w:style>
  <w:style w:type="character" w:styleId="HTMLAcronym">
    <w:name w:val="HTML Acronym"/>
    <w:basedOn w:val="DefaultParagraphFont"/>
    <w:uiPriority w:val="99"/>
    <w:semiHidden/>
    <w:rsid w:val="00E25A11"/>
  </w:style>
  <w:style w:type="paragraph" w:styleId="HTMLAddress">
    <w:name w:val="HTML Address"/>
    <w:basedOn w:val="Normal"/>
    <w:link w:val="HTMLAddressChar"/>
    <w:uiPriority w:val="99"/>
    <w:semiHidden/>
    <w:rsid w:val="00E25A11"/>
    <w:pPr>
      <w:spacing w:before="240" w:after="0"/>
    </w:pPr>
    <w:rPr>
      <w:rFonts w:ascii="Calibri" w:hAnsi="Calibri"/>
      <w:i/>
      <w:iCs/>
    </w:rPr>
  </w:style>
  <w:style w:type="character" w:customStyle="1" w:styleId="HTMLAddressChar">
    <w:name w:val="HTML Address Char"/>
    <w:basedOn w:val="DefaultParagraphFont"/>
    <w:link w:val="HTMLAddress"/>
    <w:uiPriority w:val="99"/>
    <w:semiHidden/>
    <w:rsid w:val="00E25A11"/>
    <w:rPr>
      <w:rFonts w:ascii="Calibri" w:hAnsi="Calibri"/>
      <w:i/>
      <w:iCs/>
    </w:rPr>
  </w:style>
  <w:style w:type="character" w:styleId="HTMLCite">
    <w:name w:val="HTML Cite"/>
    <w:basedOn w:val="DefaultParagraphFont"/>
    <w:uiPriority w:val="99"/>
    <w:semiHidden/>
    <w:rsid w:val="00E25A11"/>
    <w:rPr>
      <w:i/>
      <w:iCs/>
    </w:rPr>
  </w:style>
  <w:style w:type="character" w:styleId="HTMLCode">
    <w:name w:val="HTML Code"/>
    <w:basedOn w:val="DefaultParagraphFont"/>
    <w:uiPriority w:val="99"/>
    <w:semiHidden/>
    <w:rsid w:val="00E25A11"/>
    <w:rPr>
      <w:rFonts w:ascii="Consolas" w:hAnsi="Consolas" w:cs="Consolas"/>
      <w:sz w:val="20"/>
      <w:szCs w:val="20"/>
    </w:rPr>
  </w:style>
  <w:style w:type="character" w:styleId="HTMLDefinition">
    <w:name w:val="HTML Definition"/>
    <w:basedOn w:val="DefaultParagraphFont"/>
    <w:uiPriority w:val="99"/>
    <w:semiHidden/>
    <w:rsid w:val="00E25A11"/>
    <w:rPr>
      <w:i/>
      <w:iCs/>
    </w:rPr>
  </w:style>
  <w:style w:type="character" w:styleId="HTMLKeyboard">
    <w:name w:val="HTML Keyboard"/>
    <w:basedOn w:val="DefaultParagraphFont"/>
    <w:uiPriority w:val="99"/>
    <w:semiHidden/>
    <w:rsid w:val="00E25A11"/>
    <w:rPr>
      <w:rFonts w:ascii="Consolas" w:hAnsi="Consolas" w:cs="Consolas"/>
      <w:sz w:val="20"/>
      <w:szCs w:val="20"/>
    </w:rPr>
  </w:style>
  <w:style w:type="paragraph" w:styleId="HTMLPreformatted">
    <w:name w:val="HTML Preformatted"/>
    <w:basedOn w:val="Normal"/>
    <w:link w:val="HTMLPreformattedChar"/>
    <w:uiPriority w:val="99"/>
    <w:semiHidden/>
    <w:rsid w:val="00E25A11"/>
    <w:pPr>
      <w:spacing w:before="240" w:after="0"/>
    </w:pPr>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E25A11"/>
    <w:rPr>
      <w:rFonts w:ascii="Consolas" w:hAnsi="Consolas" w:cs="Consolas"/>
      <w:sz w:val="20"/>
      <w:szCs w:val="20"/>
    </w:rPr>
  </w:style>
  <w:style w:type="character" w:styleId="HTMLSample">
    <w:name w:val="HTML Sample"/>
    <w:basedOn w:val="DefaultParagraphFont"/>
    <w:uiPriority w:val="99"/>
    <w:semiHidden/>
    <w:rsid w:val="00E25A11"/>
    <w:rPr>
      <w:rFonts w:ascii="Consolas" w:hAnsi="Consolas" w:cs="Consolas"/>
      <w:sz w:val="24"/>
      <w:szCs w:val="24"/>
    </w:rPr>
  </w:style>
  <w:style w:type="character" w:styleId="HTMLTypewriter">
    <w:name w:val="HTML Typewriter"/>
    <w:basedOn w:val="DefaultParagraphFont"/>
    <w:uiPriority w:val="99"/>
    <w:semiHidden/>
    <w:rsid w:val="00E25A11"/>
    <w:rPr>
      <w:rFonts w:ascii="Consolas" w:hAnsi="Consolas" w:cs="Consolas"/>
      <w:sz w:val="20"/>
      <w:szCs w:val="20"/>
    </w:rPr>
  </w:style>
  <w:style w:type="character" w:styleId="HTMLVariable">
    <w:name w:val="HTML Variable"/>
    <w:basedOn w:val="DefaultParagraphFont"/>
    <w:uiPriority w:val="99"/>
    <w:semiHidden/>
    <w:rsid w:val="00E25A11"/>
    <w:rPr>
      <w:i/>
      <w:iCs/>
    </w:rPr>
  </w:style>
  <w:style w:type="paragraph" w:styleId="Index1">
    <w:name w:val="index 1"/>
    <w:basedOn w:val="Normal"/>
    <w:next w:val="Normal"/>
    <w:autoRedefine/>
    <w:uiPriority w:val="99"/>
    <w:semiHidden/>
    <w:rsid w:val="00E25A11"/>
    <w:pPr>
      <w:spacing w:before="240" w:after="0"/>
      <w:ind w:left="220" w:hanging="220"/>
    </w:pPr>
    <w:rPr>
      <w:rFonts w:ascii="Calibri" w:hAnsi="Calibri"/>
    </w:rPr>
  </w:style>
  <w:style w:type="paragraph" w:styleId="Index2">
    <w:name w:val="index 2"/>
    <w:basedOn w:val="Normal"/>
    <w:next w:val="Normal"/>
    <w:autoRedefine/>
    <w:uiPriority w:val="99"/>
    <w:semiHidden/>
    <w:rsid w:val="00E25A11"/>
    <w:pPr>
      <w:spacing w:before="240" w:after="0"/>
      <w:ind w:left="440" w:hanging="220"/>
    </w:pPr>
    <w:rPr>
      <w:rFonts w:ascii="Calibri" w:hAnsi="Calibri"/>
    </w:rPr>
  </w:style>
  <w:style w:type="paragraph" w:styleId="Index3">
    <w:name w:val="index 3"/>
    <w:basedOn w:val="Normal"/>
    <w:next w:val="Normal"/>
    <w:autoRedefine/>
    <w:uiPriority w:val="99"/>
    <w:semiHidden/>
    <w:rsid w:val="00E25A11"/>
    <w:pPr>
      <w:spacing w:before="240" w:after="0"/>
      <w:ind w:left="660" w:hanging="220"/>
    </w:pPr>
    <w:rPr>
      <w:rFonts w:ascii="Calibri" w:hAnsi="Calibri"/>
    </w:rPr>
  </w:style>
  <w:style w:type="paragraph" w:styleId="Index4">
    <w:name w:val="index 4"/>
    <w:basedOn w:val="Normal"/>
    <w:next w:val="Normal"/>
    <w:autoRedefine/>
    <w:uiPriority w:val="99"/>
    <w:semiHidden/>
    <w:rsid w:val="00E25A11"/>
    <w:pPr>
      <w:spacing w:before="240" w:after="0"/>
      <w:ind w:left="880" w:hanging="220"/>
    </w:pPr>
    <w:rPr>
      <w:rFonts w:ascii="Calibri" w:hAnsi="Calibri"/>
    </w:rPr>
  </w:style>
  <w:style w:type="paragraph" w:styleId="Index5">
    <w:name w:val="index 5"/>
    <w:basedOn w:val="Normal"/>
    <w:next w:val="Normal"/>
    <w:autoRedefine/>
    <w:uiPriority w:val="99"/>
    <w:semiHidden/>
    <w:rsid w:val="00E25A11"/>
    <w:pPr>
      <w:spacing w:before="240" w:after="0"/>
      <w:ind w:left="1100" w:hanging="220"/>
    </w:pPr>
    <w:rPr>
      <w:rFonts w:ascii="Calibri" w:hAnsi="Calibri"/>
    </w:rPr>
  </w:style>
  <w:style w:type="paragraph" w:styleId="Index6">
    <w:name w:val="index 6"/>
    <w:basedOn w:val="Normal"/>
    <w:next w:val="Normal"/>
    <w:autoRedefine/>
    <w:uiPriority w:val="99"/>
    <w:semiHidden/>
    <w:rsid w:val="00E25A11"/>
    <w:pPr>
      <w:spacing w:before="240" w:after="0"/>
      <w:ind w:left="1320" w:hanging="220"/>
    </w:pPr>
    <w:rPr>
      <w:rFonts w:ascii="Calibri" w:hAnsi="Calibri"/>
    </w:rPr>
  </w:style>
  <w:style w:type="paragraph" w:styleId="Index7">
    <w:name w:val="index 7"/>
    <w:basedOn w:val="Normal"/>
    <w:next w:val="Normal"/>
    <w:autoRedefine/>
    <w:uiPriority w:val="99"/>
    <w:semiHidden/>
    <w:rsid w:val="00E25A11"/>
    <w:pPr>
      <w:spacing w:before="240" w:after="0"/>
      <w:ind w:left="1540" w:hanging="220"/>
    </w:pPr>
    <w:rPr>
      <w:rFonts w:ascii="Calibri" w:hAnsi="Calibri"/>
    </w:rPr>
  </w:style>
  <w:style w:type="paragraph" w:styleId="Index8">
    <w:name w:val="index 8"/>
    <w:basedOn w:val="Normal"/>
    <w:next w:val="Normal"/>
    <w:autoRedefine/>
    <w:uiPriority w:val="99"/>
    <w:semiHidden/>
    <w:rsid w:val="00E25A11"/>
    <w:pPr>
      <w:spacing w:before="240" w:after="0"/>
      <w:ind w:left="1760" w:hanging="220"/>
    </w:pPr>
    <w:rPr>
      <w:rFonts w:ascii="Calibri" w:hAnsi="Calibri"/>
    </w:rPr>
  </w:style>
  <w:style w:type="paragraph" w:styleId="Index9">
    <w:name w:val="index 9"/>
    <w:basedOn w:val="Normal"/>
    <w:next w:val="Normal"/>
    <w:autoRedefine/>
    <w:uiPriority w:val="99"/>
    <w:semiHidden/>
    <w:rsid w:val="00E25A11"/>
    <w:pPr>
      <w:spacing w:before="240" w:after="0"/>
      <w:ind w:left="1980" w:hanging="220"/>
    </w:pPr>
    <w:rPr>
      <w:rFonts w:ascii="Calibri" w:hAnsi="Calibri"/>
    </w:rPr>
  </w:style>
  <w:style w:type="paragraph" w:styleId="IndexHeading">
    <w:name w:val="index heading"/>
    <w:basedOn w:val="Normal"/>
    <w:next w:val="Index1"/>
    <w:uiPriority w:val="99"/>
    <w:semiHidden/>
    <w:rsid w:val="00E25A11"/>
    <w:pPr>
      <w:spacing w:before="240" w:after="0"/>
    </w:pPr>
    <w:rPr>
      <w:rFonts w:asciiTheme="majorHAnsi" w:eastAsiaTheme="majorEastAsia" w:hAnsiTheme="majorHAnsi" w:cstheme="majorBidi"/>
      <w:b/>
      <w:bCs/>
    </w:rPr>
  </w:style>
  <w:style w:type="character" w:styleId="LineNumber">
    <w:name w:val="line number"/>
    <w:basedOn w:val="DefaultParagraphFont"/>
    <w:uiPriority w:val="99"/>
    <w:semiHidden/>
    <w:rsid w:val="00E25A11"/>
  </w:style>
  <w:style w:type="paragraph" w:styleId="List">
    <w:name w:val="List"/>
    <w:basedOn w:val="Normal"/>
    <w:uiPriority w:val="99"/>
    <w:semiHidden/>
    <w:rsid w:val="00E25A11"/>
    <w:pPr>
      <w:spacing w:before="240" w:after="0"/>
      <w:ind w:left="283" w:hanging="283"/>
      <w:contextualSpacing/>
    </w:pPr>
    <w:rPr>
      <w:rFonts w:ascii="Calibri" w:hAnsi="Calibri"/>
    </w:rPr>
  </w:style>
  <w:style w:type="paragraph" w:styleId="List2">
    <w:name w:val="List 2"/>
    <w:basedOn w:val="Normal"/>
    <w:uiPriority w:val="99"/>
    <w:semiHidden/>
    <w:rsid w:val="00E25A11"/>
    <w:pPr>
      <w:spacing w:before="240" w:after="0"/>
      <w:ind w:left="566" w:hanging="283"/>
      <w:contextualSpacing/>
    </w:pPr>
    <w:rPr>
      <w:rFonts w:ascii="Calibri" w:hAnsi="Calibri"/>
    </w:rPr>
  </w:style>
  <w:style w:type="paragraph" w:styleId="List3">
    <w:name w:val="List 3"/>
    <w:basedOn w:val="Normal"/>
    <w:uiPriority w:val="99"/>
    <w:semiHidden/>
    <w:rsid w:val="00E25A11"/>
    <w:pPr>
      <w:spacing w:before="240" w:after="0"/>
      <w:ind w:left="849" w:hanging="283"/>
      <w:contextualSpacing/>
    </w:pPr>
    <w:rPr>
      <w:rFonts w:ascii="Calibri" w:hAnsi="Calibri"/>
    </w:rPr>
  </w:style>
  <w:style w:type="paragraph" w:styleId="List4">
    <w:name w:val="List 4"/>
    <w:basedOn w:val="Normal"/>
    <w:uiPriority w:val="99"/>
    <w:semiHidden/>
    <w:rsid w:val="00E25A11"/>
    <w:pPr>
      <w:spacing w:before="240" w:after="0"/>
      <w:ind w:left="1132" w:hanging="283"/>
      <w:contextualSpacing/>
    </w:pPr>
    <w:rPr>
      <w:rFonts w:ascii="Calibri" w:hAnsi="Calibri"/>
    </w:rPr>
  </w:style>
  <w:style w:type="paragraph" w:styleId="List5">
    <w:name w:val="List 5"/>
    <w:basedOn w:val="Normal"/>
    <w:uiPriority w:val="99"/>
    <w:semiHidden/>
    <w:rsid w:val="00E25A11"/>
    <w:pPr>
      <w:spacing w:before="240" w:after="0"/>
      <w:ind w:left="1415" w:hanging="283"/>
      <w:contextualSpacing/>
    </w:pPr>
    <w:rPr>
      <w:rFonts w:ascii="Calibri" w:hAnsi="Calibri"/>
    </w:rPr>
  </w:style>
  <w:style w:type="paragraph" w:styleId="ListBullet">
    <w:name w:val="List Bullet"/>
    <w:basedOn w:val="Normal"/>
    <w:uiPriority w:val="99"/>
    <w:semiHidden/>
    <w:rsid w:val="00E25A11"/>
    <w:pPr>
      <w:tabs>
        <w:tab w:val="num" w:pos="360"/>
      </w:tabs>
      <w:spacing w:before="240" w:after="0"/>
      <w:ind w:left="360" w:hanging="360"/>
      <w:contextualSpacing/>
    </w:pPr>
    <w:rPr>
      <w:rFonts w:ascii="Calibri" w:hAnsi="Calibri"/>
    </w:rPr>
  </w:style>
  <w:style w:type="paragraph" w:styleId="ListBullet2">
    <w:name w:val="List Bullet 2"/>
    <w:basedOn w:val="Normal"/>
    <w:uiPriority w:val="99"/>
    <w:semiHidden/>
    <w:rsid w:val="00E25A11"/>
    <w:pPr>
      <w:numPr>
        <w:numId w:val="6"/>
      </w:numPr>
      <w:spacing w:before="240" w:after="0"/>
      <w:contextualSpacing/>
    </w:pPr>
    <w:rPr>
      <w:rFonts w:ascii="Calibri" w:hAnsi="Calibri"/>
    </w:rPr>
  </w:style>
  <w:style w:type="paragraph" w:styleId="ListBullet3">
    <w:name w:val="List Bullet 3"/>
    <w:basedOn w:val="Normal"/>
    <w:uiPriority w:val="99"/>
    <w:semiHidden/>
    <w:rsid w:val="00E25A11"/>
    <w:pPr>
      <w:numPr>
        <w:numId w:val="7"/>
      </w:numPr>
      <w:spacing w:before="240" w:after="0"/>
      <w:contextualSpacing/>
    </w:pPr>
    <w:rPr>
      <w:rFonts w:ascii="Calibri" w:hAnsi="Calibri"/>
    </w:rPr>
  </w:style>
  <w:style w:type="paragraph" w:styleId="ListBullet4">
    <w:name w:val="List Bullet 4"/>
    <w:basedOn w:val="Normal"/>
    <w:uiPriority w:val="99"/>
    <w:semiHidden/>
    <w:rsid w:val="00E25A11"/>
    <w:pPr>
      <w:numPr>
        <w:numId w:val="8"/>
      </w:numPr>
      <w:spacing w:before="240" w:after="0"/>
      <w:contextualSpacing/>
    </w:pPr>
    <w:rPr>
      <w:rFonts w:ascii="Calibri" w:hAnsi="Calibri"/>
    </w:rPr>
  </w:style>
  <w:style w:type="paragraph" w:styleId="ListBullet5">
    <w:name w:val="List Bullet 5"/>
    <w:basedOn w:val="Normal"/>
    <w:uiPriority w:val="99"/>
    <w:semiHidden/>
    <w:rsid w:val="00E25A11"/>
    <w:pPr>
      <w:numPr>
        <w:numId w:val="9"/>
      </w:numPr>
      <w:spacing w:before="240" w:after="0"/>
      <w:contextualSpacing/>
    </w:pPr>
    <w:rPr>
      <w:rFonts w:ascii="Calibri" w:hAnsi="Calibri"/>
    </w:rPr>
  </w:style>
  <w:style w:type="paragraph" w:styleId="ListContinue">
    <w:name w:val="List Continue"/>
    <w:basedOn w:val="Normal"/>
    <w:uiPriority w:val="99"/>
    <w:semiHidden/>
    <w:rsid w:val="00E25A11"/>
    <w:pPr>
      <w:spacing w:before="240" w:after="120"/>
      <w:ind w:left="283"/>
      <w:contextualSpacing/>
    </w:pPr>
    <w:rPr>
      <w:rFonts w:ascii="Calibri" w:hAnsi="Calibri"/>
    </w:rPr>
  </w:style>
  <w:style w:type="paragraph" w:styleId="ListContinue2">
    <w:name w:val="List Continue 2"/>
    <w:basedOn w:val="Normal"/>
    <w:uiPriority w:val="99"/>
    <w:semiHidden/>
    <w:rsid w:val="00E25A11"/>
    <w:pPr>
      <w:spacing w:before="240" w:after="120"/>
      <w:ind w:left="566"/>
      <w:contextualSpacing/>
    </w:pPr>
    <w:rPr>
      <w:rFonts w:ascii="Calibri" w:hAnsi="Calibri"/>
    </w:rPr>
  </w:style>
  <w:style w:type="paragraph" w:styleId="ListContinue3">
    <w:name w:val="List Continue 3"/>
    <w:basedOn w:val="Normal"/>
    <w:uiPriority w:val="99"/>
    <w:semiHidden/>
    <w:rsid w:val="00E25A11"/>
    <w:pPr>
      <w:spacing w:before="240" w:after="120"/>
      <w:ind w:left="849"/>
      <w:contextualSpacing/>
    </w:pPr>
    <w:rPr>
      <w:rFonts w:ascii="Calibri" w:hAnsi="Calibri"/>
    </w:rPr>
  </w:style>
  <w:style w:type="paragraph" w:styleId="ListContinue4">
    <w:name w:val="List Continue 4"/>
    <w:basedOn w:val="Normal"/>
    <w:uiPriority w:val="99"/>
    <w:semiHidden/>
    <w:rsid w:val="00E25A11"/>
    <w:pPr>
      <w:spacing w:before="240" w:after="120"/>
      <w:ind w:left="1132"/>
      <w:contextualSpacing/>
    </w:pPr>
    <w:rPr>
      <w:rFonts w:ascii="Calibri" w:hAnsi="Calibri"/>
    </w:rPr>
  </w:style>
  <w:style w:type="paragraph" w:styleId="ListContinue5">
    <w:name w:val="List Continue 5"/>
    <w:basedOn w:val="Normal"/>
    <w:uiPriority w:val="99"/>
    <w:semiHidden/>
    <w:rsid w:val="00E25A11"/>
    <w:pPr>
      <w:spacing w:before="240" w:after="120"/>
      <w:ind w:left="1415"/>
      <w:contextualSpacing/>
    </w:pPr>
    <w:rPr>
      <w:rFonts w:ascii="Calibri" w:hAnsi="Calibri"/>
    </w:rPr>
  </w:style>
  <w:style w:type="paragraph" w:styleId="ListNumber">
    <w:name w:val="List Number"/>
    <w:basedOn w:val="Normal"/>
    <w:uiPriority w:val="99"/>
    <w:semiHidden/>
    <w:rsid w:val="00E25A11"/>
    <w:pPr>
      <w:numPr>
        <w:numId w:val="10"/>
      </w:numPr>
      <w:spacing w:before="240" w:after="0"/>
      <w:contextualSpacing/>
    </w:pPr>
    <w:rPr>
      <w:rFonts w:ascii="Calibri" w:hAnsi="Calibri"/>
    </w:rPr>
  </w:style>
  <w:style w:type="paragraph" w:styleId="ListNumber2">
    <w:name w:val="List Number 2"/>
    <w:basedOn w:val="Normal"/>
    <w:uiPriority w:val="99"/>
    <w:semiHidden/>
    <w:rsid w:val="00E25A11"/>
    <w:pPr>
      <w:numPr>
        <w:numId w:val="11"/>
      </w:numPr>
      <w:spacing w:before="240" w:after="0"/>
      <w:contextualSpacing/>
    </w:pPr>
    <w:rPr>
      <w:rFonts w:ascii="Calibri" w:hAnsi="Calibri"/>
    </w:rPr>
  </w:style>
  <w:style w:type="paragraph" w:styleId="ListNumber3">
    <w:name w:val="List Number 3"/>
    <w:basedOn w:val="Normal"/>
    <w:uiPriority w:val="99"/>
    <w:semiHidden/>
    <w:rsid w:val="00E25A11"/>
    <w:pPr>
      <w:numPr>
        <w:numId w:val="12"/>
      </w:numPr>
      <w:spacing w:before="240" w:after="0"/>
      <w:contextualSpacing/>
    </w:pPr>
    <w:rPr>
      <w:rFonts w:ascii="Calibri" w:hAnsi="Calibri"/>
    </w:rPr>
  </w:style>
  <w:style w:type="paragraph" w:styleId="ListNumber4">
    <w:name w:val="List Number 4"/>
    <w:basedOn w:val="Normal"/>
    <w:uiPriority w:val="99"/>
    <w:semiHidden/>
    <w:rsid w:val="00E25A11"/>
    <w:pPr>
      <w:numPr>
        <w:numId w:val="13"/>
      </w:numPr>
      <w:spacing w:before="240" w:after="0"/>
      <w:contextualSpacing/>
    </w:pPr>
    <w:rPr>
      <w:rFonts w:ascii="Calibri" w:hAnsi="Calibri"/>
    </w:rPr>
  </w:style>
  <w:style w:type="paragraph" w:styleId="ListNumber5">
    <w:name w:val="List Number 5"/>
    <w:basedOn w:val="Normal"/>
    <w:uiPriority w:val="99"/>
    <w:semiHidden/>
    <w:rsid w:val="00E25A11"/>
    <w:pPr>
      <w:numPr>
        <w:numId w:val="14"/>
      </w:numPr>
      <w:spacing w:before="240" w:after="0"/>
      <w:contextualSpacing/>
    </w:pPr>
    <w:rPr>
      <w:rFonts w:ascii="Calibri" w:hAnsi="Calibri"/>
    </w:rPr>
  </w:style>
  <w:style w:type="paragraph" w:styleId="MacroText">
    <w:name w:val="macro"/>
    <w:link w:val="MacroTextChar"/>
    <w:uiPriority w:val="99"/>
    <w:semiHidden/>
    <w:rsid w:val="00E25A11"/>
    <w:pPr>
      <w:tabs>
        <w:tab w:val="left" w:pos="480"/>
        <w:tab w:val="left" w:pos="960"/>
        <w:tab w:val="left" w:pos="1440"/>
        <w:tab w:val="left" w:pos="1920"/>
        <w:tab w:val="left" w:pos="2400"/>
        <w:tab w:val="left" w:pos="2880"/>
        <w:tab w:val="left" w:pos="3360"/>
        <w:tab w:val="left" w:pos="3840"/>
        <w:tab w:val="left" w:pos="4320"/>
      </w:tabs>
      <w:spacing w:before="240" w:after="0" w:line="240" w:lineRule="auto"/>
      <w:ind w:left="1021" w:hanging="1021"/>
    </w:pPr>
    <w:rPr>
      <w:rFonts w:ascii="Consolas" w:hAnsi="Consolas" w:cs="Consolas"/>
      <w:sz w:val="20"/>
      <w:szCs w:val="20"/>
    </w:rPr>
  </w:style>
  <w:style w:type="character" w:customStyle="1" w:styleId="MacroTextChar">
    <w:name w:val="Macro Text Char"/>
    <w:basedOn w:val="DefaultParagraphFont"/>
    <w:link w:val="MacroText"/>
    <w:uiPriority w:val="99"/>
    <w:semiHidden/>
    <w:rsid w:val="00E25A11"/>
    <w:rPr>
      <w:rFonts w:ascii="Consolas" w:hAnsi="Consolas" w:cs="Consolas"/>
      <w:sz w:val="20"/>
      <w:szCs w:val="20"/>
    </w:rPr>
  </w:style>
  <w:style w:type="paragraph" w:styleId="MessageHeader">
    <w:name w:val="Message Header"/>
    <w:basedOn w:val="Normal"/>
    <w:link w:val="MessageHeaderChar"/>
    <w:uiPriority w:val="99"/>
    <w:semiHidden/>
    <w:rsid w:val="00E25A11"/>
    <w:pPr>
      <w:pBdr>
        <w:top w:val="single" w:sz="6" w:space="1" w:color="auto"/>
        <w:left w:val="single" w:sz="6" w:space="1" w:color="auto"/>
        <w:bottom w:val="single" w:sz="6" w:space="1" w:color="auto"/>
        <w:right w:val="single" w:sz="6" w:space="1" w:color="auto"/>
      </w:pBdr>
      <w:shd w:val="pct20" w:color="auto" w:fill="auto"/>
      <w:spacing w:before="240" w:after="0"/>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E25A11"/>
    <w:rPr>
      <w:rFonts w:asciiTheme="majorHAnsi" w:eastAsiaTheme="majorEastAsia" w:hAnsiTheme="majorHAnsi" w:cstheme="majorBidi"/>
      <w:sz w:val="24"/>
      <w:szCs w:val="24"/>
      <w:shd w:val="pct20" w:color="auto" w:fill="auto"/>
    </w:rPr>
  </w:style>
  <w:style w:type="paragraph" w:styleId="NormalIndent">
    <w:name w:val="Normal Indent"/>
    <w:basedOn w:val="Normal"/>
    <w:uiPriority w:val="99"/>
    <w:semiHidden/>
    <w:rsid w:val="00E25A11"/>
    <w:pPr>
      <w:spacing w:before="240" w:after="0"/>
      <w:ind w:left="720"/>
    </w:pPr>
    <w:rPr>
      <w:rFonts w:ascii="Calibri" w:hAnsi="Calibri"/>
    </w:rPr>
  </w:style>
  <w:style w:type="paragraph" w:styleId="NoteHeading">
    <w:name w:val="Note Heading"/>
    <w:basedOn w:val="Normal"/>
    <w:next w:val="Normal"/>
    <w:link w:val="NoteHeadingChar"/>
    <w:uiPriority w:val="99"/>
    <w:semiHidden/>
    <w:rsid w:val="00E25A11"/>
    <w:pPr>
      <w:spacing w:before="240" w:after="0"/>
    </w:pPr>
    <w:rPr>
      <w:rFonts w:ascii="Calibri" w:hAnsi="Calibri"/>
    </w:rPr>
  </w:style>
  <w:style w:type="character" w:customStyle="1" w:styleId="NoteHeadingChar">
    <w:name w:val="Note Heading Char"/>
    <w:basedOn w:val="DefaultParagraphFont"/>
    <w:link w:val="NoteHeading"/>
    <w:uiPriority w:val="99"/>
    <w:semiHidden/>
    <w:rsid w:val="00E25A11"/>
    <w:rPr>
      <w:rFonts w:ascii="Calibri" w:hAnsi="Calibri"/>
    </w:rPr>
  </w:style>
  <w:style w:type="character" w:styleId="PlaceholderText">
    <w:name w:val="Placeholder Text"/>
    <w:basedOn w:val="DefaultParagraphFont"/>
    <w:uiPriority w:val="99"/>
    <w:semiHidden/>
    <w:rsid w:val="00E25A11"/>
    <w:rPr>
      <w:color w:val="808080"/>
    </w:rPr>
  </w:style>
  <w:style w:type="paragraph" w:styleId="PlainText">
    <w:name w:val="Plain Text"/>
    <w:basedOn w:val="Normal"/>
    <w:link w:val="PlainTextChar"/>
    <w:uiPriority w:val="99"/>
    <w:semiHidden/>
    <w:rsid w:val="00E25A11"/>
    <w:pPr>
      <w:spacing w:before="240" w:after="0"/>
    </w:pPr>
    <w:rPr>
      <w:rFonts w:ascii="Consolas" w:hAnsi="Consolas" w:cs="Consolas"/>
      <w:sz w:val="21"/>
      <w:szCs w:val="21"/>
    </w:rPr>
  </w:style>
  <w:style w:type="character" w:customStyle="1" w:styleId="PlainTextChar">
    <w:name w:val="Plain Text Char"/>
    <w:basedOn w:val="DefaultParagraphFont"/>
    <w:link w:val="PlainText"/>
    <w:uiPriority w:val="99"/>
    <w:semiHidden/>
    <w:rsid w:val="00E25A11"/>
    <w:rPr>
      <w:rFonts w:ascii="Consolas" w:hAnsi="Consolas" w:cs="Consolas"/>
      <w:sz w:val="21"/>
      <w:szCs w:val="21"/>
    </w:rPr>
  </w:style>
  <w:style w:type="paragraph" w:styleId="Salutation">
    <w:name w:val="Salutation"/>
    <w:basedOn w:val="Normal"/>
    <w:next w:val="Normal"/>
    <w:link w:val="SalutationChar"/>
    <w:uiPriority w:val="99"/>
    <w:semiHidden/>
    <w:rsid w:val="00E25A11"/>
    <w:pPr>
      <w:spacing w:before="240" w:after="0"/>
    </w:pPr>
    <w:rPr>
      <w:rFonts w:ascii="Calibri" w:hAnsi="Calibri"/>
    </w:rPr>
  </w:style>
  <w:style w:type="character" w:customStyle="1" w:styleId="SalutationChar">
    <w:name w:val="Salutation Char"/>
    <w:basedOn w:val="DefaultParagraphFont"/>
    <w:link w:val="Salutation"/>
    <w:uiPriority w:val="99"/>
    <w:semiHidden/>
    <w:rsid w:val="00E25A11"/>
    <w:rPr>
      <w:rFonts w:ascii="Calibri" w:hAnsi="Calibri"/>
    </w:rPr>
  </w:style>
  <w:style w:type="paragraph" w:styleId="Signature">
    <w:name w:val="Signature"/>
    <w:basedOn w:val="Normal"/>
    <w:link w:val="SignatureChar"/>
    <w:uiPriority w:val="99"/>
    <w:semiHidden/>
    <w:rsid w:val="00E25A11"/>
    <w:pPr>
      <w:spacing w:before="240" w:after="0"/>
      <w:ind w:left="4252"/>
    </w:pPr>
    <w:rPr>
      <w:rFonts w:ascii="Calibri" w:hAnsi="Calibri"/>
    </w:rPr>
  </w:style>
  <w:style w:type="character" w:customStyle="1" w:styleId="SignatureChar">
    <w:name w:val="Signature Char"/>
    <w:basedOn w:val="DefaultParagraphFont"/>
    <w:link w:val="Signature"/>
    <w:uiPriority w:val="99"/>
    <w:semiHidden/>
    <w:rsid w:val="00E25A11"/>
    <w:rPr>
      <w:rFonts w:ascii="Calibri" w:hAnsi="Calibri"/>
    </w:rPr>
  </w:style>
  <w:style w:type="table" w:styleId="Table3Deffects1">
    <w:name w:val="Table 3D effects 1"/>
    <w:basedOn w:val="TableNormal"/>
    <w:uiPriority w:val="99"/>
    <w:semiHidden/>
    <w:unhideWhenUsed/>
    <w:rsid w:val="00E25A11"/>
    <w:pPr>
      <w:spacing w:before="240" w:after="0" w:line="240" w:lineRule="auto"/>
      <w:ind w:left="1021" w:hanging="1021"/>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E25A11"/>
    <w:pPr>
      <w:spacing w:before="240" w:after="0" w:line="240" w:lineRule="auto"/>
      <w:ind w:left="1021" w:hanging="1021"/>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E25A11"/>
    <w:pPr>
      <w:spacing w:before="240" w:after="0" w:line="240" w:lineRule="auto"/>
      <w:ind w:left="1021" w:hanging="1021"/>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E25A11"/>
    <w:pPr>
      <w:spacing w:before="240" w:after="0" w:line="240" w:lineRule="auto"/>
      <w:ind w:left="1021" w:hanging="1021"/>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E25A11"/>
    <w:pPr>
      <w:spacing w:before="240" w:after="0" w:line="240" w:lineRule="auto"/>
      <w:ind w:left="1021" w:hanging="1021"/>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E25A11"/>
    <w:pPr>
      <w:spacing w:before="240" w:after="0" w:line="240" w:lineRule="auto"/>
      <w:ind w:left="1021" w:hanging="1021"/>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E25A11"/>
    <w:pPr>
      <w:spacing w:before="240" w:after="0" w:line="240" w:lineRule="auto"/>
      <w:ind w:left="1021" w:hanging="1021"/>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umns1">
    <w:name w:val="Table Columns 1"/>
    <w:basedOn w:val="TableNormal"/>
    <w:uiPriority w:val="99"/>
    <w:semiHidden/>
    <w:unhideWhenUsed/>
    <w:rsid w:val="00E25A11"/>
    <w:pPr>
      <w:spacing w:before="240" w:after="0" w:line="240" w:lineRule="auto"/>
      <w:ind w:left="1021" w:hanging="1021"/>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E25A11"/>
    <w:pPr>
      <w:spacing w:before="240" w:after="0" w:line="240" w:lineRule="auto"/>
      <w:ind w:left="1021" w:hanging="1021"/>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E25A11"/>
    <w:pPr>
      <w:spacing w:before="240" w:after="0" w:line="240" w:lineRule="auto"/>
      <w:ind w:left="1021" w:hanging="1021"/>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E25A11"/>
    <w:pPr>
      <w:spacing w:before="240" w:after="0" w:line="240" w:lineRule="auto"/>
      <w:ind w:left="1021" w:hanging="1021"/>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E25A11"/>
    <w:pPr>
      <w:spacing w:before="240" w:after="0" w:line="240" w:lineRule="auto"/>
      <w:ind w:left="1021" w:hanging="1021"/>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E25A11"/>
    <w:pPr>
      <w:spacing w:before="240" w:after="0" w:line="240" w:lineRule="auto"/>
      <w:ind w:left="1021" w:hanging="1021"/>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E25A11"/>
    <w:pPr>
      <w:spacing w:before="240" w:after="0" w:line="240" w:lineRule="auto"/>
      <w:ind w:left="1021" w:hanging="1021"/>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E25A11"/>
    <w:pPr>
      <w:spacing w:before="240" w:after="0" w:line="240" w:lineRule="auto"/>
      <w:ind w:left="1021" w:hanging="1021"/>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E25A11"/>
    <w:pPr>
      <w:spacing w:before="240" w:after="0" w:line="240" w:lineRule="auto"/>
      <w:ind w:left="1021" w:hanging="1021"/>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E25A11"/>
    <w:pPr>
      <w:spacing w:before="240" w:after="0" w:line="240" w:lineRule="auto"/>
      <w:ind w:left="1021" w:hanging="1021"/>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E25A11"/>
    <w:pPr>
      <w:spacing w:before="240" w:after="0" w:line="240" w:lineRule="auto"/>
      <w:ind w:left="1021" w:hanging="1021"/>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E25A11"/>
    <w:pPr>
      <w:spacing w:before="240" w:after="0" w:line="240" w:lineRule="auto"/>
      <w:ind w:left="1021" w:hanging="1021"/>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E25A11"/>
    <w:pPr>
      <w:spacing w:before="240" w:after="0" w:line="240" w:lineRule="auto"/>
      <w:ind w:left="1021" w:hanging="1021"/>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E25A11"/>
    <w:pPr>
      <w:spacing w:before="240" w:after="0" w:line="240" w:lineRule="auto"/>
      <w:ind w:left="1021" w:hanging="1021"/>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E25A11"/>
    <w:pPr>
      <w:spacing w:before="240" w:after="0" w:line="240" w:lineRule="auto"/>
      <w:ind w:left="1021" w:hanging="1021"/>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rsid w:val="00E25A11"/>
    <w:pPr>
      <w:spacing w:before="240" w:after="0"/>
      <w:ind w:left="220" w:hanging="220"/>
    </w:pPr>
    <w:rPr>
      <w:rFonts w:ascii="Calibri" w:hAnsi="Calibri"/>
    </w:rPr>
  </w:style>
  <w:style w:type="paragraph" w:styleId="TableofFigures">
    <w:name w:val="table of figures"/>
    <w:basedOn w:val="Normal"/>
    <w:next w:val="Normal"/>
    <w:uiPriority w:val="99"/>
    <w:rsid w:val="00E25A11"/>
    <w:pPr>
      <w:spacing w:before="240" w:after="0"/>
    </w:pPr>
    <w:rPr>
      <w:rFonts w:ascii="Calibri" w:hAnsi="Calibri"/>
    </w:rPr>
  </w:style>
  <w:style w:type="table" w:styleId="TableProfessional">
    <w:name w:val="Table Professional"/>
    <w:basedOn w:val="TableNormal"/>
    <w:uiPriority w:val="99"/>
    <w:semiHidden/>
    <w:unhideWhenUsed/>
    <w:rsid w:val="00E25A11"/>
    <w:pPr>
      <w:spacing w:before="240" w:after="0" w:line="240" w:lineRule="auto"/>
      <w:ind w:left="1021" w:hanging="1021"/>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E25A11"/>
    <w:pPr>
      <w:spacing w:before="240" w:after="0" w:line="240" w:lineRule="auto"/>
      <w:ind w:left="1021" w:hanging="1021"/>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E25A11"/>
    <w:pPr>
      <w:spacing w:before="240" w:after="0" w:line="240" w:lineRule="auto"/>
      <w:ind w:left="1021" w:hanging="1021"/>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E25A11"/>
    <w:pPr>
      <w:spacing w:before="240" w:after="0" w:line="240" w:lineRule="auto"/>
      <w:ind w:left="1021" w:hanging="1021"/>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E25A11"/>
    <w:pPr>
      <w:spacing w:before="240" w:after="0" w:line="240" w:lineRule="auto"/>
      <w:ind w:left="1021" w:hanging="1021"/>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E25A11"/>
    <w:pPr>
      <w:spacing w:before="240" w:after="0" w:line="240" w:lineRule="auto"/>
      <w:ind w:left="1021" w:hanging="1021"/>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E25A11"/>
    <w:pPr>
      <w:spacing w:before="240" w:after="0" w:line="240" w:lineRule="auto"/>
      <w:ind w:left="1021" w:hanging="1021"/>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E25A11"/>
    <w:pPr>
      <w:spacing w:before="240" w:after="0" w:line="240" w:lineRule="auto"/>
      <w:ind w:left="1021" w:hanging="1021"/>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E25A11"/>
    <w:pPr>
      <w:spacing w:before="240" w:after="0" w:line="240" w:lineRule="auto"/>
      <w:ind w:left="1021" w:hanging="1021"/>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E25A11"/>
    <w:pPr>
      <w:spacing w:before="240" w:after="0" w:line="240" w:lineRule="auto"/>
      <w:ind w:left="1021" w:hanging="1021"/>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uiPriority w:val="99"/>
    <w:semiHidden/>
    <w:rsid w:val="00E25A11"/>
    <w:pPr>
      <w:spacing w:before="120" w:after="0"/>
    </w:pPr>
    <w:rPr>
      <w:rFonts w:asciiTheme="majorHAnsi" w:eastAsiaTheme="majorEastAsia" w:hAnsiTheme="majorHAnsi" w:cstheme="majorBidi"/>
      <w:b/>
      <w:bCs/>
      <w:sz w:val="24"/>
      <w:szCs w:val="24"/>
    </w:rPr>
  </w:style>
  <w:style w:type="paragraph" w:customStyle="1" w:styleId="Definitiontext">
    <w:name w:val="Definition text"/>
    <w:basedOn w:val="BodyText"/>
    <w:uiPriority w:val="20"/>
    <w:qFormat/>
    <w:rsid w:val="00E25A11"/>
    <w:pPr>
      <w:spacing w:before="120" w:after="0"/>
      <w:jc w:val="both"/>
    </w:pPr>
    <w:rPr>
      <w:bCs/>
      <w:color w:val="222A35" w:themeColor="text2" w:themeShade="80"/>
    </w:rPr>
  </w:style>
  <w:style w:type="paragraph" w:customStyle="1" w:styleId="Definitionterm">
    <w:name w:val="Definition term"/>
    <w:basedOn w:val="Definitiontext"/>
    <w:next w:val="Definitiontext"/>
    <w:uiPriority w:val="20"/>
    <w:qFormat/>
    <w:rsid w:val="00E25A11"/>
    <w:pPr>
      <w:spacing w:before="240" w:after="120"/>
    </w:pPr>
    <w:rPr>
      <w:b/>
    </w:rPr>
  </w:style>
  <w:style w:type="table" w:customStyle="1" w:styleId="ColorfulGrid1">
    <w:name w:val="Colorful Grid1"/>
    <w:basedOn w:val="TableNormal"/>
    <w:uiPriority w:val="99"/>
    <w:semiHidden/>
    <w:rsid w:val="00E25A11"/>
    <w:pPr>
      <w:spacing w:before="240" w:after="0" w:line="240" w:lineRule="auto"/>
      <w:ind w:left="1021" w:hanging="1021"/>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99"/>
    <w:semiHidden/>
    <w:rsid w:val="00E25A11"/>
    <w:pPr>
      <w:spacing w:before="240" w:after="0" w:line="240" w:lineRule="auto"/>
      <w:ind w:left="1021" w:hanging="1021"/>
    </w:pPr>
    <w:rPr>
      <w:color w:val="000000" w:themeColor="text1"/>
    </w:rPr>
    <w:tblPr>
      <w:tblStyleRowBandSize w:val="1"/>
      <w:tblStyleColBandSize w:val="1"/>
      <w:tblBorders>
        <w:insideH w:val="single" w:sz="4" w:space="0" w:color="FFFFFF" w:themeColor="background1"/>
      </w:tblBorders>
    </w:tblPr>
    <w:tcPr>
      <w:shd w:val="clear" w:color="auto" w:fill="DEEAF6" w:themeFill="accent1" w:themeFillTint="33"/>
    </w:tcPr>
    <w:tblStylePr w:type="firstRow">
      <w:rPr>
        <w:b/>
        <w:bCs/>
      </w:rPr>
      <w:tblPr/>
      <w:tcPr>
        <w:shd w:val="clear" w:color="auto" w:fill="BDD6EE" w:themeFill="accent1" w:themeFillTint="66"/>
      </w:tcPr>
    </w:tblStylePr>
    <w:tblStylePr w:type="lastRow">
      <w:rPr>
        <w:b/>
        <w:bCs/>
        <w:color w:val="000000" w:themeColor="text1"/>
      </w:rPr>
      <w:tblPr/>
      <w:tcPr>
        <w:shd w:val="clear" w:color="auto" w:fill="BDD6EE" w:themeFill="accent1" w:themeFillTint="66"/>
      </w:tcPr>
    </w:tblStylePr>
    <w:tblStylePr w:type="firstCol">
      <w:rPr>
        <w:color w:val="FFFFFF" w:themeColor="background1"/>
      </w:rPr>
      <w:tblPr/>
      <w:tcPr>
        <w:shd w:val="clear" w:color="auto" w:fill="2E74B5" w:themeFill="accent1" w:themeFillShade="BF"/>
      </w:tcPr>
    </w:tblStylePr>
    <w:tblStylePr w:type="lastCol">
      <w:rPr>
        <w:color w:val="FFFFFF" w:themeColor="background1"/>
      </w:rPr>
      <w:tblPr/>
      <w:tcPr>
        <w:shd w:val="clear" w:color="auto" w:fill="2E74B5" w:themeFill="accent1" w:themeFillShade="BF"/>
      </w:tc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styleId="ColorfulGrid-Accent2">
    <w:name w:val="Colorful Grid Accent 2"/>
    <w:basedOn w:val="TableNormal"/>
    <w:uiPriority w:val="99"/>
    <w:semiHidden/>
    <w:rsid w:val="00E25A11"/>
    <w:pPr>
      <w:spacing w:before="240" w:after="0" w:line="240" w:lineRule="auto"/>
      <w:ind w:left="1021" w:hanging="1021"/>
    </w:pPr>
    <w:rPr>
      <w:color w:val="000000" w:themeColor="text1"/>
    </w:rPr>
    <w:tblPr>
      <w:tblStyleRowBandSize w:val="1"/>
      <w:tblStyleColBandSize w:val="1"/>
      <w:tblBorders>
        <w:insideH w:val="single" w:sz="4" w:space="0" w:color="FFFFFF" w:themeColor="background1"/>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ColorfulGrid-Accent3">
    <w:name w:val="Colorful Grid Accent 3"/>
    <w:basedOn w:val="TableNormal"/>
    <w:uiPriority w:val="99"/>
    <w:semiHidden/>
    <w:rsid w:val="00E25A11"/>
    <w:pPr>
      <w:spacing w:before="240" w:after="0" w:line="240" w:lineRule="auto"/>
      <w:ind w:left="1021" w:hanging="1021"/>
    </w:pPr>
    <w:rPr>
      <w:color w:val="000000" w:themeColor="text1"/>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ColorfulGrid-Accent4">
    <w:name w:val="Colorful Grid Accent 4"/>
    <w:basedOn w:val="TableNormal"/>
    <w:uiPriority w:val="99"/>
    <w:semiHidden/>
    <w:rsid w:val="00E25A11"/>
    <w:pPr>
      <w:spacing w:before="240" w:after="0" w:line="240" w:lineRule="auto"/>
      <w:ind w:left="1021" w:hanging="1021"/>
    </w:pPr>
    <w:rPr>
      <w:color w:val="000000" w:themeColor="text1"/>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ColorfulGrid-Accent5">
    <w:name w:val="Colorful Grid Accent 5"/>
    <w:basedOn w:val="TableNormal"/>
    <w:uiPriority w:val="99"/>
    <w:semiHidden/>
    <w:rsid w:val="00E25A11"/>
    <w:pPr>
      <w:spacing w:before="240" w:after="0" w:line="240" w:lineRule="auto"/>
      <w:ind w:left="1021" w:hanging="1021"/>
    </w:pPr>
    <w:rPr>
      <w:color w:val="000000" w:themeColor="text1"/>
    </w:rPr>
    <w:tblPr>
      <w:tblStyleRowBandSize w:val="1"/>
      <w:tblStyleColBandSize w:val="1"/>
      <w:tblBorders>
        <w:insideH w:val="single" w:sz="4" w:space="0" w:color="FFFFFF" w:themeColor="background1"/>
      </w:tblBorders>
    </w:tblPr>
    <w:tcPr>
      <w:shd w:val="clear" w:color="auto" w:fill="D9E2F3" w:themeFill="accent5" w:themeFillTint="33"/>
    </w:tcPr>
    <w:tblStylePr w:type="firstRow">
      <w:rPr>
        <w:b/>
        <w:bCs/>
      </w:rPr>
      <w:tblPr/>
      <w:tcPr>
        <w:shd w:val="clear" w:color="auto" w:fill="B4C6E7" w:themeFill="accent5" w:themeFillTint="66"/>
      </w:tcPr>
    </w:tblStylePr>
    <w:tblStylePr w:type="lastRow">
      <w:rPr>
        <w:b/>
        <w:bCs/>
        <w:color w:val="000000" w:themeColor="text1"/>
      </w:rPr>
      <w:tblPr/>
      <w:tcPr>
        <w:shd w:val="clear" w:color="auto" w:fill="B4C6E7" w:themeFill="accent5" w:themeFillTint="66"/>
      </w:tcPr>
    </w:tblStylePr>
    <w:tblStylePr w:type="firstCol">
      <w:rPr>
        <w:color w:val="FFFFFF" w:themeColor="background1"/>
      </w:rPr>
      <w:tblPr/>
      <w:tcPr>
        <w:shd w:val="clear" w:color="auto" w:fill="2F5496" w:themeFill="accent5" w:themeFillShade="BF"/>
      </w:tcPr>
    </w:tblStylePr>
    <w:tblStylePr w:type="lastCol">
      <w:rPr>
        <w:color w:val="FFFFFF" w:themeColor="background1"/>
      </w:rPr>
      <w:tblPr/>
      <w:tcPr>
        <w:shd w:val="clear" w:color="auto" w:fill="2F5496" w:themeFill="accent5" w:themeFillShade="BF"/>
      </w:tc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styleId="ColorfulGrid-Accent6">
    <w:name w:val="Colorful Grid Accent 6"/>
    <w:basedOn w:val="TableNormal"/>
    <w:uiPriority w:val="99"/>
    <w:semiHidden/>
    <w:rsid w:val="00E25A11"/>
    <w:pPr>
      <w:spacing w:before="240" w:after="0" w:line="240" w:lineRule="auto"/>
      <w:ind w:left="1021" w:hanging="1021"/>
    </w:pPr>
    <w:rPr>
      <w:color w:val="000000" w:themeColor="text1"/>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customStyle="1" w:styleId="ColorfulList1">
    <w:name w:val="Colorful List1"/>
    <w:basedOn w:val="TableNormal"/>
    <w:uiPriority w:val="99"/>
    <w:semiHidden/>
    <w:rsid w:val="00E25A11"/>
    <w:pPr>
      <w:spacing w:before="240" w:after="0" w:line="240" w:lineRule="auto"/>
      <w:ind w:left="1021" w:hanging="1021"/>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99"/>
    <w:semiHidden/>
    <w:rsid w:val="00E25A11"/>
    <w:pPr>
      <w:spacing w:before="240" w:after="0" w:line="240" w:lineRule="auto"/>
      <w:ind w:left="1021" w:hanging="1021"/>
    </w:pPr>
    <w:rPr>
      <w:color w:val="000000" w:themeColor="text1"/>
    </w:rPr>
    <w:tblPr>
      <w:tblStyleRowBandSize w:val="1"/>
      <w:tblStyleColBandSize w:val="1"/>
    </w:tblPr>
    <w:tcPr>
      <w:shd w:val="clear" w:color="auto" w:fill="EEF5FB"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1" w:themeFillTint="3F"/>
      </w:tcPr>
    </w:tblStylePr>
    <w:tblStylePr w:type="band1Horz">
      <w:tblPr/>
      <w:tcPr>
        <w:shd w:val="clear" w:color="auto" w:fill="DEEAF6" w:themeFill="accent1" w:themeFillTint="33"/>
      </w:tcPr>
    </w:tblStylePr>
  </w:style>
  <w:style w:type="table" w:styleId="ColorfulList-Accent2">
    <w:name w:val="Colorful List Accent 2"/>
    <w:basedOn w:val="TableNormal"/>
    <w:uiPriority w:val="99"/>
    <w:semiHidden/>
    <w:rsid w:val="00E25A11"/>
    <w:pPr>
      <w:spacing w:before="240" w:after="0" w:line="240" w:lineRule="auto"/>
      <w:ind w:left="1021" w:hanging="1021"/>
    </w:pPr>
    <w:rPr>
      <w:color w:val="000000" w:themeColor="text1"/>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styleId="ColorfulList-Accent3">
    <w:name w:val="Colorful List Accent 3"/>
    <w:basedOn w:val="TableNormal"/>
    <w:uiPriority w:val="99"/>
    <w:semiHidden/>
    <w:rsid w:val="00E25A11"/>
    <w:pPr>
      <w:spacing w:before="240" w:after="0" w:line="240" w:lineRule="auto"/>
      <w:ind w:left="1021" w:hanging="1021"/>
    </w:pPr>
    <w:rPr>
      <w:color w:val="000000" w:themeColor="text1"/>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ColorfulList-Accent4">
    <w:name w:val="Colorful List Accent 4"/>
    <w:basedOn w:val="TableNormal"/>
    <w:uiPriority w:val="99"/>
    <w:semiHidden/>
    <w:rsid w:val="00E25A11"/>
    <w:pPr>
      <w:spacing w:before="240" w:after="0" w:line="240" w:lineRule="auto"/>
      <w:ind w:left="1021" w:hanging="1021"/>
    </w:pPr>
    <w:rPr>
      <w:color w:val="000000" w:themeColor="text1"/>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ColorfulList-Accent5">
    <w:name w:val="Colorful List Accent 5"/>
    <w:basedOn w:val="TableNormal"/>
    <w:uiPriority w:val="99"/>
    <w:semiHidden/>
    <w:rsid w:val="00E25A11"/>
    <w:pPr>
      <w:spacing w:before="240" w:after="0" w:line="240" w:lineRule="auto"/>
      <w:ind w:left="1021" w:hanging="1021"/>
    </w:pPr>
    <w:rPr>
      <w:color w:val="000000" w:themeColor="text1"/>
    </w:rPr>
    <w:tblPr>
      <w:tblStyleRowBandSize w:val="1"/>
      <w:tblStyleColBandSize w:val="1"/>
    </w:tblPr>
    <w:tcPr>
      <w:shd w:val="clear" w:color="auto" w:fill="ECF1F9"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5" w:themeFillTint="3F"/>
      </w:tcPr>
    </w:tblStylePr>
    <w:tblStylePr w:type="band1Horz">
      <w:tblPr/>
      <w:tcPr>
        <w:shd w:val="clear" w:color="auto" w:fill="D9E2F3" w:themeFill="accent5" w:themeFillTint="33"/>
      </w:tcPr>
    </w:tblStylePr>
  </w:style>
  <w:style w:type="table" w:styleId="ColorfulList-Accent6">
    <w:name w:val="Colorful List Accent 6"/>
    <w:basedOn w:val="TableNormal"/>
    <w:uiPriority w:val="99"/>
    <w:semiHidden/>
    <w:rsid w:val="00E25A11"/>
    <w:pPr>
      <w:spacing w:before="240" w:after="0" w:line="240" w:lineRule="auto"/>
      <w:ind w:left="1021" w:hanging="1021"/>
    </w:pPr>
    <w:rPr>
      <w:color w:val="000000" w:themeColor="text1"/>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259A0" w:themeFill="accent5" w:themeFillShade="CC"/>
      </w:tcPr>
    </w:tblStylePr>
    <w:tblStylePr w:type="lastRow">
      <w:rPr>
        <w:b/>
        <w:bCs/>
        <w:color w:val="3259A0"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table" w:customStyle="1" w:styleId="ColorfulShading1">
    <w:name w:val="Colorful Shading1"/>
    <w:basedOn w:val="TableNormal"/>
    <w:uiPriority w:val="99"/>
    <w:semiHidden/>
    <w:rsid w:val="00E25A11"/>
    <w:pPr>
      <w:spacing w:before="240" w:after="0" w:line="240" w:lineRule="auto"/>
      <w:ind w:left="1021" w:hanging="1021"/>
    </w:pPr>
    <w:rPr>
      <w:color w:val="000000" w:themeColor="text1"/>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99"/>
    <w:semiHidden/>
    <w:rsid w:val="00E25A11"/>
    <w:pPr>
      <w:spacing w:before="240" w:after="0" w:line="240" w:lineRule="auto"/>
      <w:ind w:left="1021" w:hanging="1021"/>
    </w:pPr>
    <w:rPr>
      <w:color w:val="000000" w:themeColor="text1"/>
    </w:rPr>
    <w:tblPr>
      <w:tblStyleRowBandSize w:val="1"/>
      <w:tblStyleColBandSize w:val="1"/>
      <w:tblBorders>
        <w:top w:val="single" w:sz="24" w:space="0" w:color="ED7D31" w:themeColor="accent2"/>
        <w:left w:val="single" w:sz="4" w:space="0" w:color="5B9BD5" w:themeColor="accent1"/>
        <w:bottom w:val="single" w:sz="4" w:space="0" w:color="5B9BD5" w:themeColor="accent1"/>
        <w:right w:val="single" w:sz="4" w:space="0" w:color="5B9BD5" w:themeColor="accent1"/>
        <w:insideH w:val="single" w:sz="4" w:space="0" w:color="FFFFFF" w:themeColor="background1"/>
        <w:insideV w:val="single" w:sz="4" w:space="0" w:color="FFFFFF" w:themeColor="background1"/>
      </w:tblBorders>
    </w:tblPr>
    <w:tcPr>
      <w:shd w:val="clear" w:color="auto" w:fill="EEF5FB"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1" w:themeFillShade="99"/>
      </w:tcPr>
    </w:tblStylePr>
    <w:tblStylePr w:type="firstCol">
      <w:rPr>
        <w:color w:val="FFFFFF" w:themeColor="background1"/>
      </w:rPr>
      <w:tblPr/>
      <w:tcPr>
        <w:tcBorders>
          <w:top w:val="nil"/>
          <w:left w:val="nil"/>
          <w:bottom w:val="nil"/>
          <w:right w:val="nil"/>
          <w:insideH w:val="single" w:sz="4" w:space="0" w:color="255D91" w:themeColor="accent1" w:themeShade="99"/>
          <w:insideV w:val="nil"/>
        </w:tcBorders>
        <w:shd w:val="clear" w:color="auto" w:fill="255D91"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1" w:themeFillShade="99"/>
      </w:tcPr>
    </w:tblStylePr>
    <w:tblStylePr w:type="band1Vert">
      <w:tblPr/>
      <w:tcPr>
        <w:shd w:val="clear" w:color="auto" w:fill="BDD6EE" w:themeFill="accent1" w:themeFillTint="66"/>
      </w:tcPr>
    </w:tblStylePr>
    <w:tblStylePr w:type="band1Horz">
      <w:tblPr/>
      <w:tcPr>
        <w:shd w:val="clear" w:color="auto" w:fill="ADCCEA"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99"/>
    <w:semiHidden/>
    <w:rsid w:val="00E25A11"/>
    <w:pPr>
      <w:spacing w:before="240" w:after="0" w:line="240" w:lineRule="auto"/>
      <w:ind w:left="1021" w:hanging="1021"/>
    </w:pPr>
    <w:rPr>
      <w:color w:val="000000" w:themeColor="text1"/>
    </w:r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99"/>
    <w:semiHidden/>
    <w:rsid w:val="00E25A11"/>
    <w:pPr>
      <w:spacing w:before="240" w:after="0" w:line="240" w:lineRule="auto"/>
      <w:ind w:left="1021" w:hanging="1021"/>
    </w:pPr>
    <w:rPr>
      <w:color w:val="000000" w:themeColor="text1"/>
    </w:r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ColorfulShading-Accent4">
    <w:name w:val="Colorful Shading Accent 4"/>
    <w:basedOn w:val="TableNormal"/>
    <w:uiPriority w:val="99"/>
    <w:semiHidden/>
    <w:rsid w:val="00E25A11"/>
    <w:pPr>
      <w:spacing w:before="240" w:after="0" w:line="240" w:lineRule="auto"/>
      <w:ind w:left="1021" w:hanging="1021"/>
    </w:pPr>
    <w:rPr>
      <w:color w:val="000000" w:themeColor="text1"/>
    </w:rPr>
    <w:tblPr>
      <w:tblStyleRowBandSize w:val="1"/>
      <w:tblStyleColBandSize w:val="1"/>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99"/>
    <w:semiHidden/>
    <w:rsid w:val="00E25A11"/>
    <w:pPr>
      <w:spacing w:before="240" w:after="0" w:line="240" w:lineRule="auto"/>
      <w:ind w:left="1021" w:hanging="1021"/>
    </w:pPr>
    <w:rPr>
      <w:color w:val="000000" w:themeColor="text1"/>
    </w:rPr>
    <w:tblPr>
      <w:tblStyleRowBandSize w:val="1"/>
      <w:tblStyleColBandSize w:val="1"/>
      <w:tblBorders>
        <w:top w:val="single" w:sz="24" w:space="0" w:color="70AD47" w:themeColor="accent6"/>
        <w:left w:val="single" w:sz="4" w:space="0" w:color="4472C4" w:themeColor="accent5"/>
        <w:bottom w:val="single" w:sz="4" w:space="0" w:color="4472C4" w:themeColor="accent5"/>
        <w:right w:val="single" w:sz="4" w:space="0" w:color="4472C4" w:themeColor="accent5"/>
        <w:insideH w:val="single" w:sz="4" w:space="0" w:color="FFFFFF" w:themeColor="background1"/>
        <w:insideV w:val="single" w:sz="4" w:space="0" w:color="FFFFFF" w:themeColor="background1"/>
      </w:tblBorders>
    </w:tblPr>
    <w:tcPr>
      <w:shd w:val="clear" w:color="auto" w:fill="ECF1F9"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5" w:themeFillShade="99"/>
      </w:tcPr>
    </w:tblStylePr>
    <w:tblStylePr w:type="firstCol">
      <w:rPr>
        <w:color w:val="FFFFFF" w:themeColor="background1"/>
      </w:rPr>
      <w:tblPr/>
      <w:tcPr>
        <w:tcBorders>
          <w:top w:val="nil"/>
          <w:left w:val="nil"/>
          <w:bottom w:val="nil"/>
          <w:right w:val="nil"/>
          <w:insideH w:val="single" w:sz="4" w:space="0" w:color="264378" w:themeColor="accent5" w:themeShade="99"/>
          <w:insideV w:val="nil"/>
        </w:tcBorders>
        <w:shd w:val="clear" w:color="auto" w:fill="26437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5" w:themeFillShade="99"/>
      </w:tcPr>
    </w:tblStylePr>
    <w:tblStylePr w:type="band1Vert">
      <w:tblPr/>
      <w:tcPr>
        <w:shd w:val="clear" w:color="auto" w:fill="B4C6E7" w:themeFill="accent5" w:themeFillTint="66"/>
      </w:tcPr>
    </w:tblStylePr>
    <w:tblStylePr w:type="band1Horz">
      <w:tblPr/>
      <w:tcPr>
        <w:shd w:val="clear" w:color="auto" w:fill="A1B8E1"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99"/>
    <w:semiHidden/>
    <w:rsid w:val="00E25A11"/>
    <w:pPr>
      <w:spacing w:before="240" w:after="0" w:line="240" w:lineRule="auto"/>
      <w:ind w:left="1021" w:hanging="1021"/>
    </w:pPr>
    <w:rPr>
      <w:color w:val="000000" w:themeColor="text1"/>
    </w:rPr>
    <w:tblPr>
      <w:tblStyleRowBandSize w:val="1"/>
      <w:tblStyleColBandSize w:val="1"/>
      <w:tblBorders>
        <w:top w:val="single" w:sz="24" w:space="0" w:color="4472C4"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table" w:customStyle="1" w:styleId="DarkList1">
    <w:name w:val="Dark List1"/>
    <w:basedOn w:val="TableNormal"/>
    <w:uiPriority w:val="99"/>
    <w:semiHidden/>
    <w:rsid w:val="00E25A11"/>
    <w:pPr>
      <w:spacing w:before="240" w:after="0" w:line="240" w:lineRule="auto"/>
      <w:ind w:left="1021" w:hanging="1021"/>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99"/>
    <w:semiHidden/>
    <w:rsid w:val="00E25A11"/>
    <w:pPr>
      <w:spacing w:before="240" w:after="0" w:line="240" w:lineRule="auto"/>
      <w:ind w:left="1021" w:hanging="1021"/>
    </w:pPr>
    <w:rPr>
      <w:color w:val="FFFFFF" w:themeColor="background1"/>
    </w:rPr>
    <w:tblPr>
      <w:tblStyleRowBandSize w:val="1"/>
      <w:tblStyleColBandSize w:val="1"/>
    </w:tblPr>
    <w:tcPr>
      <w:shd w:val="clear" w:color="auto" w:fill="5B9BD5"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1" w:themeFillShade="BF"/>
      </w:tcPr>
    </w:tblStylePr>
    <w:tblStylePr w:type="band1Vert">
      <w:tblPr/>
      <w:tcPr>
        <w:tcBorders>
          <w:top w:val="nil"/>
          <w:left w:val="nil"/>
          <w:bottom w:val="nil"/>
          <w:right w:val="nil"/>
          <w:insideH w:val="nil"/>
          <w:insideV w:val="nil"/>
        </w:tcBorders>
        <w:shd w:val="clear" w:color="auto" w:fill="2E74B5" w:themeFill="accent1" w:themeFillShade="BF"/>
      </w:tcPr>
    </w:tblStylePr>
    <w:tblStylePr w:type="band1Horz">
      <w:tblPr/>
      <w:tcPr>
        <w:tcBorders>
          <w:top w:val="nil"/>
          <w:left w:val="nil"/>
          <w:bottom w:val="nil"/>
          <w:right w:val="nil"/>
          <w:insideH w:val="nil"/>
          <w:insideV w:val="nil"/>
        </w:tcBorders>
        <w:shd w:val="clear" w:color="auto" w:fill="2E74B5" w:themeFill="accent1" w:themeFillShade="BF"/>
      </w:tcPr>
    </w:tblStylePr>
  </w:style>
  <w:style w:type="table" w:styleId="DarkList-Accent2">
    <w:name w:val="Dark List Accent 2"/>
    <w:basedOn w:val="TableNormal"/>
    <w:uiPriority w:val="99"/>
    <w:semiHidden/>
    <w:rsid w:val="00E25A11"/>
    <w:pPr>
      <w:spacing w:before="240" w:after="0" w:line="240" w:lineRule="auto"/>
      <w:ind w:left="1021" w:hanging="1021"/>
    </w:pPr>
    <w:rPr>
      <w:color w:val="FFFFFF" w:themeColor="background1"/>
    </w:r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DarkList-Accent3">
    <w:name w:val="Dark List Accent 3"/>
    <w:basedOn w:val="TableNormal"/>
    <w:uiPriority w:val="99"/>
    <w:semiHidden/>
    <w:rsid w:val="00E25A11"/>
    <w:pPr>
      <w:spacing w:before="240" w:after="0" w:line="240" w:lineRule="auto"/>
      <w:ind w:left="1021" w:hanging="1021"/>
    </w:pPr>
    <w:rPr>
      <w:color w:val="FFFFFF" w:themeColor="background1"/>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DarkList-Accent4">
    <w:name w:val="Dark List Accent 4"/>
    <w:basedOn w:val="TableNormal"/>
    <w:uiPriority w:val="99"/>
    <w:semiHidden/>
    <w:rsid w:val="00E25A11"/>
    <w:pPr>
      <w:spacing w:before="240" w:after="0" w:line="240" w:lineRule="auto"/>
      <w:ind w:left="1021" w:hanging="1021"/>
    </w:pPr>
    <w:rPr>
      <w:color w:val="FFFFFF" w:themeColor="background1"/>
    </w:rPr>
    <w:tblPr>
      <w:tblStyleRowBandSize w:val="1"/>
      <w:tblStyleColBandSize w:val="1"/>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styleId="DarkList-Accent5">
    <w:name w:val="Dark List Accent 5"/>
    <w:basedOn w:val="TableNormal"/>
    <w:uiPriority w:val="99"/>
    <w:semiHidden/>
    <w:rsid w:val="00E25A11"/>
    <w:pPr>
      <w:spacing w:before="240" w:after="0" w:line="240" w:lineRule="auto"/>
      <w:ind w:left="1021" w:hanging="1021"/>
    </w:pPr>
    <w:rPr>
      <w:color w:val="FFFFFF" w:themeColor="background1"/>
    </w:rPr>
    <w:tblPr>
      <w:tblStyleRowBandSize w:val="1"/>
      <w:tblStyleColBandSize w:val="1"/>
    </w:tblPr>
    <w:tcPr>
      <w:shd w:val="clear" w:color="auto" w:fill="4472C4"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5" w:themeFillShade="BF"/>
      </w:tcPr>
    </w:tblStylePr>
    <w:tblStylePr w:type="band1Vert">
      <w:tblPr/>
      <w:tcPr>
        <w:tcBorders>
          <w:top w:val="nil"/>
          <w:left w:val="nil"/>
          <w:bottom w:val="nil"/>
          <w:right w:val="nil"/>
          <w:insideH w:val="nil"/>
          <w:insideV w:val="nil"/>
        </w:tcBorders>
        <w:shd w:val="clear" w:color="auto" w:fill="2F5496" w:themeFill="accent5" w:themeFillShade="BF"/>
      </w:tcPr>
    </w:tblStylePr>
    <w:tblStylePr w:type="band1Horz">
      <w:tblPr/>
      <w:tcPr>
        <w:tcBorders>
          <w:top w:val="nil"/>
          <w:left w:val="nil"/>
          <w:bottom w:val="nil"/>
          <w:right w:val="nil"/>
          <w:insideH w:val="nil"/>
          <w:insideV w:val="nil"/>
        </w:tcBorders>
        <w:shd w:val="clear" w:color="auto" w:fill="2F5496" w:themeFill="accent5" w:themeFillShade="BF"/>
      </w:tcPr>
    </w:tblStylePr>
  </w:style>
  <w:style w:type="table" w:styleId="DarkList-Accent6">
    <w:name w:val="Dark List Accent 6"/>
    <w:basedOn w:val="TableNormal"/>
    <w:uiPriority w:val="99"/>
    <w:semiHidden/>
    <w:rsid w:val="00E25A11"/>
    <w:pPr>
      <w:spacing w:before="240" w:after="0" w:line="240" w:lineRule="auto"/>
      <w:ind w:left="1021" w:hanging="1021"/>
    </w:pPr>
    <w:rPr>
      <w:color w:val="FFFFFF" w:themeColor="background1"/>
    </w:r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table" w:customStyle="1" w:styleId="LightGrid1">
    <w:name w:val="Light Grid1"/>
    <w:basedOn w:val="TableNormal"/>
    <w:uiPriority w:val="99"/>
    <w:semiHidden/>
    <w:rsid w:val="00E25A11"/>
    <w:pPr>
      <w:spacing w:before="240" w:after="0" w:line="240" w:lineRule="auto"/>
      <w:ind w:left="1021" w:hanging="1021"/>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LightGrid-Accent11">
    <w:name w:val="Light Grid - Accent 11"/>
    <w:basedOn w:val="TableNormal"/>
    <w:uiPriority w:val="99"/>
    <w:semiHidden/>
    <w:rsid w:val="00E25A11"/>
    <w:pPr>
      <w:spacing w:before="240" w:after="0" w:line="240" w:lineRule="auto"/>
      <w:ind w:left="1021" w:hanging="1021"/>
    </w:p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18" w:space="0" w:color="5B9BD5" w:themeColor="accent1"/>
          <w:right w:val="single" w:sz="8" w:space="0" w:color="5B9BD5" w:themeColor="accent1"/>
          <w:insideH w:val="nil"/>
          <w:insideV w:val="single" w:sz="8" w:space="0" w:color="5B9BD5"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insideH w:val="nil"/>
          <w:insideV w:val="single" w:sz="8" w:space="0" w:color="5B9BD5"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shd w:val="clear" w:color="auto" w:fill="D6E6F4" w:themeFill="accent1" w:themeFillTint="3F"/>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shd w:val="clear" w:color="auto" w:fill="D6E6F4" w:themeFill="accent1" w:themeFillTint="3F"/>
      </w:tcPr>
    </w:tblStylePr>
    <w:tblStylePr w:type="band2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tcPr>
    </w:tblStylePr>
  </w:style>
  <w:style w:type="table" w:styleId="LightGrid-Accent2">
    <w:name w:val="Light Grid Accent 2"/>
    <w:basedOn w:val="TableNormal"/>
    <w:uiPriority w:val="99"/>
    <w:semiHidden/>
    <w:rsid w:val="00E25A11"/>
    <w:pPr>
      <w:spacing w:before="240" w:after="0" w:line="240" w:lineRule="auto"/>
      <w:ind w:left="1021" w:hanging="1021"/>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LightGrid-Accent3">
    <w:name w:val="Light Grid Accent 3"/>
    <w:basedOn w:val="TableNormal"/>
    <w:uiPriority w:val="99"/>
    <w:semiHidden/>
    <w:rsid w:val="00E25A11"/>
    <w:pPr>
      <w:spacing w:before="240" w:after="0" w:line="240" w:lineRule="auto"/>
      <w:ind w:left="1021" w:hanging="1021"/>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LightGrid-Accent4">
    <w:name w:val="Light Grid Accent 4"/>
    <w:basedOn w:val="TableNormal"/>
    <w:uiPriority w:val="99"/>
    <w:semiHidden/>
    <w:rsid w:val="00E25A11"/>
    <w:pPr>
      <w:spacing w:before="240" w:after="0" w:line="240" w:lineRule="auto"/>
      <w:ind w:left="1021" w:hanging="1021"/>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LightGrid-Accent5">
    <w:name w:val="Light Grid Accent 5"/>
    <w:basedOn w:val="TableNormal"/>
    <w:uiPriority w:val="99"/>
    <w:semiHidden/>
    <w:rsid w:val="00E25A11"/>
    <w:pPr>
      <w:spacing w:before="240" w:after="0" w:line="240" w:lineRule="auto"/>
      <w:ind w:left="1021" w:hanging="1021"/>
    </w:p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18" w:space="0" w:color="4472C4" w:themeColor="accent5"/>
          <w:right w:val="single" w:sz="8" w:space="0" w:color="4472C4" w:themeColor="accent5"/>
          <w:insideH w:val="nil"/>
          <w:insideV w:val="single" w:sz="8" w:space="0" w:color="4472C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insideH w:val="nil"/>
          <w:insideV w:val="single" w:sz="8" w:space="0" w:color="4472C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D0DBF0" w:themeFill="accent5" w:themeFillTint="3F"/>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shd w:val="clear" w:color="auto" w:fill="D0DBF0" w:themeFill="accent5" w:themeFillTint="3F"/>
      </w:tcPr>
    </w:tblStylePr>
    <w:tblStylePr w:type="band2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tcPr>
    </w:tblStylePr>
  </w:style>
  <w:style w:type="table" w:styleId="LightGrid-Accent6">
    <w:name w:val="Light Grid Accent 6"/>
    <w:basedOn w:val="TableNormal"/>
    <w:uiPriority w:val="99"/>
    <w:semiHidden/>
    <w:rsid w:val="00E25A11"/>
    <w:pPr>
      <w:spacing w:before="240" w:after="0" w:line="240" w:lineRule="auto"/>
      <w:ind w:left="1021" w:hanging="1021"/>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customStyle="1" w:styleId="LightList1">
    <w:name w:val="Light List1"/>
    <w:basedOn w:val="TableNormal"/>
    <w:uiPriority w:val="99"/>
    <w:semiHidden/>
    <w:rsid w:val="00E25A11"/>
    <w:pPr>
      <w:spacing w:before="240" w:after="0" w:line="240" w:lineRule="auto"/>
      <w:ind w:left="1021" w:hanging="1021"/>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1">
    <w:name w:val="Light List - Accent 11"/>
    <w:basedOn w:val="TableNormal"/>
    <w:uiPriority w:val="99"/>
    <w:semiHidden/>
    <w:rsid w:val="00E25A11"/>
    <w:pPr>
      <w:spacing w:before="240" w:after="0" w:line="240" w:lineRule="auto"/>
      <w:ind w:left="1021" w:hanging="1021"/>
    </w:p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table" w:styleId="LightList-Accent2">
    <w:name w:val="Light List Accent 2"/>
    <w:basedOn w:val="TableNormal"/>
    <w:uiPriority w:val="99"/>
    <w:semiHidden/>
    <w:rsid w:val="00E25A11"/>
    <w:pPr>
      <w:spacing w:before="240" w:after="0" w:line="240" w:lineRule="auto"/>
      <w:ind w:left="1021" w:hanging="1021"/>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LightList-Accent3">
    <w:name w:val="Light List Accent 3"/>
    <w:basedOn w:val="TableNormal"/>
    <w:uiPriority w:val="99"/>
    <w:semiHidden/>
    <w:rsid w:val="00E25A11"/>
    <w:pPr>
      <w:spacing w:before="240" w:after="0" w:line="240" w:lineRule="auto"/>
      <w:ind w:left="1021" w:hanging="1021"/>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LightList-Accent4">
    <w:name w:val="Light List Accent 4"/>
    <w:basedOn w:val="TableNormal"/>
    <w:uiPriority w:val="99"/>
    <w:semiHidden/>
    <w:rsid w:val="00E25A11"/>
    <w:pPr>
      <w:spacing w:before="240" w:after="0" w:line="240" w:lineRule="auto"/>
      <w:ind w:left="1021" w:hanging="1021"/>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LightList-Accent5">
    <w:name w:val="Light List Accent 5"/>
    <w:basedOn w:val="TableNormal"/>
    <w:uiPriority w:val="99"/>
    <w:semiHidden/>
    <w:rsid w:val="00E25A11"/>
    <w:pPr>
      <w:spacing w:before="240" w:after="0" w:line="240" w:lineRule="auto"/>
      <w:ind w:left="1021" w:hanging="1021"/>
    </w:p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pPr>
        <w:spacing w:before="0" w:after="0" w:line="240" w:lineRule="auto"/>
      </w:pPr>
      <w:rPr>
        <w:b/>
        <w:bCs/>
        <w:color w:val="FFFFFF" w:themeColor="background1"/>
      </w:rPr>
      <w:tblPr/>
      <w:tcPr>
        <w:shd w:val="clear" w:color="auto" w:fill="4472C4" w:themeFill="accent5"/>
      </w:tcPr>
    </w:tblStylePr>
    <w:tblStylePr w:type="lastRow">
      <w:pPr>
        <w:spacing w:before="0" w:after="0" w:line="240" w:lineRule="auto"/>
      </w:pPr>
      <w:rPr>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tcBorders>
      </w:tcPr>
    </w:tblStylePr>
    <w:tblStylePr w:type="firstCol">
      <w:rPr>
        <w:b/>
        <w:bCs/>
      </w:rPr>
    </w:tblStylePr>
    <w:tblStylePr w:type="lastCol">
      <w:rPr>
        <w:b/>
        <w:bCs/>
      </w:r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style>
  <w:style w:type="table" w:styleId="LightList-Accent6">
    <w:name w:val="Light List Accent 6"/>
    <w:basedOn w:val="TableNormal"/>
    <w:uiPriority w:val="99"/>
    <w:semiHidden/>
    <w:rsid w:val="00E25A11"/>
    <w:pPr>
      <w:spacing w:before="240" w:after="0" w:line="240" w:lineRule="auto"/>
      <w:ind w:left="1021" w:hanging="1021"/>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customStyle="1" w:styleId="LightShading1">
    <w:name w:val="Light Shading1"/>
    <w:basedOn w:val="TableNormal"/>
    <w:uiPriority w:val="99"/>
    <w:semiHidden/>
    <w:rsid w:val="00E25A11"/>
    <w:pPr>
      <w:spacing w:before="240" w:after="0" w:line="240" w:lineRule="auto"/>
      <w:ind w:left="1021" w:hanging="1021"/>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1">
    <w:name w:val="Light Shading - Accent 11"/>
    <w:basedOn w:val="TableNormal"/>
    <w:uiPriority w:val="99"/>
    <w:semiHidden/>
    <w:rsid w:val="00E25A11"/>
    <w:pPr>
      <w:spacing w:before="240" w:after="0" w:line="240" w:lineRule="auto"/>
      <w:ind w:left="1021" w:hanging="1021"/>
    </w:pPr>
    <w:rPr>
      <w:color w:val="2E74B5" w:themeColor="accent1" w:themeShade="BF"/>
    </w:rPr>
    <w:tblPr>
      <w:tblStyleRowBandSize w:val="1"/>
      <w:tblStyleColBandSize w:val="1"/>
      <w:tblBorders>
        <w:top w:val="single" w:sz="8" w:space="0" w:color="5B9BD5" w:themeColor="accent1"/>
        <w:bottom w:val="single" w:sz="8" w:space="0" w:color="5B9BD5" w:themeColor="accent1"/>
      </w:tblBorders>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table" w:styleId="LightShading-Accent3">
    <w:name w:val="Light Shading Accent 3"/>
    <w:basedOn w:val="TableNormal"/>
    <w:uiPriority w:val="99"/>
    <w:semiHidden/>
    <w:rsid w:val="00E25A11"/>
    <w:pPr>
      <w:spacing w:before="240" w:after="0" w:line="240" w:lineRule="auto"/>
      <w:ind w:left="1021" w:hanging="1021"/>
    </w:pPr>
    <w:rPr>
      <w:color w:val="7B7B7B" w:themeColor="accent3" w:themeShade="BF"/>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LightShading-Accent4">
    <w:name w:val="Light Shading Accent 4"/>
    <w:basedOn w:val="TableNormal"/>
    <w:uiPriority w:val="99"/>
    <w:semiHidden/>
    <w:rsid w:val="00E25A11"/>
    <w:pPr>
      <w:spacing w:before="240" w:after="0" w:line="240" w:lineRule="auto"/>
      <w:ind w:left="1021" w:hanging="1021"/>
    </w:pPr>
    <w:rPr>
      <w:color w:val="BF8F00" w:themeColor="accent4" w:themeShade="BF"/>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LightShading-Accent5">
    <w:name w:val="Light Shading Accent 5"/>
    <w:basedOn w:val="TableNormal"/>
    <w:uiPriority w:val="99"/>
    <w:semiHidden/>
    <w:rsid w:val="00E25A11"/>
    <w:pPr>
      <w:spacing w:before="240" w:after="0" w:line="240" w:lineRule="auto"/>
      <w:ind w:left="1021" w:hanging="1021"/>
    </w:pPr>
    <w:rPr>
      <w:color w:val="2F5496" w:themeColor="accent5" w:themeShade="BF"/>
    </w:rPr>
    <w:tblPr>
      <w:tblStyleRowBandSize w:val="1"/>
      <w:tblStyleColBandSize w:val="1"/>
      <w:tblBorders>
        <w:top w:val="single" w:sz="8" w:space="0" w:color="4472C4" w:themeColor="accent5"/>
        <w:bottom w:val="single" w:sz="8" w:space="0" w:color="4472C4" w:themeColor="accent5"/>
      </w:tblBorders>
    </w:tblPr>
    <w:tblStylePr w:type="fir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la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left w:val="nil"/>
          <w:right w:val="nil"/>
          <w:insideH w:val="nil"/>
          <w:insideV w:val="nil"/>
        </w:tcBorders>
        <w:shd w:val="clear" w:color="auto" w:fill="D0DBF0" w:themeFill="accent5" w:themeFillTint="3F"/>
      </w:tcPr>
    </w:tblStylePr>
  </w:style>
  <w:style w:type="table" w:styleId="LightShading-Accent6">
    <w:name w:val="Light Shading Accent 6"/>
    <w:basedOn w:val="TableNormal"/>
    <w:uiPriority w:val="99"/>
    <w:semiHidden/>
    <w:rsid w:val="00E25A11"/>
    <w:pPr>
      <w:spacing w:before="240" w:after="0" w:line="240" w:lineRule="auto"/>
      <w:ind w:left="1021" w:hanging="1021"/>
    </w:pPr>
    <w:rPr>
      <w:color w:val="538135" w:themeColor="accent6" w:themeShade="BF"/>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table" w:customStyle="1" w:styleId="MediumGrid11">
    <w:name w:val="Medium Grid 11"/>
    <w:basedOn w:val="TableNormal"/>
    <w:uiPriority w:val="99"/>
    <w:semiHidden/>
    <w:rsid w:val="00E25A11"/>
    <w:pPr>
      <w:spacing w:before="240" w:after="0" w:line="240" w:lineRule="auto"/>
      <w:ind w:left="1021" w:hanging="1021"/>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99"/>
    <w:semiHidden/>
    <w:rsid w:val="00E25A11"/>
    <w:pPr>
      <w:spacing w:before="240" w:after="0" w:line="240" w:lineRule="auto"/>
      <w:ind w:left="1021" w:hanging="1021"/>
    </w:p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insideV w:val="single" w:sz="8" w:space="0" w:color="84B3DF" w:themeColor="accent1" w:themeTint="BF"/>
      </w:tblBorders>
    </w:tblPr>
    <w:tcPr>
      <w:shd w:val="clear" w:color="auto" w:fill="D6E6F4" w:themeFill="accent1" w:themeFillTint="3F"/>
    </w:tcPr>
    <w:tblStylePr w:type="firstRow">
      <w:rPr>
        <w:b/>
        <w:bCs/>
      </w:rPr>
    </w:tblStylePr>
    <w:tblStylePr w:type="lastRow">
      <w:rPr>
        <w:b/>
        <w:bCs/>
      </w:rPr>
      <w:tblPr/>
      <w:tcPr>
        <w:tcBorders>
          <w:top w:val="single" w:sz="18" w:space="0" w:color="84B3DF" w:themeColor="accent1" w:themeTint="BF"/>
        </w:tcBorders>
      </w:tcPr>
    </w:tblStylePr>
    <w:tblStylePr w:type="firstCol">
      <w:rPr>
        <w:b/>
        <w:bCs/>
      </w:rPr>
    </w:tblStylePr>
    <w:tblStylePr w:type="lastCol">
      <w:rPr>
        <w:b/>
        <w:bCs/>
      </w:r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styleId="MediumGrid1-Accent2">
    <w:name w:val="Medium Grid 1 Accent 2"/>
    <w:basedOn w:val="TableNormal"/>
    <w:uiPriority w:val="99"/>
    <w:semiHidden/>
    <w:rsid w:val="00E25A11"/>
    <w:pPr>
      <w:spacing w:before="240" w:after="0" w:line="240" w:lineRule="auto"/>
      <w:ind w:left="1021" w:hanging="1021"/>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MediumGrid1-Accent3">
    <w:name w:val="Medium Grid 1 Accent 3"/>
    <w:basedOn w:val="TableNormal"/>
    <w:uiPriority w:val="99"/>
    <w:semiHidden/>
    <w:rsid w:val="00E25A11"/>
    <w:pPr>
      <w:spacing w:before="240" w:after="0" w:line="240" w:lineRule="auto"/>
      <w:ind w:left="1021" w:hanging="1021"/>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MediumGrid1-Accent4">
    <w:name w:val="Medium Grid 1 Accent 4"/>
    <w:basedOn w:val="TableNormal"/>
    <w:uiPriority w:val="99"/>
    <w:semiHidden/>
    <w:rsid w:val="00E25A11"/>
    <w:pPr>
      <w:spacing w:before="240" w:after="0" w:line="240" w:lineRule="auto"/>
      <w:ind w:left="1021" w:hanging="1021"/>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MediumGrid1-Accent5">
    <w:name w:val="Medium Grid 1 Accent 5"/>
    <w:basedOn w:val="TableNormal"/>
    <w:uiPriority w:val="99"/>
    <w:semiHidden/>
    <w:rsid w:val="00E25A11"/>
    <w:pPr>
      <w:spacing w:before="240" w:after="0" w:line="240" w:lineRule="auto"/>
      <w:ind w:left="1021" w:hanging="1021"/>
    </w:pPr>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insideV w:val="single" w:sz="8" w:space="0" w:color="7295D2" w:themeColor="accent5" w:themeTint="BF"/>
      </w:tblBorders>
    </w:tblPr>
    <w:tcPr>
      <w:shd w:val="clear" w:color="auto" w:fill="D0DBF0" w:themeFill="accent5" w:themeFillTint="3F"/>
    </w:tcPr>
    <w:tblStylePr w:type="firstRow">
      <w:rPr>
        <w:b/>
        <w:bCs/>
      </w:rPr>
    </w:tblStylePr>
    <w:tblStylePr w:type="lastRow">
      <w:rPr>
        <w:b/>
        <w:bCs/>
      </w:rPr>
      <w:tblPr/>
      <w:tcPr>
        <w:tcBorders>
          <w:top w:val="single" w:sz="18" w:space="0" w:color="7295D2" w:themeColor="accent5" w:themeTint="BF"/>
        </w:tcBorders>
      </w:tcPr>
    </w:tblStylePr>
    <w:tblStylePr w:type="firstCol">
      <w:rPr>
        <w:b/>
        <w:bCs/>
      </w:rPr>
    </w:tblStylePr>
    <w:tblStylePr w:type="lastCol">
      <w:rPr>
        <w:b/>
        <w:bCs/>
      </w:r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styleId="MediumGrid1-Accent6">
    <w:name w:val="Medium Grid 1 Accent 6"/>
    <w:basedOn w:val="TableNormal"/>
    <w:uiPriority w:val="99"/>
    <w:semiHidden/>
    <w:rsid w:val="00E25A11"/>
    <w:pPr>
      <w:spacing w:before="240" w:after="0" w:line="240" w:lineRule="auto"/>
      <w:ind w:left="1021" w:hanging="1021"/>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customStyle="1" w:styleId="MediumGrid21">
    <w:name w:val="Medium Grid 21"/>
    <w:basedOn w:val="TableNormal"/>
    <w:uiPriority w:val="99"/>
    <w:semiHidden/>
    <w:rsid w:val="00E25A11"/>
    <w:pPr>
      <w:spacing w:before="240" w:after="0" w:line="240" w:lineRule="auto"/>
      <w:ind w:left="1021" w:hanging="1021"/>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99"/>
    <w:semiHidden/>
    <w:rsid w:val="00E25A11"/>
    <w:pPr>
      <w:spacing w:before="240" w:after="0" w:line="240" w:lineRule="auto"/>
      <w:ind w:left="1021" w:hanging="1021"/>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cPr>
      <w:shd w:val="clear" w:color="auto" w:fill="D6E6F4" w:themeFill="accent1" w:themeFillTint="3F"/>
    </w:tcPr>
    <w:tblStylePr w:type="firstRow">
      <w:rPr>
        <w:b/>
        <w:bCs/>
        <w:color w:val="000000" w:themeColor="text1"/>
      </w:rPr>
      <w:tblPr/>
      <w:tcPr>
        <w:shd w:val="clear" w:color="auto" w:fill="EEF5FB"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1" w:themeFillTint="33"/>
      </w:tcPr>
    </w:tblStylePr>
    <w:tblStylePr w:type="band1Vert">
      <w:tblPr/>
      <w:tcPr>
        <w:shd w:val="clear" w:color="auto" w:fill="ADCCEA" w:themeFill="accent1" w:themeFillTint="7F"/>
      </w:tcPr>
    </w:tblStylePr>
    <w:tblStylePr w:type="band1Horz">
      <w:tblPr/>
      <w:tcPr>
        <w:tcBorders>
          <w:insideH w:val="single" w:sz="6" w:space="0" w:color="5B9BD5" w:themeColor="accent1"/>
          <w:insideV w:val="single" w:sz="6" w:space="0" w:color="5B9BD5" w:themeColor="accent1"/>
        </w:tcBorders>
        <w:shd w:val="clear" w:color="auto" w:fill="ADCCEA"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99"/>
    <w:semiHidden/>
    <w:rsid w:val="00E25A11"/>
    <w:pPr>
      <w:spacing w:before="240" w:after="0" w:line="240" w:lineRule="auto"/>
      <w:ind w:left="1021" w:hanging="1021"/>
    </w:pPr>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99"/>
    <w:semiHidden/>
    <w:rsid w:val="00E25A11"/>
    <w:pPr>
      <w:spacing w:before="240" w:after="0" w:line="240" w:lineRule="auto"/>
      <w:ind w:left="1021" w:hanging="1021"/>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99"/>
    <w:semiHidden/>
    <w:rsid w:val="00E25A11"/>
    <w:pPr>
      <w:spacing w:before="240" w:after="0" w:line="240" w:lineRule="auto"/>
      <w:ind w:left="1021" w:hanging="1021"/>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99"/>
    <w:semiHidden/>
    <w:rsid w:val="00E25A11"/>
    <w:pPr>
      <w:spacing w:before="240" w:after="0" w:line="240" w:lineRule="auto"/>
      <w:ind w:left="1021" w:hanging="1021"/>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cPr>
      <w:shd w:val="clear" w:color="auto" w:fill="D0DBF0" w:themeFill="accent5" w:themeFillTint="3F"/>
    </w:tcPr>
    <w:tblStylePr w:type="firstRow">
      <w:rPr>
        <w:b/>
        <w:bCs/>
        <w:color w:val="000000" w:themeColor="text1"/>
      </w:rPr>
      <w:tblPr/>
      <w:tcPr>
        <w:shd w:val="clear" w:color="auto" w:fill="ECF1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5" w:themeFillTint="33"/>
      </w:tcPr>
    </w:tblStylePr>
    <w:tblStylePr w:type="band1Vert">
      <w:tblPr/>
      <w:tcPr>
        <w:shd w:val="clear" w:color="auto" w:fill="A1B8E1" w:themeFill="accent5" w:themeFillTint="7F"/>
      </w:tcPr>
    </w:tblStylePr>
    <w:tblStylePr w:type="band1Horz">
      <w:tblPr/>
      <w:tcPr>
        <w:tcBorders>
          <w:insideH w:val="single" w:sz="6" w:space="0" w:color="4472C4" w:themeColor="accent5"/>
          <w:insideV w:val="single" w:sz="6" w:space="0" w:color="4472C4" w:themeColor="accent5"/>
        </w:tcBorders>
        <w:shd w:val="clear" w:color="auto" w:fill="A1B8E1"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99"/>
    <w:semiHidden/>
    <w:rsid w:val="00E25A11"/>
    <w:pPr>
      <w:spacing w:before="240" w:after="0" w:line="240" w:lineRule="auto"/>
      <w:ind w:left="1021" w:hanging="1021"/>
    </w:pPr>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customStyle="1" w:styleId="MediumGrid31">
    <w:name w:val="Medium Grid 31"/>
    <w:basedOn w:val="TableNormal"/>
    <w:uiPriority w:val="99"/>
    <w:semiHidden/>
    <w:rsid w:val="00E25A11"/>
    <w:pPr>
      <w:spacing w:before="240" w:after="0" w:line="240" w:lineRule="auto"/>
      <w:ind w:left="1021" w:hanging="1021"/>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99"/>
    <w:semiHidden/>
    <w:rsid w:val="00E25A11"/>
    <w:pPr>
      <w:spacing w:before="240" w:after="0" w:line="240" w:lineRule="auto"/>
      <w:ind w:left="1021" w:hanging="1021"/>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1" w:themeFillTint="7F"/>
      </w:tcPr>
    </w:tblStylePr>
  </w:style>
  <w:style w:type="table" w:styleId="MediumGrid3-Accent2">
    <w:name w:val="Medium Grid 3 Accent 2"/>
    <w:basedOn w:val="TableNormal"/>
    <w:uiPriority w:val="99"/>
    <w:semiHidden/>
    <w:rsid w:val="00E25A11"/>
    <w:pPr>
      <w:spacing w:before="240" w:after="0" w:line="240" w:lineRule="auto"/>
      <w:ind w:left="1021" w:hanging="1021"/>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MediumGrid3-Accent3">
    <w:name w:val="Medium Grid 3 Accent 3"/>
    <w:basedOn w:val="TableNormal"/>
    <w:uiPriority w:val="99"/>
    <w:semiHidden/>
    <w:rsid w:val="00E25A11"/>
    <w:pPr>
      <w:spacing w:before="240" w:after="0" w:line="240" w:lineRule="auto"/>
      <w:ind w:left="1021" w:hanging="1021"/>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MediumGrid3-Accent4">
    <w:name w:val="Medium Grid 3 Accent 4"/>
    <w:basedOn w:val="TableNormal"/>
    <w:uiPriority w:val="99"/>
    <w:semiHidden/>
    <w:rsid w:val="00E25A11"/>
    <w:pPr>
      <w:spacing w:before="240" w:after="0" w:line="240" w:lineRule="auto"/>
      <w:ind w:left="1021" w:hanging="1021"/>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MediumGrid3-Accent5">
    <w:name w:val="Medium Grid 3 Accent 5"/>
    <w:basedOn w:val="TableNormal"/>
    <w:uiPriority w:val="99"/>
    <w:semiHidden/>
    <w:rsid w:val="00E25A11"/>
    <w:pPr>
      <w:spacing w:before="240" w:after="0" w:line="240" w:lineRule="auto"/>
      <w:ind w:left="1021" w:hanging="1021"/>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5" w:themeFillTint="7F"/>
      </w:tcPr>
    </w:tblStylePr>
  </w:style>
  <w:style w:type="table" w:styleId="MediumGrid3-Accent6">
    <w:name w:val="Medium Grid 3 Accent 6"/>
    <w:basedOn w:val="TableNormal"/>
    <w:uiPriority w:val="99"/>
    <w:semiHidden/>
    <w:rsid w:val="00E25A11"/>
    <w:pPr>
      <w:spacing w:before="240" w:after="0" w:line="240" w:lineRule="auto"/>
      <w:ind w:left="1021" w:hanging="1021"/>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customStyle="1" w:styleId="MediumList11">
    <w:name w:val="Medium List 11"/>
    <w:basedOn w:val="TableNormal"/>
    <w:uiPriority w:val="99"/>
    <w:semiHidden/>
    <w:rsid w:val="00E25A11"/>
    <w:pPr>
      <w:spacing w:before="240" w:after="0" w:line="240" w:lineRule="auto"/>
      <w:ind w:left="1021" w:hanging="1021"/>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MediumList1-Accent11">
    <w:name w:val="Medium List 1 - Accent 11"/>
    <w:basedOn w:val="TableNormal"/>
    <w:uiPriority w:val="99"/>
    <w:semiHidden/>
    <w:rsid w:val="00E25A11"/>
    <w:pPr>
      <w:spacing w:before="240" w:after="0" w:line="240" w:lineRule="auto"/>
      <w:ind w:left="1021" w:hanging="1021"/>
    </w:pPr>
    <w:rPr>
      <w:color w:val="000000" w:themeColor="text1"/>
    </w:rPr>
    <w:tblPr>
      <w:tblStyleRowBandSize w:val="1"/>
      <w:tblStyleColBandSize w:val="1"/>
      <w:tblBorders>
        <w:top w:val="single" w:sz="8" w:space="0" w:color="5B9BD5" w:themeColor="accent1"/>
        <w:bottom w:val="single" w:sz="8" w:space="0" w:color="5B9BD5" w:themeColor="accent1"/>
      </w:tblBorders>
    </w:tblPr>
    <w:tblStylePr w:type="firstRow">
      <w:rPr>
        <w:rFonts w:asciiTheme="majorHAnsi" w:eastAsiaTheme="majorEastAsia" w:hAnsiTheme="majorHAnsi" w:cstheme="majorBidi"/>
      </w:rPr>
      <w:tblPr/>
      <w:tcPr>
        <w:tcBorders>
          <w:top w:val="nil"/>
          <w:bottom w:val="single" w:sz="8" w:space="0" w:color="5B9BD5" w:themeColor="accent1"/>
        </w:tcBorders>
      </w:tcPr>
    </w:tblStylePr>
    <w:tblStylePr w:type="lastRow">
      <w:rPr>
        <w:b/>
        <w:bCs/>
        <w:color w:val="44546A" w:themeColor="text2"/>
      </w:rPr>
      <w:tblPr/>
      <w:tcPr>
        <w:tcBorders>
          <w:top w:val="single" w:sz="8" w:space="0" w:color="5B9BD5" w:themeColor="accent1"/>
          <w:bottom w:val="single" w:sz="8" w:space="0" w:color="5B9BD5" w:themeColor="accent1"/>
        </w:tcBorders>
      </w:tcPr>
    </w:tblStylePr>
    <w:tblStylePr w:type="firstCol">
      <w:rPr>
        <w:b/>
        <w:bCs/>
      </w:rPr>
    </w:tblStylePr>
    <w:tblStylePr w:type="lastCol">
      <w:rPr>
        <w:b/>
        <w:bCs/>
      </w:rPr>
      <w:tblPr/>
      <w:tcPr>
        <w:tcBorders>
          <w:top w:val="single" w:sz="8" w:space="0" w:color="5B9BD5" w:themeColor="accent1"/>
          <w:bottom w:val="single" w:sz="8" w:space="0" w:color="5B9BD5" w:themeColor="accent1"/>
        </w:tcBorders>
      </w:tcPr>
    </w:tblStylePr>
    <w:tblStylePr w:type="band1Vert">
      <w:tblPr/>
      <w:tcPr>
        <w:shd w:val="clear" w:color="auto" w:fill="D6E6F4" w:themeFill="accent1" w:themeFillTint="3F"/>
      </w:tcPr>
    </w:tblStylePr>
    <w:tblStylePr w:type="band1Horz">
      <w:tblPr/>
      <w:tcPr>
        <w:shd w:val="clear" w:color="auto" w:fill="D6E6F4" w:themeFill="accent1" w:themeFillTint="3F"/>
      </w:tcPr>
    </w:tblStylePr>
  </w:style>
  <w:style w:type="table" w:styleId="MediumList1-Accent2">
    <w:name w:val="Medium List 1 Accent 2"/>
    <w:basedOn w:val="TableNormal"/>
    <w:uiPriority w:val="99"/>
    <w:semiHidden/>
    <w:rsid w:val="00E25A11"/>
    <w:pPr>
      <w:spacing w:before="240" w:after="0" w:line="240" w:lineRule="auto"/>
      <w:ind w:left="1021" w:hanging="1021"/>
    </w:pPr>
    <w:rPr>
      <w:color w:val="000000" w:themeColor="text1"/>
    </w:r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MediumList1-Accent3">
    <w:name w:val="Medium List 1 Accent 3"/>
    <w:basedOn w:val="TableNormal"/>
    <w:uiPriority w:val="99"/>
    <w:semiHidden/>
    <w:rsid w:val="00E25A11"/>
    <w:pPr>
      <w:spacing w:before="240" w:after="0" w:line="240" w:lineRule="auto"/>
      <w:ind w:left="1021" w:hanging="1021"/>
    </w:pPr>
    <w:rPr>
      <w:color w:val="000000" w:themeColor="text1"/>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MediumList1-Accent4">
    <w:name w:val="Medium List 1 Accent 4"/>
    <w:basedOn w:val="TableNormal"/>
    <w:uiPriority w:val="99"/>
    <w:semiHidden/>
    <w:rsid w:val="00E25A11"/>
    <w:pPr>
      <w:spacing w:before="240" w:after="0" w:line="240" w:lineRule="auto"/>
      <w:ind w:left="1021" w:hanging="1021"/>
    </w:pPr>
    <w:rPr>
      <w:color w:val="000000" w:themeColor="text1"/>
    </w:r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MediumList1-Accent5">
    <w:name w:val="Medium List 1 Accent 5"/>
    <w:basedOn w:val="TableNormal"/>
    <w:uiPriority w:val="99"/>
    <w:semiHidden/>
    <w:rsid w:val="00E25A11"/>
    <w:pPr>
      <w:spacing w:before="240" w:after="0" w:line="240" w:lineRule="auto"/>
      <w:ind w:left="1021" w:hanging="1021"/>
    </w:pPr>
    <w:rPr>
      <w:color w:val="000000" w:themeColor="text1"/>
    </w:rPr>
    <w:tblPr>
      <w:tblStyleRowBandSize w:val="1"/>
      <w:tblStyleColBandSize w:val="1"/>
      <w:tblBorders>
        <w:top w:val="single" w:sz="8" w:space="0" w:color="4472C4" w:themeColor="accent5"/>
        <w:bottom w:val="single" w:sz="8" w:space="0" w:color="4472C4" w:themeColor="accent5"/>
      </w:tblBorders>
    </w:tblPr>
    <w:tblStylePr w:type="firstRow">
      <w:rPr>
        <w:rFonts w:asciiTheme="majorHAnsi" w:eastAsiaTheme="majorEastAsia" w:hAnsiTheme="majorHAnsi" w:cstheme="majorBidi"/>
      </w:rPr>
      <w:tblPr/>
      <w:tcPr>
        <w:tcBorders>
          <w:top w:val="nil"/>
          <w:bottom w:val="single" w:sz="8" w:space="0" w:color="4472C4" w:themeColor="accent5"/>
        </w:tcBorders>
      </w:tcPr>
    </w:tblStylePr>
    <w:tblStylePr w:type="lastRow">
      <w:rPr>
        <w:b/>
        <w:bCs/>
        <w:color w:val="44546A" w:themeColor="text2"/>
      </w:rPr>
      <w:tblPr/>
      <w:tcPr>
        <w:tcBorders>
          <w:top w:val="single" w:sz="8" w:space="0" w:color="4472C4" w:themeColor="accent5"/>
          <w:bottom w:val="single" w:sz="8" w:space="0" w:color="4472C4" w:themeColor="accent5"/>
        </w:tcBorders>
      </w:tcPr>
    </w:tblStylePr>
    <w:tblStylePr w:type="firstCol">
      <w:rPr>
        <w:b/>
        <w:bCs/>
      </w:rPr>
    </w:tblStylePr>
    <w:tblStylePr w:type="lastCol">
      <w:rPr>
        <w:b/>
        <w:bCs/>
      </w:rPr>
      <w:tblPr/>
      <w:tcPr>
        <w:tcBorders>
          <w:top w:val="single" w:sz="8" w:space="0" w:color="4472C4" w:themeColor="accent5"/>
          <w:bottom w:val="single" w:sz="8" w:space="0" w:color="4472C4" w:themeColor="accent5"/>
        </w:tcBorders>
      </w:tcPr>
    </w:tblStylePr>
    <w:tblStylePr w:type="band1Vert">
      <w:tblPr/>
      <w:tcPr>
        <w:shd w:val="clear" w:color="auto" w:fill="D0DBF0" w:themeFill="accent5" w:themeFillTint="3F"/>
      </w:tcPr>
    </w:tblStylePr>
    <w:tblStylePr w:type="band1Horz">
      <w:tblPr/>
      <w:tcPr>
        <w:shd w:val="clear" w:color="auto" w:fill="D0DBF0" w:themeFill="accent5" w:themeFillTint="3F"/>
      </w:tcPr>
    </w:tblStylePr>
  </w:style>
  <w:style w:type="table" w:styleId="MediumList1-Accent6">
    <w:name w:val="Medium List 1 Accent 6"/>
    <w:basedOn w:val="TableNormal"/>
    <w:uiPriority w:val="99"/>
    <w:semiHidden/>
    <w:rsid w:val="00E25A11"/>
    <w:pPr>
      <w:spacing w:before="240" w:after="0" w:line="240" w:lineRule="auto"/>
      <w:ind w:left="1021" w:hanging="1021"/>
    </w:pPr>
    <w:rPr>
      <w:color w:val="000000" w:themeColor="text1"/>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customStyle="1" w:styleId="MediumList21">
    <w:name w:val="Medium List 21"/>
    <w:basedOn w:val="TableNormal"/>
    <w:uiPriority w:val="99"/>
    <w:semiHidden/>
    <w:rsid w:val="00E25A11"/>
    <w:pPr>
      <w:spacing w:before="240" w:after="0" w:line="240" w:lineRule="auto"/>
      <w:ind w:left="1021" w:hanging="1021"/>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99"/>
    <w:semiHidden/>
    <w:rsid w:val="00E25A11"/>
    <w:pPr>
      <w:spacing w:before="240" w:after="0" w:line="240" w:lineRule="auto"/>
      <w:ind w:left="1021" w:hanging="1021"/>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rPr>
        <w:sz w:val="24"/>
        <w:szCs w:val="24"/>
      </w:rPr>
      <w:tblPr/>
      <w:tcPr>
        <w:tcBorders>
          <w:top w:val="nil"/>
          <w:left w:val="nil"/>
          <w:bottom w:val="single" w:sz="24" w:space="0" w:color="5B9BD5" w:themeColor="accent1"/>
          <w:right w:val="nil"/>
          <w:insideH w:val="nil"/>
          <w:insideV w:val="nil"/>
        </w:tcBorders>
        <w:shd w:val="clear" w:color="auto" w:fill="FFFFFF" w:themeFill="background1"/>
      </w:tcPr>
    </w:tblStylePr>
    <w:tblStylePr w:type="lastRow">
      <w:tblPr/>
      <w:tcPr>
        <w:tcBorders>
          <w:top w:val="single" w:sz="8" w:space="0" w:color="5B9BD5"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1"/>
          <w:insideH w:val="nil"/>
          <w:insideV w:val="nil"/>
        </w:tcBorders>
        <w:shd w:val="clear" w:color="auto" w:fill="FFFFFF" w:themeFill="background1"/>
      </w:tcPr>
    </w:tblStylePr>
    <w:tblStylePr w:type="lastCol">
      <w:tblPr/>
      <w:tcPr>
        <w:tcBorders>
          <w:top w:val="nil"/>
          <w:left w:val="single" w:sz="8" w:space="0" w:color="5B9BD5"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top w:val="nil"/>
          <w:bottom w:val="nil"/>
          <w:insideH w:val="nil"/>
          <w:insideV w:val="nil"/>
        </w:tcBorders>
        <w:shd w:val="clear" w:color="auto" w:fill="D6E6F4"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99"/>
    <w:semiHidden/>
    <w:rsid w:val="00E25A11"/>
    <w:pPr>
      <w:spacing w:before="240" w:after="0" w:line="240" w:lineRule="auto"/>
      <w:ind w:left="1021" w:hanging="1021"/>
    </w:pPr>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single" w:sz="8" w:space="0" w:color="ED7D31"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99"/>
    <w:semiHidden/>
    <w:rsid w:val="00E25A11"/>
    <w:pPr>
      <w:spacing w:before="240" w:after="0" w:line="240" w:lineRule="auto"/>
      <w:ind w:left="1021" w:hanging="1021"/>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single" w:sz="8" w:space="0" w:color="A5A5A5"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99"/>
    <w:semiHidden/>
    <w:rsid w:val="00E25A11"/>
    <w:pPr>
      <w:spacing w:before="240" w:after="0" w:line="240" w:lineRule="auto"/>
      <w:ind w:left="1021" w:hanging="1021"/>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single" w:sz="8" w:space="0" w:color="FFC00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99"/>
    <w:semiHidden/>
    <w:rsid w:val="00E25A11"/>
    <w:pPr>
      <w:spacing w:before="240" w:after="0" w:line="240" w:lineRule="auto"/>
      <w:ind w:left="1021" w:hanging="1021"/>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rPr>
        <w:sz w:val="24"/>
        <w:szCs w:val="24"/>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tblPr/>
      <w:tcPr>
        <w:tcBorders>
          <w:top w:val="single" w:sz="8" w:space="0" w:color="4472C4"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5"/>
          <w:insideH w:val="nil"/>
          <w:insideV w:val="nil"/>
        </w:tcBorders>
        <w:shd w:val="clear" w:color="auto" w:fill="FFFFFF" w:themeFill="background1"/>
      </w:tcPr>
    </w:tblStylePr>
    <w:tblStylePr w:type="lastCol">
      <w:tblPr/>
      <w:tcPr>
        <w:tcBorders>
          <w:top w:val="nil"/>
          <w:left w:val="single" w:sz="8" w:space="0" w:color="4472C4"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top w:val="nil"/>
          <w:bottom w:val="nil"/>
          <w:insideH w:val="nil"/>
          <w:insideV w:val="nil"/>
        </w:tcBorders>
        <w:shd w:val="clear" w:color="auto" w:fill="D0DB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99"/>
    <w:semiHidden/>
    <w:rsid w:val="00E25A11"/>
    <w:pPr>
      <w:spacing w:before="240" w:after="0" w:line="240" w:lineRule="auto"/>
      <w:ind w:left="1021" w:hanging="1021"/>
    </w:pPr>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single" w:sz="8" w:space="0" w:color="70AD47"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Shading11">
    <w:name w:val="Medium Shading 11"/>
    <w:basedOn w:val="TableNormal"/>
    <w:uiPriority w:val="99"/>
    <w:semiHidden/>
    <w:rsid w:val="00E25A11"/>
    <w:pPr>
      <w:spacing w:before="240" w:after="0" w:line="240" w:lineRule="auto"/>
      <w:ind w:left="1021" w:hanging="1021"/>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MediumShading1-Accent11">
    <w:name w:val="Medium Shading 1 - Accent 11"/>
    <w:basedOn w:val="TableNormal"/>
    <w:uiPriority w:val="99"/>
    <w:semiHidden/>
    <w:rsid w:val="00E25A11"/>
    <w:pPr>
      <w:spacing w:before="240" w:after="0" w:line="240" w:lineRule="auto"/>
      <w:ind w:left="1021" w:hanging="1021"/>
    </w:p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99"/>
    <w:semiHidden/>
    <w:rsid w:val="00E25A11"/>
    <w:pPr>
      <w:spacing w:before="240" w:after="0" w:line="240" w:lineRule="auto"/>
      <w:ind w:left="1021" w:hanging="1021"/>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99"/>
    <w:semiHidden/>
    <w:rsid w:val="00E25A11"/>
    <w:pPr>
      <w:spacing w:before="240" w:after="0" w:line="240" w:lineRule="auto"/>
      <w:ind w:left="1021" w:hanging="1021"/>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99"/>
    <w:semiHidden/>
    <w:rsid w:val="00E25A11"/>
    <w:pPr>
      <w:spacing w:before="240" w:after="0" w:line="240" w:lineRule="auto"/>
      <w:ind w:left="1021" w:hanging="1021"/>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99"/>
    <w:semiHidden/>
    <w:rsid w:val="00E25A11"/>
    <w:pPr>
      <w:spacing w:before="240" w:after="0" w:line="240" w:lineRule="auto"/>
      <w:ind w:left="1021" w:hanging="1021"/>
    </w:pPr>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tblBorders>
    </w:tblPr>
    <w:tblStylePr w:type="firstRow">
      <w:pPr>
        <w:spacing w:before="0" w:after="0" w:line="240" w:lineRule="auto"/>
      </w:pPr>
      <w:rPr>
        <w:b/>
        <w:bCs/>
        <w:color w:val="FFFFFF" w:themeColor="background1"/>
      </w:rPr>
      <w:tblPr/>
      <w:tcPr>
        <w:tc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shd w:val="clear" w:color="auto" w:fill="4472C4" w:themeFill="accent5"/>
      </w:tcPr>
    </w:tblStylePr>
    <w:tblStylePr w:type="lastRow">
      <w:pPr>
        <w:spacing w:before="0" w:after="0" w:line="240" w:lineRule="auto"/>
      </w:pPr>
      <w:rPr>
        <w:b/>
        <w:bCs/>
      </w:rPr>
      <w:tblPr/>
      <w:tcPr>
        <w:tcBorders>
          <w:top w:val="double" w:sz="6"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5" w:themeFillTint="3F"/>
      </w:tcPr>
    </w:tblStylePr>
    <w:tblStylePr w:type="band1Horz">
      <w:tblPr/>
      <w:tcPr>
        <w:tcBorders>
          <w:insideH w:val="nil"/>
          <w:insideV w:val="nil"/>
        </w:tcBorders>
        <w:shd w:val="clear" w:color="auto" w:fill="D0DBF0"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99"/>
    <w:semiHidden/>
    <w:rsid w:val="00E25A11"/>
    <w:pPr>
      <w:spacing w:before="240" w:after="0" w:line="240" w:lineRule="auto"/>
      <w:ind w:left="1021" w:hanging="1021"/>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customStyle="1" w:styleId="MediumShading21">
    <w:name w:val="Medium Shading 21"/>
    <w:basedOn w:val="TableNormal"/>
    <w:uiPriority w:val="99"/>
    <w:semiHidden/>
    <w:rsid w:val="00E25A11"/>
    <w:pPr>
      <w:spacing w:before="240" w:after="0" w:line="240" w:lineRule="auto"/>
      <w:ind w:left="1021" w:hanging="1021"/>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11">
    <w:name w:val="Medium Shading 2 - Accent 11"/>
    <w:basedOn w:val="TableNormal"/>
    <w:uiPriority w:val="99"/>
    <w:semiHidden/>
    <w:rsid w:val="00E25A11"/>
    <w:pPr>
      <w:spacing w:before="240" w:after="0" w:line="240" w:lineRule="auto"/>
      <w:ind w:left="1021" w:hanging="1021"/>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1"/>
      </w:tcPr>
    </w:tblStylePr>
    <w:tblStylePr w:type="lastCol">
      <w:rPr>
        <w:b/>
        <w:bCs/>
        <w:color w:val="FFFFFF" w:themeColor="background1"/>
      </w:rPr>
      <w:tblPr/>
      <w:tcPr>
        <w:tcBorders>
          <w:left w:val="nil"/>
          <w:right w:val="nil"/>
          <w:insideH w:val="nil"/>
          <w:insideV w:val="nil"/>
        </w:tcBorders>
        <w:shd w:val="clear" w:color="auto" w:fill="5B9BD5"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99"/>
    <w:semiHidden/>
    <w:rsid w:val="00E25A11"/>
    <w:pPr>
      <w:spacing w:before="240" w:after="0" w:line="240" w:lineRule="auto"/>
      <w:ind w:left="1021" w:hanging="1021"/>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99"/>
    <w:semiHidden/>
    <w:rsid w:val="00E25A11"/>
    <w:pPr>
      <w:spacing w:before="240" w:after="0" w:line="240" w:lineRule="auto"/>
      <w:ind w:left="1021" w:hanging="1021"/>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99"/>
    <w:semiHidden/>
    <w:rsid w:val="00E25A11"/>
    <w:pPr>
      <w:spacing w:before="240" w:after="0" w:line="240" w:lineRule="auto"/>
      <w:ind w:left="1021" w:hanging="1021"/>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99"/>
    <w:semiHidden/>
    <w:rsid w:val="00E25A11"/>
    <w:pPr>
      <w:spacing w:before="240" w:after="0" w:line="240" w:lineRule="auto"/>
      <w:ind w:left="1021" w:hanging="1021"/>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5"/>
      </w:tcPr>
    </w:tblStylePr>
    <w:tblStylePr w:type="lastCol">
      <w:rPr>
        <w:b/>
        <w:bCs/>
        <w:color w:val="FFFFFF" w:themeColor="background1"/>
      </w:rPr>
      <w:tblPr/>
      <w:tcPr>
        <w:tcBorders>
          <w:left w:val="nil"/>
          <w:right w:val="nil"/>
          <w:insideH w:val="nil"/>
          <w:insideV w:val="nil"/>
        </w:tcBorders>
        <w:shd w:val="clear" w:color="auto" w:fill="4472C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99"/>
    <w:semiHidden/>
    <w:rsid w:val="00E25A11"/>
    <w:pPr>
      <w:spacing w:before="240" w:after="0" w:line="240" w:lineRule="auto"/>
      <w:ind w:left="1021" w:hanging="1021"/>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ableColorful1">
    <w:name w:val="Table Colorful 1"/>
    <w:basedOn w:val="TableNormal"/>
    <w:uiPriority w:val="99"/>
    <w:semiHidden/>
    <w:rsid w:val="00E25A11"/>
    <w:pPr>
      <w:spacing w:before="240" w:after="0" w:line="240" w:lineRule="auto"/>
      <w:ind w:left="1021" w:hanging="1021"/>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rsid w:val="00E25A11"/>
    <w:pPr>
      <w:spacing w:before="240" w:after="0" w:line="240" w:lineRule="auto"/>
      <w:ind w:left="1021" w:hanging="1021"/>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rsid w:val="00E25A11"/>
    <w:pPr>
      <w:spacing w:before="240" w:after="0" w:line="240" w:lineRule="auto"/>
      <w:ind w:left="1021" w:hanging="1021"/>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Grid10">
    <w:name w:val="Table Grid 1"/>
    <w:basedOn w:val="TableNormal"/>
    <w:uiPriority w:val="99"/>
    <w:semiHidden/>
    <w:rsid w:val="00E25A11"/>
    <w:pPr>
      <w:spacing w:before="240" w:after="0" w:line="240" w:lineRule="auto"/>
      <w:ind w:left="1021" w:hanging="1021"/>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0">
    <w:name w:val="Table Grid 2"/>
    <w:basedOn w:val="TableNormal"/>
    <w:uiPriority w:val="99"/>
    <w:semiHidden/>
    <w:rsid w:val="00E25A11"/>
    <w:pPr>
      <w:spacing w:before="240" w:after="0" w:line="240" w:lineRule="auto"/>
      <w:ind w:left="1021" w:hanging="1021"/>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rsid w:val="00E25A11"/>
    <w:pPr>
      <w:spacing w:before="240" w:after="0" w:line="240" w:lineRule="auto"/>
      <w:ind w:left="1021" w:hanging="1021"/>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rsid w:val="00E25A11"/>
    <w:pPr>
      <w:spacing w:before="240" w:after="0" w:line="240" w:lineRule="auto"/>
      <w:ind w:left="1021" w:hanging="1021"/>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rsid w:val="00E25A11"/>
    <w:pPr>
      <w:spacing w:before="240" w:after="0" w:line="240" w:lineRule="auto"/>
      <w:ind w:left="1021" w:hanging="1021"/>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rsid w:val="00E25A11"/>
    <w:pPr>
      <w:spacing w:before="240" w:after="0" w:line="240" w:lineRule="auto"/>
      <w:ind w:left="1021" w:hanging="1021"/>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rsid w:val="00E25A11"/>
    <w:pPr>
      <w:spacing w:before="240" w:after="0" w:line="240" w:lineRule="auto"/>
      <w:ind w:left="1021" w:hanging="1021"/>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rsid w:val="00E25A11"/>
    <w:pPr>
      <w:spacing w:before="240" w:after="0" w:line="240" w:lineRule="auto"/>
      <w:ind w:left="1021" w:hanging="1021"/>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character" w:customStyle="1" w:styleId="FigurecaptionCharChar">
    <w:name w:val="Figure caption Char Char"/>
    <w:basedOn w:val="DefaultParagraphFont"/>
    <w:link w:val="Figurecaption"/>
    <w:uiPriority w:val="10"/>
    <w:locked/>
    <w:rsid w:val="00E25A11"/>
    <w:rPr>
      <w:rFonts w:ascii="Calibri" w:hAnsi="Calibri"/>
      <w:b/>
      <w:bCs/>
      <w:color w:val="000000" w:themeColor="text1"/>
      <w:sz w:val="18"/>
      <w:szCs w:val="18"/>
    </w:rPr>
  </w:style>
  <w:style w:type="paragraph" w:customStyle="1" w:styleId="Reference">
    <w:name w:val="Reference"/>
    <w:basedOn w:val="BodyText"/>
    <w:uiPriority w:val="20"/>
    <w:rsid w:val="00E25A11"/>
    <w:pPr>
      <w:spacing w:before="360" w:after="360"/>
      <w:jc w:val="both"/>
    </w:pPr>
    <w:rPr>
      <w:bCs/>
      <w:noProof/>
      <w:color w:val="222A35" w:themeColor="text2" w:themeShade="80"/>
    </w:rPr>
  </w:style>
  <w:style w:type="paragraph" w:customStyle="1" w:styleId="Bodytext-Quote">
    <w:name w:val="Body text - Quote"/>
    <w:basedOn w:val="BodyText"/>
    <w:next w:val="BodyText"/>
    <w:qFormat/>
    <w:rsid w:val="00E25A11"/>
    <w:pPr>
      <w:spacing w:before="0" w:after="0"/>
      <w:ind w:left="567" w:right="567"/>
      <w:jc w:val="both"/>
    </w:pPr>
    <w:rPr>
      <w:bCs/>
      <w:color w:val="222A35" w:themeColor="text2" w:themeShade="80"/>
    </w:rPr>
  </w:style>
  <w:style w:type="character" w:customStyle="1" w:styleId="BCRchartsChar">
    <w:name w:val="BCR charts Char"/>
    <w:aliases w:val="tables and figures heading Char"/>
    <w:basedOn w:val="H2Char"/>
    <w:link w:val="BCRcharts"/>
    <w:rsid w:val="00E25A11"/>
    <w:rPr>
      <w:rFonts w:ascii="Cambria" w:eastAsiaTheme="majorEastAsia" w:hAnsi="Cambria" w:cstheme="majorBidi"/>
      <w:b/>
      <w:bCs/>
      <w:color w:val="ED7D31" w:themeColor="accent2"/>
      <w:sz w:val="26"/>
      <w:szCs w:val="26"/>
    </w:rPr>
  </w:style>
  <w:style w:type="paragraph" w:customStyle="1" w:styleId="DBCDElogo">
    <w:name w:val="DBCDE logo"/>
    <w:basedOn w:val="Normal"/>
    <w:next w:val="BodyText"/>
    <w:semiHidden/>
    <w:qFormat/>
    <w:rsid w:val="00E25A11"/>
    <w:pPr>
      <w:spacing w:before="240" w:after="0"/>
      <w:jc w:val="center"/>
    </w:pPr>
    <w:rPr>
      <w:rFonts w:ascii="Calibri" w:hAnsi="Calibri"/>
      <w:noProof/>
      <w:lang w:eastAsia="en-AU"/>
    </w:rPr>
  </w:style>
  <w:style w:type="character" w:customStyle="1" w:styleId="Instructionaltext">
    <w:name w:val="Instructional text"/>
    <w:basedOn w:val="DefaultParagraphFont"/>
    <w:uiPriority w:val="59"/>
    <w:rsid w:val="00E25A11"/>
    <w:rPr>
      <w:i/>
      <w:color w:val="4472C4" w:themeColor="accent5"/>
    </w:rPr>
  </w:style>
  <w:style w:type="paragraph" w:customStyle="1" w:styleId="Instructionaltext-Numberedlist">
    <w:name w:val="Instructional text - Numbered list"/>
    <w:basedOn w:val="Normal"/>
    <w:uiPriority w:val="59"/>
    <w:rsid w:val="00E25A11"/>
    <w:pPr>
      <w:numPr>
        <w:numId w:val="23"/>
      </w:numPr>
      <w:spacing w:before="240"/>
    </w:pPr>
    <w:rPr>
      <w:rFonts w:ascii="Calibri" w:hAnsi="Calibri"/>
      <w:i/>
      <w:color w:val="4472C4" w:themeColor="accent5"/>
    </w:rPr>
  </w:style>
  <w:style w:type="character" w:customStyle="1" w:styleId="Exampletext">
    <w:name w:val="Example text"/>
    <w:basedOn w:val="DefaultParagraphFont"/>
    <w:uiPriority w:val="60"/>
    <w:rsid w:val="00E25A11"/>
    <w:rPr>
      <w:color w:val="1F4E79" w:themeColor="accent1" w:themeShade="80"/>
    </w:rPr>
  </w:style>
  <w:style w:type="paragraph" w:customStyle="1" w:styleId="Documenttype">
    <w:name w:val="Document type"/>
    <w:basedOn w:val="Normal"/>
    <w:uiPriority w:val="17"/>
    <w:qFormat/>
    <w:rsid w:val="00E25A11"/>
    <w:pPr>
      <w:spacing w:before="120" w:after="0"/>
      <w:jc w:val="right"/>
    </w:pPr>
    <w:rPr>
      <w:rFonts w:ascii="Cambria" w:eastAsia="Times New Roman" w:hAnsi="Cambria" w:cs="Times New Roman"/>
      <w:b/>
      <w:color w:val="44546A" w:themeColor="text2"/>
      <w:kern w:val="28"/>
      <w:sz w:val="24"/>
      <w:szCs w:val="52"/>
    </w:rPr>
  </w:style>
  <w:style w:type="paragraph" w:customStyle="1" w:styleId="DotPoint2">
    <w:name w:val="Dot Point 2"/>
    <w:basedOn w:val="ListParagraph"/>
    <w:link w:val="DotPoint2Char"/>
    <w:rsid w:val="00E25A11"/>
    <w:pPr>
      <w:spacing w:after="120"/>
      <w:ind w:left="1080" w:hanging="360"/>
      <w:contextualSpacing w:val="0"/>
    </w:pPr>
    <w:rPr>
      <w:rFonts w:ascii="Calibri" w:hAnsi="Calibri"/>
    </w:rPr>
  </w:style>
  <w:style w:type="paragraph" w:customStyle="1" w:styleId="DotPoint3">
    <w:name w:val="Dot Point 3"/>
    <w:basedOn w:val="ListParagraph"/>
    <w:rsid w:val="00E25A11"/>
    <w:pPr>
      <w:tabs>
        <w:tab w:val="num" w:pos="360"/>
      </w:tabs>
      <w:spacing w:before="240" w:after="120"/>
      <w:ind w:left="1800" w:hanging="180"/>
      <w:contextualSpacing w:val="0"/>
    </w:pPr>
    <w:rPr>
      <w:rFonts w:eastAsia="Times New Roman" w:cstheme="minorHAnsi"/>
    </w:rPr>
  </w:style>
  <w:style w:type="character" w:customStyle="1" w:styleId="DotPoint2Char">
    <w:name w:val="Dot Point 2 Char"/>
    <w:basedOn w:val="ListParagraphChar"/>
    <w:link w:val="DotPoint2"/>
    <w:rsid w:val="00E25A11"/>
    <w:rPr>
      <w:rFonts w:ascii="Calibri" w:hAnsi="Calibri"/>
    </w:rPr>
  </w:style>
  <w:style w:type="paragraph" w:styleId="Revision">
    <w:name w:val="Revision"/>
    <w:hidden/>
    <w:uiPriority w:val="99"/>
    <w:semiHidden/>
    <w:rsid w:val="00E25A11"/>
    <w:pPr>
      <w:spacing w:after="0" w:line="240" w:lineRule="auto"/>
    </w:pPr>
    <w:rPr>
      <w:rFonts w:ascii="Calibri" w:hAnsi="Calibri"/>
    </w:rPr>
  </w:style>
  <w:style w:type="paragraph" w:customStyle="1" w:styleId="Boxsub-headingQUESTION">
    <w:name w:val="Box sub-heading QUESTION"/>
    <w:basedOn w:val="Boxsub-heading"/>
    <w:next w:val="BoxtextQUESTION"/>
    <w:qFormat/>
    <w:rsid w:val="00E25A11"/>
    <w:pPr>
      <w:pBdr>
        <w:top w:val="single" w:sz="4" w:space="8" w:color="005491"/>
        <w:left w:val="single" w:sz="4" w:space="8" w:color="005491"/>
        <w:bottom w:val="single" w:sz="4" w:space="8" w:color="005491"/>
        <w:right w:val="single" w:sz="4" w:space="0" w:color="005491"/>
      </w:pBdr>
      <w:shd w:val="clear" w:color="auto" w:fill="A5A5A5" w:themeFill="accent3"/>
    </w:pPr>
    <w:rPr>
      <w:color w:val="222A35" w:themeColor="text2" w:themeShade="80"/>
    </w:rPr>
  </w:style>
  <w:style w:type="paragraph" w:customStyle="1" w:styleId="BoxtextQUESTION">
    <w:name w:val="Box text QUESTION"/>
    <w:basedOn w:val="Boxtext"/>
    <w:qFormat/>
    <w:rsid w:val="00E25A11"/>
    <w:pPr>
      <w:pBdr>
        <w:top w:val="single" w:sz="4" w:space="8" w:color="808080" w:themeColor="background1" w:themeShade="80"/>
        <w:left w:val="single" w:sz="4" w:space="8" w:color="808080" w:themeColor="background1" w:themeShade="80"/>
        <w:bottom w:val="single" w:sz="4" w:space="8" w:color="808080" w:themeColor="background1" w:themeShade="80"/>
        <w:right w:val="single" w:sz="4" w:space="0" w:color="808080" w:themeColor="background1" w:themeShade="80"/>
      </w:pBdr>
      <w:shd w:val="clear" w:color="auto" w:fill="F3F5F4"/>
    </w:pPr>
    <w:rPr>
      <w:b/>
    </w:rPr>
  </w:style>
  <w:style w:type="paragraph" w:customStyle="1" w:styleId="BoxtextQUESTIONITALICS">
    <w:name w:val="Box text QUESTION ITALICS"/>
    <w:basedOn w:val="BoxtextQUESTION"/>
    <w:qFormat/>
    <w:rsid w:val="00E25A11"/>
    <w:rPr>
      <w:b w:val="0"/>
      <w:i/>
    </w:rPr>
  </w:style>
  <w:style w:type="character" w:customStyle="1" w:styleId="TitleheadingChar">
    <w:name w:val="Title heading Char"/>
    <w:basedOn w:val="BodyTextChar"/>
    <w:link w:val="Titleheading"/>
    <w:uiPriority w:val="15"/>
    <w:rsid w:val="00E25A11"/>
    <w:rPr>
      <w:rFonts w:ascii="Calibri" w:hAnsi="Calibri"/>
      <w:color w:val="005391"/>
      <w:sz w:val="60"/>
    </w:rPr>
  </w:style>
  <w:style w:type="paragraph" w:customStyle="1" w:styleId="HeaderTitle">
    <w:name w:val="Header Title"/>
    <w:basedOn w:val="Bodytext-Indent"/>
    <w:autoRedefine/>
    <w:qFormat/>
    <w:rsid w:val="00E25A11"/>
    <w:pPr>
      <w:jc w:val="right"/>
    </w:pPr>
  </w:style>
  <w:style w:type="table" w:customStyle="1" w:styleId="GridTable4-Accent51">
    <w:name w:val="Grid Table 4 - Accent 51"/>
    <w:basedOn w:val="TableNormal"/>
    <w:uiPriority w:val="49"/>
    <w:rsid w:val="00E25A11"/>
    <w:pPr>
      <w:spacing w:before="240" w:after="0" w:line="240" w:lineRule="auto"/>
      <w:ind w:left="1021" w:hanging="1021"/>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GridTable5Dark1">
    <w:name w:val="Grid Table 5 Dark1"/>
    <w:basedOn w:val="TableNormal"/>
    <w:uiPriority w:val="50"/>
    <w:rsid w:val="00E25A11"/>
    <w:pPr>
      <w:spacing w:before="240" w:after="0" w:line="240" w:lineRule="auto"/>
      <w:ind w:left="1021" w:hanging="1021"/>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21">
    <w:name w:val="Grid Table 5 Dark - Accent 21"/>
    <w:basedOn w:val="TableNormal"/>
    <w:uiPriority w:val="50"/>
    <w:rsid w:val="00E25A11"/>
    <w:pPr>
      <w:spacing w:before="240" w:after="0" w:line="240" w:lineRule="auto"/>
      <w:ind w:left="1021" w:hanging="1021"/>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customStyle="1" w:styleId="GridTable4-Accent41">
    <w:name w:val="Grid Table 4 - Accent 41"/>
    <w:basedOn w:val="TableNormal"/>
    <w:uiPriority w:val="49"/>
    <w:rsid w:val="00E25A11"/>
    <w:pPr>
      <w:spacing w:before="240" w:after="0" w:line="240" w:lineRule="auto"/>
      <w:ind w:left="1021" w:hanging="1021"/>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GridTable41">
    <w:name w:val="Grid Table 41"/>
    <w:basedOn w:val="TableNormal"/>
    <w:uiPriority w:val="49"/>
    <w:rsid w:val="00E25A11"/>
    <w:pPr>
      <w:spacing w:before="240" w:after="0" w:line="240" w:lineRule="auto"/>
      <w:ind w:left="1021" w:hanging="1021"/>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H3">
    <w:name w:val="H3"/>
    <w:basedOn w:val="Heading3"/>
    <w:qFormat/>
    <w:rsid w:val="00E25A11"/>
    <w:pPr>
      <w:keepLines/>
      <w:spacing w:before="200"/>
    </w:pPr>
    <w:rPr>
      <w:rFonts w:ascii="Cambria" w:hAnsi="Cambria"/>
      <w:b w:val="0"/>
      <w:bCs/>
      <w:color w:val="ED7D31" w:themeColor="accent2"/>
      <w:sz w:val="28"/>
      <w:szCs w:val="22"/>
    </w:rPr>
  </w:style>
  <w:style w:type="numbering" w:customStyle="1" w:styleId="Style1">
    <w:name w:val="Style1"/>
    <w:uiPriority w:val="99"/>
    <w:rsid w:val="00E25A11"/>
    <w:pPr>
      <w:numPr>
        <w:numId w:val="29"/>
      </w:numPr>
    </w:pPr>
  </w:style>
  <w:style w:type="paragraph" w:customStyle="1" w:styleId="BCRReporttitle">
    <w:name w:val="BCR Report title"/>
    <w:basedOn w:val="Normal"/>
    <w:qFormat/>
    <w:rsid w:val="00E25A11"/>
    <w:pPr>
      <w:keepNext/>
      <w:keepLines/>
      <w:spacing w:after="120"/>
      <w:outlineLvl w:val="0"/>
    </w:pPr>
    <w:rPr>
      <w:rFonts w:ascii="Calibri" w:eastAsia="Times New Roman" w:hAnsi="Calibri" w:cs="Times New Roman"/>
      <w:b/>
      <w:bCs/>
      <w:color w:val="0E293A"/>
      <w:sz w:val="60"/>
      <w:szCs w:val="48"/>
    </w:rPr>
  </w:style>
  <w:style w:type="paragraph" w:customStyle="1" w:styleId="BCRsubhead">
    <w:name w:val="BCR sub head"/>
    <w:basedOn w:val="Normal"/>
    <w:qFormat/>
    <w:rsid w:val="00E25A11"/>
    <w:pPr>
      <w:keepNext/>
      <w:keepLines/>
      <w:spacing w:after="120"/>
    </w:pPr>
    <w:rPr>
      <w:rFonts w:ascii="Calibri" w:eastAsia="Times New Roman" w:hAnsi="Calibri" w:cs="Times New Roman"/>
      <w:bCs/>
      <w:color w:val="AA0F14"/>
      <w:sz w:val="40"/>
      <w:szCs w:val="48"/>
    </w:rPr>
  </w:style>
  <w:style w:type="paragraph" w:customStyle="1" w:styleId="BCRBodytext">
    <w:name w:val="BCR Body text"/>
    <w:link w:val="BCRBodytextChar"/>
    <w:rsid w:val="00E25A11"/>
    <w:pPr>
      <w:spacing w:before="120" w:after="0" w:line="240" w:lineRule="auto"/>
    </w:pPr>
    <w:rPr>
      <w:rFonts w:ascii="Calibri" w:hAnsi="Calibri"/>
    </w:rPr>
  </w:style>
  <w:style w:type="character" w:customStyle="1" w:styleId="BCRBodytextChar">
    <w:name w:val="BCR Body text Char"/>
    <w:basedOn w:val="DefaultParagraphFont"/>
    <w:link w:val="BCRBodytext"/>
    <w:rsid w:val="00E25A11"/>
    <w:rPr>
      <w:rFonts w:ascii="Calibri" w:hAnsi="Calibri"/>
    </w:rPr>
  </w:style>
  <w:style w:type="table" w:customStyle="1" w:styleId="LightList-Accent111">
    <w:name w:val="Light List - Accent 111"/>
    <w:basedOn w:val="TableNormal"/>
    <w:uiPriority w:val="61"/>
    <w:rsid w:val="00E25A11"/>
    <w:pPr>
      <w:spacing w:before="240" w:after="0" w:line="240" w:lineRule="auto"/>
      <w:ind w:left="1021" w:hanging="1021"/>
    </w:p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paragraph" w:customStyle="1" w:styleId="Versionhistory">
    <w:name w:val="Version history"/>
    <w:basedOn w:val="Normal"/>
    <w:link w:val="VersionhistoryChar"/>
    <w:qFormat/>
    <w:rsid w:val="00E25A11"/>
    <w:pPr>
      <w:spacing w:before="360"/>
      <w:outlineLvl w:val="1"/>
    </w:pPr>
    <w:rPr>
      <w:rFonts w:ascii="Calibri" w:hAnsi="Calibri"/>
      <w:color w:val="AA0F14"/>
      <w:sz w:val="36"/>
      <w:szCs w:val="32"/>
    </w:rPr>
  </w:style>
  <w:style w:type="paragraph" w:customStyle="1" w:styleId="Doccontrolsheet">
    <w:name w:val="Doc control sheet"/>
    <w:basedOn w:val="Normal"/>
    <w:link w:val="DoccontrolsheetChar"/>
    <w:qFormat/>
    <w:rsid w:val="00E25A11"/>
    <w:pPr>
      <w:spacing w:before="480" w:after="0" w:line="360" w:lineRule="auto"/>
      <w:ind w:left="1021" w:hanging="1021"/>
      <w:outlineLvl w:val="0"/>
    </w:pPr>
    <w:rPr>
      <w:rFonts w:ascii="Calibri" w:hAnsi="Calibri"/>
      <w:b/>
      <w:color w:val="AA0F14"/>
      <w:sz w:val="40"/>
      <w:szCs w:val="32"/>
    </w:rPr>
  </w:style>
  <w:style w:type="character" w:customStyle="1" w:styleId="VersionhistoryChar">
    <w:name w:val="Version history Char"/>
    <w:basedOn w:val="DefaultParagraphFont"/>
    <w:link w:val="Versionhistory"/>
    <w:rsid w:val="00E25A11"/>
    <w:rPr>
      <w:rFonts w:ascii="Calibri" w:hAnsi="Calibri"/>
      <w:color w:val="AA0F14"/>
      <w:sz w:val="36"/>
      <w:szCs w:val="32"/>
    </w:rPr>
  </w:style>
  <w:style w:type="character" w:customStyle="1" w:styleId="DoccontrolsheetChar">
    <w:name w:val="Doc control sheet Char"/>
    <w:basedOn w:val="DefaultParagraphFont"/>
    <w:link w:val="Doccontrolsheet"/>
    <w:rsid w:val="00E25A11"/>
    <w:rPr>
      <w:rFonts w:ascii="Calibri" w:hAnsi="Calibri"/>
      <w:b/>
      <w:color w:val="AA0F14"/>
      <w:sz w:val="40"/>
      <w:szCs w:val="32"/>
    </w:rPr>
  </w:style>
  <w:style w:type="table" w:customStyle="1" w:styleId="ListTable31">
    <w:name w:val="List Table 31"/>
    <w:basedOn w:val="TableNormal"/>
    <w:uiPriority w:val="48"/>
    <w:rsid w:val="00E25A11"/>
    <w:pPr>
      <w:spacing w:before="240" w:after="0" w:line="240" w:lineRule="auto"/>
      <w:ind w:left="1021" w:hanging="1021"/>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paragraph" w:customStyle="1" w:styleId="Bodybullet-Level3">
    <w:name w:val="Body bullet - Level 3"/>
    <w:basedOn w:val="Normal"/>
    <w:uiPriority w:val="1"/>
    <w:qFormat/>
    <w:rsid w:val="00E25A11"/>
    <w:pPr>
      <w:numPr>
        <w:numId w:val="30"/>
      </w:numPr>
      <w:spacing w:before="120" w:after="180"/>
    </w:pPr>
    <w:rPr>
      <w:rFonts w:ascii="Calibri" w:hAnsi="Calibri"/>
      <w:color w:val="222A35" w:themeColor="text2" w:themeShade="80"/>
    </w:rPr>
  </w:style>
  <w:style w:type="paragraph" w:customStyle="1" w:styleId="Chartandfiguresheading">
    <w:name w:val="Chart and figures heading"/>
    <w:basedOn w:val="H2"/>
    <w:next w:val="BodyText"/>
    <w:link w:val="ChartandfiguresheadingChar"/>
    <w:qFormat/>
    <w:rsid w:val="00E25A11"/>
    <w:pPr>
      <w:spacing w:before="240" w:after="200"/>
    </w:pPr>
    <w:rPr>
      <w:b/>
      <w:sz w:val="26"/>
    </w:rPr>
  </w:style>
  <w:style w:type="character" w:customStyle="1" w:styleId="ChartandfiguresheadingChar">
    <w:name w:val="Chart and figures heading Char"/>
    <w:basedOn w:val="H2Char"/>
    <w:link w:val="Chartandfiguresheading"/>
    <w:rsid w:val="00E25A11"/>
    <w:rPr>
      <w:rFonts w:ascii="Cambria" w:eastAsiaTheme="majorEastAsia" w:hAnsi="Cambria" w:cstheme="majorBidi"/>
      <w:b/>
      <w:bCs/>
      <w:color w:val="ED7D31" w:themeColor="accent2"/>
      <w:sz w:val="26"/>
      <w:szCs w:val="26"/>
    </w:rPr>
  </w:style>
  <w:style w:type="character" w:customStyle="1" w:styleId="apple-converted-space">
    <w:name w:val="apple-converted-space"/>
    <w:basedOn w:val="DefaultParagraphFont"/>
    <w:rsid w:val="00E25A11"/>
  </w:style>
  <w:style w:type="paragraph" w:customStyle="1" w:styleId="BCRbodybold">
    <w:name w:val="BCR body bold"/>
    <w:basedOn w:val="BodyText"/>
    <w:qFormat/>
    <w:rsid w:val="00E25A11"/>
    <w:pPr>
      <w:spacing w:before="160" w:after="160" w:line="259" w:lineRule="auto"/>
      <w:jc w:val="both"/>
    </w:pPr>
    <w:rPr>
      <w:rFonts w:asciiTheme="minorHAnsi" w:hAnsiTheme="minorHAnsi"/>
      <w:b/>
      <w:bCs/>
      <w:color w:val="000000" w:themeColor="tex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5908669">
      <w:bodyDiv w:val="1"/>
      <w:marLeft w:val="0"/>
      <w:marRight w:val="0"/>
      <w:marTop w:val="0"/>
      <w:marBottom w:val="0"/>
      <w:divBdr>
        <w:top w:val="none" w:sz="0" w:space="0" w:color="auto"/>
        <w:left w:val="none" w:sz="0" w:space="0" w:color="auto"/>
        <w:bottom w:val="none" w:sz="0" w:space="0" w:color="auto"/>
        <w:right w:val="none" w:sz="0" w:space="0" w:color="auto"/>
      </w:divBdr>
      <w:divsChild>
        <w:div w:id="366873104">
          <w:marLeft w:val="547"/>
          <w:marRight w:val="0"/>
          <w:marTop w:val="154"/>
          <w:marBottom w:val="0"/>
          <w:divBdr>
            <w:top w:val="none" w:sz="0" w:space="0" w:color="auto"/>
            <w:left w:val="none" w:sz="0" w:space="0" w:color="auto"/>
            <w:bottom w:val="none" w:sz="0" w:space="0" w:color="auto"/>
            <w:right w:val="none" w:sz="0" w:space="0" w:color="auto"/>
          </w:divBdr>
        </w:div>
        <w:div w:id="96563302">
          <w:marLeft w:val="547"/>
          <w:marRight w:val="0"/>
          <w:marTop w:val="154"/>
          <w:marBottom w:val="0"/>
          <w:divBdr>
            <w:top w:val="none" w:sz="0" w:space="0" w:color="auto"/>
            <w:left w:val="none" w:sz="0" w:space="0" w:color="auto"/>
            <w:bottom w:val="none" w:sz="0" w:space="0" w:color="auto"/>
            <w:right w:val="none" w:sz="0" w:space="0" w:color="auto"/>
          </w:divBdr>
        </w:div>
      </w:divsChild>
    </w:div>
    <w:div w:id="596520184">
      <w:bodyDiv w:val="1"/>
      <w:marLeft w:val="0"/>
      <w:marRight w:val="0"/>
      <w:marTop w:val="0"/>
      <w:marBottom w:val="0"/>
      <w:divBdr>
        <w:top w:val="none" w:sz="0" w:space="0" w:color="auto"/>
        <w:left w:val="none" w:sz="0" w:space="0" w:color="auto"/>
        <w:bottom w:val="none" w:sz="0" w:space="0" w:color="auto"/>
        <w:right w:val="none" w:sz="0" w:space="0" w:color="auto"/>
      </w:divBdr>
    </w:div>
    <w:div w:id="1437208630">
      <w:bodyDiv w:val="1"/>
      <w:marLeft w:val="0"/>
      <w:marRight w:val="0"/>
      <w:marTop w:val="0"/>
      <w:marBottom w:val="0"/>
      <w:divBdr>
        <w:top w:val="none" w:sz="0" w:space="0" w:color="auto"/>
        <w:left w:val="none" w:sz="0" w:space="0" w:color="auto"/>
        <w:bottom w:val="none" w:sz="0" w:space="0" w:color="auto"/>
        <w:right w:val="none" w:sz="0" w:space="0" w:color="auto"/>
      </w:divBdr>
      <w:divsChild>
        <w:div w:id="477377916">
          <w:marLeft w:val="547"/>
          <w:marRight w:val="0"/>
          <w:marTop w:val="154"/>
          <w:marBottom w:val="0"/>
          <w:divBdr>
            <w:top w:val="none" w:sz="0" w:space="0" w:color="auto"/>
            <w:left w:val="none" w:sz="0" w:space="0" w:color="auto"/>
            <w:bottom w:val="none" w:sz="0" w:space="0" w:color="auto"/>
            <w:right w:val="none" w:sz="0" w:space="0" w:color="auto"/>
          </w:divBdr>
        </w:div>
        <w:div w:id="1676953640">
          <w:marLeft w:val="547"/>
          <w:marRight w:val="0"/>
          <w:marTop w:val="154"/>
          <w:marBottom w:val="0"/>
          <w:divBdr>
            <w:top w:val="none" w:sz="0" w:space="0" w:color="auto"/>
            <w:left w:val="none" w:sz="0" w:space="0" w:color="auto"/>
            <w:bottom w:val="none" w:sz="0" w:space="0" w:color="auto"/>
            <w:right w:val="none" w:sz="0" w:space="0" w:color="auto"/>
          </w:divBdr>
        </w:div>
      </w:divsChild>
    </w:div>
    <w:div w:id="17301091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image" Target="media/image6.jpeg"/><Relationship Id="rId26" Type="http://schemas.openxmlformats.org/officeDocument/2006/relationships/image" Target="media/image10.jpeg"/><Relationship Id="rId39" Type="http://schemas.openxmlformats.org/officeDocument/2006/relationships/image" Target="media/image19.png"/><Relationship Id="rId21" Type="http://schemas.openxmlformats.org/officeDocument/2006/relationships/header" Target="header3.xml"/><Relationship Id="rId34" Type="http://schemas.openxmlformats.org/officeDocument/2006/relationships/header" Target="header4.xml"/><Relationship Id="rId42" Type="http://schemas.openxmlformats.org/officeDocument/2006/relationships/image" Target="media/image22.jpeg"/><Relationship Id="rId47" Type="http://schemas.openxmlformats.org/officeDocument/2006/relationships/image" Target="media/image27.png"/><Relationship Id="rId50" Type="http://schemas.openxmlformats.org/officeDocument/2006/relationships/image" Target="media/image30.jpeg"/><Relationship Id="rId55" Type="http://schemas.openxmlformats.org/officeDocument/2006/relationships/image" Target="media/image35.png"/><Relationship Id="rId63" Type="http://schemas.openxmlformats.org/officeDocument/2006/relationships/header" Target="header6.xml"/><Relationship Id="rId68"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4.jpeg"/><Relationship Id="rId29" Type="http://schemas.openxmlformats.org/officeDocument/2006/relationships/image" Target="media/image13.jpe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image" Target="media/image8.jpeg"/><Relationship Id="rId32" Type="http://schemas.openxmlformats.org/officeDocument/2006/relationships/image" Target="media/image16.png"/><Relationship Id="rId37" Type="http://schemas.openxmlformats.org/officeDocument/2006/relationships/footer" Target="footer5.xml"/><Relationship Id="rId40" Type="http://schemas.openxmlformats.org/officeDocument/2006/relationships/image" Target="media/image20.jpeg"/><Relationship Id="rId45" Type="http://schemas.openxmlformats.org/officeDocument/2006/relationships/image" Target="media/image25.jpeg"/><Relationship Id="rId53" Type="http://schemas.openxmlformats.org/officeDocument/2006/relationships/image" Target="media/image33.jpeg"/><Relationship Id="rId58" Type="http://schemas.openxmlformats.org/officeDocument/2006/relationships/image" Target="media/image38.jpeg"/><Relationship Id="rId66" Type="http://schemas.openxmlformats.org/officeDocument/2006/relationships/footer" Target="footer7.xml"/><Relationship Id="rId5" Type="http://schemas.openxmlformats.org/officeDocument/2006/relationships/numbering" Target="numbering.xml"/><Relationship Id="rId15" Type="http://schemas.openxmlformats.org/officeDocument/2006/relationships/image" Target="media/image3.tiff"/><Relationship Id="rId23" Type="http://schemas.openxmlformats.org/officeDocument/2006/relationships/image" Target="media/image7.jpeg"/><Relationship Id="rId28" Type="http://schemas.openxmlformats.org/officeDocument/2006/relationships/image" Target="media/image12.png"/><Relationship Id="rId36" Type="http://schemas.openxmlformats.org/officeDocument/2006/relationships/header" Target="header5.xml"/><Relationship Id="rId49" Type="http://schemas.openxmlformats.org/officeDocument/2006/relationships/image" Target="media/image29.jpeg"/><Relationship Id="rId57" Type="http://schemas.openxmlformats.org/officeDocument/2006/relationships/image" Target="media/image37.jpeg"/><Relationship Id="rId61" Type="http://schemas.openxmlformats.org/officeDocument/2006/relationships/image" Target="media/image41.jpeg"/><Relationship Id="rId10" Type="http://schemas.openxmlformats.org/officeDocument/2006/relationships/endnotes" Target="endnotes.xml"/><Relationship Id="rId19" Type="http://schemas.openxmlformats.org/officeDocument/2006/relationships/image" Target="cid:image001.jpg@01CF53E2.F599DED0" TargetMode="External"/><Relationship Id="rId31" Type="http://schemas.openxmlformats.org/officeDocument/2006/relationships/image" Target="media/image15.png"/><Relationship Id="rId44" Type="http://schemas.openxmlformats.org/officeDocument/2006/relationships/image" Target="media/image24.jpeg"/><Relationship Id="rId52" Type="http://schemas.openxmlformats.org/officeDocument/2006/relationships/image" Target="media/image32.jpeg"/><Relationship Id="rId60" Type="http://schemas.openxmlformats.org/officeDocument/2006/relationships/image" Target="media/image40.jpeg"/><Relationship Id="rId65" Type="http://schemas.openxmlformats.org/officeDocument/2006/relationships/header" Target="header7.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footer" Target="footer3.xml"/><Relationship Id="rId27" Type="http://schemas.openxmlformats.org/officeDocument/2006/relationships/image" Target="media/image11.jpeg"/><Relationship Id="rId30" Type="http://schemas.openxmlformats.org/officeDocument/2006/relationships/image" Target="media/image14.jpeg"/><Relationship Id="rId35" Type="http://schemas.openxmlformats.org/officeDocument/2006/relationships/footer" Target="footer4.xml"/><Relationship Id="rId43" Type="http://schemas.openxmlformats.org/officeDocument/2006/relationships/image" Target="media/image23.png"/><Relationship Id="rId48" Type="http://schemas.openxmlformats.org/officeDocument/2006/relationships/image" Target="media/image28.jpeg"/><Relationship Id="rId56" Type="http://schemas.openxmlformats.org/officeDocument/2006/relationships/image" Target="media/image36.jpeg"/><Relationship Id="rId64" Type="http://schemas.openxmlformats.org/officeDocument/2006/relationships/footer" Target="footer6.xml"/><Relationship Id="rId8" Type="http://schemas.openxmlformats.org/officeDocument/2006/relationships/webSettings" Target="webSettings.xml"/><Relationship Id="rId51" Type="http://schemas.openxmlformats.org/officeDocument/2006/relationships/image" Target="media/image31.png"/><Relationship Id="rId3" Type="http://schemas.openxmlformats.org/officeDocument/2006/relationships/customXml" Target="../customXml/item3.xml"/><Relationship Id="rId12" Type="http://schemas.openxmlformats.org/officeDocument/2006/relationships/footer" Target="footer1.xml"/><Relationship Id="rId17" Type="http://schemas.openxmlformats.org/officeDocument/2006/relationships/image" Target="media/image5.png"/><Relationship Id="rId25" Type="http://schemas.openxmlformats.org/officeDocument/2006/relationships/image" Target="media/image9.png"/><Relationship Id="rId33" Type="http://schemas.openxmlformats.org/officeDocument/2006/relationships/image" Target="media/image17.jpeg"/><Relationship Id="rId38" Type="http://schemas.openxmlformats.org/officeDocument/2006/relationships/image" Target="media/image18.jpeg"/><Relationship Id="rId46" Type="http://schemas.openxmlformats.org/officeDocument/2006/relationships/image" Target="media/image26.jpeg"/><Relationship Id="rId59" Type="http://schemas.openxmlformats.org/officeDocument/2006/relationships/image" Target="media/image39.png"/><Relationship Id="rId67" Type="http://schemas.openxmlformats.org/officeDocument/2006/relationships/fontTable" Target="fontTable.xml"/><Relationship Id="rId20" Type="http://schemas.openxmlformats.org/officeDocument/2006/relationships/hyperlink" Target="http://www.creativecommons.org/licenses/by/3.0/au/" TargetMode="External"/><Relationship Id="rId41" Type="http://schemas.openxmlformats.org/officeDocument/2006/relationships/image" Target="media/image21.jpeg"/><Relationship Id="rId54" Type="http://schemas.openxmlformats.org/officeDocument/2006/relationships/image" Target="media/image34.jpeg"/><Relationship Id="rId62" Type="http://schemas.openxmlformats.org/officeDocument/2006/relationships/image" Target="media/image42.jpeg"/></Relationships>
</file>

<file path=word/_rels/endnotes.xml.rels><?xml version="1.0" encoding="UTF-8" standalone="yes"?>
<Relationships xmlns="http://schemas.openxmlformats.org/package/2006/relationships"><Relationship Id="rId8" Type="http://schemas.openxmlformats.org/officeDocument/2006/relationships/hyperlink" Target="http://www.oxfordreference.com/view/10.1093/oi/authority.20110803100507464" TargetMode="External"/><Relationship Id="rId3" Type="http://schemas.openxmlformats.org/officeDocument/2006/relationships/hyperlink" Target="https://store.givingusa.org/collections/data-tables" TargetMode="External"/><Relationship Id="rId7" Type="http://schemas.openxmlformats.org/officeDocument/2006/relationships/hyperlink" Target="http://www.ampag.com.au/article/Surveys" TargetMode="External"/><Relationship Id="rId2" Type="http://schemas.openxmlformats.org/officeDocument/2006/relationships/hyperlink" Target="http://www.statcan.gc.ca/pub/89-652-x/2015008/t/tbl03-eng.htm" TargetMode="External"/><Relationship Id="rId1" Type="http://schemas.openxmlformats.org/officeDocument/2006/relationships/hyperlink" Target="https://www.arts.gov.au/file/2861/download?token=jupQq7uK" TargetMode="External"/><Relationship Id="rId6" Type="http://schemas.openxmlformats.org/officeDocument/2006/relationships/hyperlink" Target="http://www.ampag.com.au/article/Surveys" TargetMode="External"/><Relationship Id="rId5" Type="http://schemas.openxmlformats.org/officeDocument/2006/relationships/hyperlink" Target="http://www.artscouncil.org.uk/publication/private-investment-culture-survey" TargetMode="External"/><Relationship Id="rId4" Type="http://schemas.openxmlformats.org/officeDocument/2006/relationships/hyperlink" Target="https://store.givingusa.org/collections/older-versions/products/giving-usa-2016-the-annual-report-on-philanthropy-for-the-year-2015-digital-package?variant=34373342281"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header4.xml.rels><?xml version="1.0" encoding="UTF-8" standalone="yes"?>
<Relationships xmlns="http://schemas.openxmlformats.org/package/2006/relationships"><Relationship Id="rId1" Type="http://schemas.openxmlformats.org/officeDocument/2006/relationships/image" Target="media/image2.png"/></Relationships>
</file>

<file path=word/_rels/header5.xml.rels><?xml version="1.0" encoding="UTF-8" standalone="yes"?>
<Relationships xmlns="http://schemas.openxmlformats.org/package/2006/relationships"><Relationship Id="rId1" Type="http://schemas.openxmlformats.org/officeDocument/2006/relationships/image" Target="media/image2.png"/></Relationships>
</file>

<file path=word/_rels/header6.xml.rels><?xml version="1.0" encoding="UTF-8" standalone="yes"?>
<Relationships xmlns="http://schemas.openxmlformats.org/package/2006/relationships"><Relationship Id="rId1" Type="http://schemas.openxmlformats.org/officeDocument/2006/relationships/image" Target="media/image2.png"/></Relationships>
</file>

<file path=word/_rels/header7.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G:\Templates\DEPT\Department%20-%20report%20-%20accessible%20Word%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0FE8757FE77CF4085925AFC90831ED3" ma:contentTypeVersion="0" ma:contentTypeDescription="Create a new document." ma:contentTypeScope="" ma:versionID="1a0be3d52991aec2ceddd15e7f18f5d2">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AF60C5-5176-49FB-AB7A-95092674D393}">
  <ds:schemaRefs>
    <ds:schemaRef ds:uri="http://schemas.microsoft.com/sharepoint/v3/contenttype/forms"/>
  </ds:schemaRefs>
</ds:datastoreItem>
</file>

<file path=customXml/itemProps2.xml><?xml version="1.0" encoding="utf-8"?>
<ds:datastoreItem xmlns:ds="http://schemas.openxmlformats.org/officeDocument/2006/customXml" ds:itemID="{983B1B18-5CC7-4B34-A370-60767FA8009A}">
  <ds:schemaRefs>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www.w3.org/XML/1998/namespace"/>
    <ds:schemaRef ds:uri="http://purl.org/dc/dcmitype/"/>
  </ds:schemaRefs>
</ds:datastoreItem>
</file>

<file path=customXml/itemProps3.xml><?xml version="1.0" encoding="utf-8"?>
<ds:datastoreItem xmlns:ds="http://schemas.openxmlformats.org/officeDocument/2006/customXml" ds:itemID="{551F2B8C-C64C-42BD-878A-68E11840358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235A5B61-C168-411E-BDC9-04E11774E5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Department - report - accessible Word template.dotx</Template>
  <TotalTime>16</TotalTime>
  <Pages>53</Pages>
  <Words>8334</Words>
  <Characters>47506</Characters>
  <Application>Microsoft Office Word</Application>
  <DocSecurity>0</DocSecurity>
  <Lines>395</Lines>
  <Paragraphs>111</Paragraphs>
  <ScaleCrop>false</ScaleCrop>
  <HeadingPairs>
    <vt:vector size="2" baseType="variant">
      <vt:variant>
        <vt:lpstr>Title</vt:lpstr>
      </vt:variant>
      <vt:variant>
        <vt:i4>1</vt:i4>
      </vt:variant>
    </vt:vector>
  </HeadingPairs>
  <TitlesOfParts>
    <vt:vector size="1" baseType="lpstr">
      <vt:lpstr>Private sector support for the arts in Australia—Background statistical paper</vt:lpstr>
    </vt:vector>
  </TitlesOfParts>
  <Company>Department of Communications</Company>
  <LinksUpToDate>false</LinksUpToDate>
  <CharactersWithSpaces>55729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Private sector support for the arts in Australia—Background statistical paper</dc:title>
  <dc:subject/>
  <dc:creator>Department of Communications and the Arts</dc:creator>
  <cp:keywords/>
  <dc:description/>
  <cp:lastModifiedBy>Department of Communications and the Arts</cp:lastModifiedBy>
  <cp:revision>3</cp:revision>
  <cp:lastPrinted>2017-06-30T02:12:00Z</cp:lastPrinted>
  <dcterms:created xsi:type="dcterms:W3CDTF">2017-06-30T02:10:00Z</dcterms:created>
  <dcterms:modified xsi:type="dcterms:W3CDTF">2017-06-30T02:20:00Z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0x010100E0FE8757FE77CF4085925AFC90831ED3</vt:lpwstr>
  </property>
  <property fmtid="{D5CDD505-2E9C-101B-9397-08002B2CF9AE}" pid="3" name="TrimRevisionNumber">
    <vt:i4>7</vt:i4>
  </property>
</Properties>
</file>