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header5.xml" ContentType="application/vnd.openxmlformats-officedocument.wordprocessingml.header+xml"/>
  <Override PartName="/word/footer6.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7.xml" ContentType="application/vnd.openxmlformats-officedocument.wordprocessingml.footer+xml"/>
  <Override PartName="/word/header8.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36AAD" w:rsidRDefault="00760C5B" w:rsidP="00325AD4">
      <w:pPr>
        <w:pStyle w:val="BodyText"/>
        <w:ind w:left="560"/>
        <w:rPr>
          <w:rFonts w:ascii="Times New Roman"/>
        </w:rPr>
      </w:pPr>
      <w:r>
        <w:rPr>
          <w:rFonts w:ascii="Times New Roman"/>
          <w:noProof/>
          <w:lang w:val="en-AU" w:eastAsia="en-AU"/>
        </w:rPr>
        <w:drawing>
          <wp:inline distT="0" distB="0" distL="0" distR="0">
            <wp:extent cx="5870736" cy="1056703"/>
            <wp:effectExtent l="0" t="0" r="0" b="0"/>
            <wp:docPr id="1" name="image1.png" descr="Logos: Australian Government, Department of Infrastructure, Transport, Regional Development and Communications, and the Bureau of Communications, Arts and Regional Researc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8" cstate="print"/>
                    <a:stretch>
                      <a:fillRect/>
                    </a:stretch>
                  </pic:blipFill>
                  <pic:spPr>
                    <a:xfrm>
                      <a:off x="0" y="0"/>
                      <a:ext cx="5870736" cy="1056703"/>
                    </a:xfrm>
                    <a:prstGeom prst="rect">
                      <a:avLst/>
                    </a:prstGeom>
                  </pic:spPr>
                </pic:pic>
              </a:graphicData>
            </a:graphic>
          </wp:inline>
        </w:drawing>
      </w:r>
    </w:p>
    <w:p w:rsidR="00936AAD" w:rsidRDefault="00760C5B" w:rsidP="00656245">
      <w:pPr>
        <w:spacing w:before="262"/>
        <w:ind w:left="561" w:right="1525"/>
        <w:outlineLvl w:val="0"/>
        <w:rPr>
          <w:rFonts w:ascii="Segoe UI Semibold" w:hAnsi="Segoe UI Semibold"/>
          <w:b/>
          <w:sz w:val="48"/>
        </w:rPr>
      </w:pPr>
      <w:bookmarkStart w:id="0" w:name="1._Measuring_Australia’s_fixed_broadband"/>
      <w:bookmarkEnd w:id="0"/>
      <w:r>
        <w:rPr>
          <w:rFonts w:ascii="Segoe UI Semibold" w:hAnsi="Segoe UI Semibold"/>
          <w:b/>
          <w:color w:val="002D72"/>
          <w:sz w:val="48"/>
        </w:rPr>
        <w:t>Measuring Australia’s fixed broadband performance</w:t>
      </w:r>
    </w:p>
    <w:p w:rsidR="00936AAD" w:rsidRDefault="00760C5B">
      <w:pPr>
        <w:pStyle w:val="BodyText"/>
        <w:spacing w:before="242"/>
        <w:ind w:left="560"/>
      </w:pPr>
      <w:r>
        <w:t>November 2020</w:t>
      </w:r>
    </w:p>
    <w:p w:rsidR="00936AAD" w:rsidRDefault="00760C5B" w:rsidP="004B1042">
      <w:pPr>
        <w:pStyle w:val="Heading2thisdocument"/>
      </w:pPr>
      <w:r>
        <w:t>The context for this work</w:t>
      </w:r>
    </w:p>
    <w:p w:rsidR="00936AAD" w:rsidRDefault="00760C5B">
      <w:pPr>
        <w:pStyle w:val="BodyText"/>
        <w:spacing w:before="200"/>
        <w:ind w:left="560" w:right="641"/>
      </w:pPr>
      <w:r>
        <w:t>Fixed broadband plays a vital role in connecting Australians, and significant public investment has been made to develop fixed broadband infrastructure with the rollout of the NBN. Fixed broadband is and will remain an important part of Australia’s broadband infrastructure, particularly given the high proportion of traffic it carries (just under 90% of all downloads) and is expected to continue carrying. It is therefore important that the performance of Australia’s fixed broadband infrastructure is known and comparable to our international peers, especially in the COVID-19 environment.</w:t>
      </w:r>
    </w:p>
    <w:p w:rsidR="00936AAD" w:rsidRDefault="00760C5B">
      <w:pPr>
        <w:pStyle w:val="BodyText"/>
        <w:spacing w:before="199"/>
        <w:ind w:left="560" w:right="1138"/>
      </w:pPr>
      <w:r>
        <w:t>While existing international comparisons provide useful insights, data availability and challenges in comparing like for like indicators across countries mean that they do not always provide an accurate picture of Australia’s relative performance. In particular, existing measures fall short in enabling comparisons between countries with similar economic compositions, technology, population and geographic features.</w:t>
      </w:r>
    </w:p>
    <w:p w:rsidR="00936AAD" w:rsidRDefault="00760C5B">
      <w:pPr>
        <w:pStyle w:val="BodyText"/>
        <w:spacing w:before="200"/>
        <w:ind w:left="560" w:right="1058"/>
      </w:pPr>
      <w:r>
        <w:t>‘Speed test’ comparisons are often cited as a key measure of fixed broadband performance. However using speed tests based on experienced download speed as the only metric for comparison can be misleading as they do not account for many of the factors that can influence internet performance.</w:t>
      </w:r>
    </w:p>
    <w:p w:rsidR="00936AAD" w:rsidRDefault="00760C5B">
      <w:pPr>
        <w:pStyle w:val="BodyText"/>
        <w:spacing w:before="201"/>
        <w:ind w:left="560" w:right="782"/>
      </w:pPr>
      <w:r>
        <w:t>In light of the above and to provide transparency on Australia’s relative performance, the Department of Infrastructure, Transport, Regional Development and Communications (the Department) will monitor indicators that are relevant to fixed broadband in Australia, and make comparisons to countries with similar economies and geography. The methodology has been developed by PricewaterhouseCoopers Australia (PwC), which provided an independent assessment of the strengths and limitations of existing measures and proposed a transparent and robust basis for ongoing monitoring.</w:t>
      </w:r>
    </w:p>
    <w:p w:rsidR="00936AAD" w:rsidRDefault="00760C5B">
      <w:pPr>
        <w:pStyle w:val="BodyText"/>
        <w:spacing w:before="198"/>
        <w:ind w:left="560" w:right="625"/>
      </w:pPr>
      <w:r>
        <w:t>The findings from the new methodology will be published by the Department’s Bureau of Communications, Arts and Regional Research (BCARR) in a series of fact sheets, with the indicators able to be updated over time.</w:t>
      </w:r>
    </w:p>
    <w:p w:rsidR="00936AAD" w:rsidRDefault="00760C5B" w:rsidP="004B1042">
      <w:pPr>
        <w:pStyle w:val="Heading2thisdocument"/>
      </w:pPr>
      <w:r>
        <w:t>Issues with commonly used broadband comparisons</w:t>
      </w:r>
    </w:p>
    <w:p w:rsidR="00936AAD" w:rsidRDefault="00760C5B" w:rsidP="004B1042">
      <w:pPr>
        <w:pStyle w:val="Heading3thisdocument"/>
      </w:pPr>
      <w:r>
        <w:t>Existing measures do not provide like-for-like comparisons</w:t>
      </w:r>
    </w:p>
    <w:p w:rsidR="00936AAD" w:rsidRDefault="00760C5B">
      <w:pPr>
        <w:pStyle w:val="BodyText"/>
        <w:spacing w:before="122"/>
        <w:ind w:left="560" w:right="908"/>
      </w:pPr>
      <w:r>
        <w:t>No country is easily comparable to another. For example, by global standards, Australia is wealthy and highly urbanised, but our population is also spread across a vast landmass. Our income and geography mean that Australia is more readily comparable with Canada than with city states like Singapore, or densely-populated countries such as the United Kingdom.</w:t>
      </w:r>
    </w:p>
    <w:p w:rsidR="00936AAD" w:rsidRDefault="00936AAD">
      <w:pPr>
        <w:sectPr w:rsidR="00936AAD">
          <w:footerReference w:type="default" r:id="rId9"/>
          <w:type w:val="continuous"/>
          <w:pgSz w:w="11910" w:h="16840"/>
          <w:pgMar w:top="700" w:right="500" w:bottom="740" w:left="880" w:header="720" w:footer="556" w:gutter="0"/>
          <w:pgNumType w:start="1"/>
          <w:cols w:space="720"/>
        </w:sectPr>
      </w:pPr>
    </w:p>
    <w:p w:rsidR="00936AAD" w:rsidRDefault="00760C5B">
      <w:pPr>
        <w:pStyle w:val="BodyText"/>
        <w:spacing w:before="99"/>
        <w:ind w:left="560" w:right="900" w:hanging="1"/>
      </w:pPr>
      <w:r>
        <w:lastRenderedPageBreak/>
        <w:t>Existing international comparisons are generally not able to make meaningful like-for-like comparisons between countries. They do not take into account that differences in performance observed between countries may reflect differences in the characteristics of countries (such as geography or population density). This means that performance differences offer very limited measures of actual country performance.</w:t>
      </w:r>
    </w:p>
    <w:p w:rsidR="00936AAD" w:rsidRDefault="00760C5B" w:rsidP="004B1042">
      <w:pPr>
        <w:pStyle w:val="Heading3thisdocument"/>
      </w:pPr>
      <w:r>
        <w:t>There are limitations to existing speed tests</w:t>
      </w:r>
    </w:p>
    <w:p w:rsidR="00936AAD" w:rsidRDefault="00760C5B">
      <w:pPr>
        <w:pStyle w:val="BodyText"/>
        <w:spacing w:before="120"/>
        <w:ind w:left="560" w:right="731"/>
      </w:pPr>
      <w:r>
        <w:t>International comparisons of broadband performance tend to focus on comparing countries based on tests of ‘average experienced download speed’. Speed tests, which measure the speed experienced, have a number of limitations that affect how they are interpreted.</w:t>
      </w:r>
    </w:p>
    <w:p w:rsidR="00936AAD" w:rsidRDefault="00760C5B">
      <w:pPr>
        <w:pStyle w:val="BodyText"/>
        <w:spacing w:before="200"/>
        <w:ind w:left="560" w:right="753"/>
      </w:pPr>
      <w:r>
        <w:t>First, the results are affected by a range of factors including congestion, the speed of a user’s broadband subscription plan and the technical configuration of the test itself.</w:t>
      </w:r>
    </w:p>
    <w:p w:rsidR="00936AAD" w:rsidRDefault="00760C5B">
      <w:pPr>
        <w:pStyle w:val="BodyText"/>
        <w:spacing w:before="200"/>
        <w:ind w:left="560" w:right="640"/>
      </w:pPr>
      <w:r>
        <w:t>Methodological factors also impact a user’s experienced speed. These include collection factors such as the time and frequency of measurement, location of measurement (such as the customer’s premises, or at another point in the network), how the user has configured their access to the network, and how the measurement itself has been designed.</w:t>
      </w:r>
    </w:p>
    <w:p w:rsidR="00936AAD" w:rsidRDefault="00760C5B">
      <w:pPr>
        <w:pStyle w:val="BodyText"/>
        <w:spacing w:before="200"/>
        <w:ind w:left="560" w:right="650" w:hanging="1"/>
      </w:pPr>
      <w:r>
        <w:t>Cross-country comparisons can also be limited by sampling differences, such as the size and cohort of users sampled in broadband performance measures. For example, in some countries there are several million speed tests conducted every month, whereas in other countries there may only be a few hundred speed tests conducted over the same period. Further, some speed tests allow the inclusion of results even from quite small samples. This means the results are not able to be compared consistently as smaller sample sizes are less likely to be representative of whole-of-country results.</w:t>
      </w:r>
    </w:p>
    <w:p w:rsidR="00936AAD" w:rsidRDefault="00760C5B" w:rsidP="004B1042">
      <w:pPr>
        <w:pStyle w:val="Heading3thisdocument"/>
      </w:pPr>
      <w:r>
        <w:t>Speed alone is not a sufficiently useful measure to assess fixed broadband performance</w:t>
      </w:r>
    </w:p>
    <w:p w:rsidR="00936AAD" w:rsidRDefault="00760C5B">
      <w:pPr>
        <w:pStyle w:val="BodyText"/>
        <w:spacing w:before="122"/>
        <w:ind w:left="560" w:right="751"/>
      </w:pPr>
      <w:r>
        <w:t>The term broadband performance can be used to refer to many aspects of broadband experience—from the speeds possible on broadband infrastructure to the real-world speeds experienced by users.</w:t>
      </w:r>
    </w:p>
    <w:p w:rsidR="00936AAD" w:rsidRDefault="00760C5B">
      <w:pPr>
        <w:pStyle w:val="BodyText"/>
        <w:spacing w:before="1"/>
        <w:ind w:left="560" w:right="668"/>
      </w:pPr>
      <w:r>
        <w:t>Broadband performance can also refer to network coverage, population uptake, data usage and reliability within a country.</w:t>
      </w:r>
    </w:p>
    <w:p w:rsidR="00936AAD" w:rsidRDefault="00760C5B">
      <w:pPr>
        <w:pStyle w:val="BodyText"/>
        <w:spacing w:before="199"/>
        <w:ind w:left="559" w:right="756"/>
        <w:jc w:val="both"/>
      </w:pPr>
      <w:r>
        <w:t>Experienced speed measures, on their own, have limited relevance for understanding and assessing fixed broadband performance. Other elements of broadband performance include the speeds users subscribe to, network coverage, uptake of broadband services, network congestion at the test time and the quality of in-home networks.</w:t>
      </w:r>
    </w:p>
    <w:p w:rsidR="00936AAD" w:rsidRDefault="00760C5B" w:rsidP="004B1042">
      <w:pPr>
        <w:pStyle w:val="Heading2thisdocument"/>
      </w:pPr>
      <w:r>
        <w:t>A new approach to compare Australia’s broadband performance</w:t>
      </w:r>
    </w:p>
    <w:p w:rsidR="00936AAD" w:rsidRDefault="00760C5B">
      <w:pPr>
        <w:pStyle w:val="BodyText"/>
        <w:spacing w:before="202"/>
        <w:ind w:left="559" w:right="736"/>
      </w:pPr>
      <w:r>
        <w:t>The new suite of measures developed by PwC address the shortcomings with existing measures and provide a more robust way to compare Australia’s broadband performance against similar countries. The measures were developed following a review of existing international comparisons and consultation with key sector regulators and industry experts in Australia and internationally.</w:t>
      </w:r>
    </w:p>
    <w:p w:rsidR="00936AAD" w:rsidRDefault="00760C5B">
      <w:pPr>
        <w:pStyle w:val="BodyText"/>
        <w:spacing w:before="200"/>
        <w:ind w:left="560" w:right="1340" w:hanging="1"/>
      </w:pPr>
      <w:r>
        <w:t>The new suite of measures enables more like-for-like comparisons across countries, and provide a broader range of relevant measures for assessing fixed broadband performance.</w:t>
      </w:r>
    </w:p>
    <w:p w:rsidR="00936AAD" w:rsidRDefault="00760C5B" w:rsidP="004B1042">
      <w:pPr>
        <w:pStyle w:val="Heading3thisdocument"/>
      </w:pPr>
      <w:r>
        <w:lastRenderedPageBreak/>
        <w:t>Like-for-like comparisons</w:t>
      </w:r>
    </w:p>
    <w:p w:rsidR="00936AAD" w:rsidRDefault="00760C5B">
      <w:pPr>
        <w:pStyle w:val="BodyText"/>
        <w:spacing w:before="122"/>
        <w:ind w:left="560" w:right="789"/>
      </w:pPr>
      <w:r>
        <w:t>The new methodology incorporates countries against which Australia can most usefully be compared. In developing the list of comparable countries, a range of factors were considered, including economic composition, geographical distribution of population, and population size.</w:t>
      </w:r>
    </w:p>
    <w:p w:rsidR="00936AAD" w:rsidRDefault="00760C5B">
      <w:pPr>
        <w:pStyle w:val="ListParagraph"/>
        <w:numPr>
          <w:ilvl w:val="0"/>
          <w:numId w:val="1"/>
        </w:numPr>
        <w:tabs>
          <w:tab w:val="left" w:pos="1126"/>
          <w:tab w:val="left" w:pos="1127"/>
        </w:tabs>
        <w:spacing w:before="200"/>
        <w:ind w:right="727"/>
        <w:rPr>
          <w:sz w:val="20"/>
        </w:rPr>
      </w:pPr>
      <w:r>
        <w:rPr>
          <w:b/>
          <w:sz w:val="20"/>
        </w:rPr>
        <w:t>Economic composition</w:t>
      </w:r>
      <w:r>
        <w:rPr>
          <w:sz w:val="20"/>
        </w:rPr>
        <w:t>: A country’s ability to replicate policies/practices that promote improved broadband performance will be driven in part by the similarity of that economy to others. A similar economic composition is also correlated with similar regulatory constraints, decision-making processes and trade-offs around investment. GDP per capita is used to capture a country’s economic composition.</w:t>
      </w:r>
    </w:p>
    <w:p w:rsidR="00936AAD" w:rsidRDefault="00760C5B">
      <w:pPr>
        <w:pStyle w:val="ListParagraph"/>
        <w:numPr>
          <w:ilvl w:val="0"/>
          <w:numId w:val="1"/>
        </w:numPr>
        <w:tabs>
          <w:tab w:val="left" w:pos="1126"/>
          <w:tab w:val="left" w:pos="1127"/>
        </w:tabs>
        <w:ind w:right="700"/>
        <w:rPr>
          <w:sz w:val="20"/>
        </w:rPr>
      </w:pPr>
      <w:r>
        <w:rPr>
          <w:b/>
          <w:sz w:val="20"/>
        </w:rPr>
        <w:t>Geographic distribution of population</w:t>
      </w:r>
      <w:r>
        <w:rPr>
          <w:sz w:val="20"/>
        </w:rPr>
        <w:t>: The spread of people has important implications for the costs and complexity required to build and maintain a fixed broadband network, and therefore the ability to replicate policies/practices related to broadband performance. This is particularly relevant for Australia, which has a sparse population in parts of the country. Population density is used to capture a country’s geographic distribution of</w:t>
      </w:r>
      <w:r>
        <w:rPr>
          <w:spacing w:val="-6"/>
          <w:sz w:val="20"/>
        </w:rPr>
        <w:t xml:space="preserve"> </w:t>
      </w:r>
      <w:r>
        <w:rPr>
          <w:sz w:val="20"/>
        </w:rPr>
        <w:t>population.</w:t>
      </w:r>
    </w:p>
    <w:p w:rsidR="00936AAD" w:rsidRDefault="00760C5B">
      <w:pPr>
        <w:pStyle w:val="ListParagraph"/>
        <w:numPr>
          <w:ilvl w:val="0"/>
          <w:numId w:val="1"/>
        </w:numPr>
        <w:tabs>
          <w:tab w:val="left" w:pos="1126"/>
          <w:tab w:val="left" w:pos="1127"/>
        </w:tabs>
        <w:spacing w:before="120"/>
        <w:ind w:right="762"/>
        <w:rPr>
          <w:sz w:val="20"/>
        </w:rPr>
      </w:pPr>
      <w:r>
        <w:rPr>
          <w:b/>
          <w:sz w:val="20"/>
        </w:rPr>
        <w:t>Population size</w:t>
      </w:r>
      <w:r>
        <w:rPr>
          <w:sz w:val="20"/>
        </w:rPr>
        <w:t>: The size of a country’s population is also likely to contribute to the relative cost and resources required to build and maintain a fixed broadband network, and therefore the ability to replicate policies/practices around broadband performance. Population is used to capture a country’s</w:t>
      </w:r>
      <w:r>
        <w:rPr>
          <w:spacing w:val="-2"/>
          <w:sz w:val="20"/>
        </w:rPr>
        <w:t xml:space="preserve"> </w:t>
      </w:r>
      <w:r>
        <w:rPr>
          <w:sz w:val="20"/>
        </w:rPr>
        <w:t>size.</w:t>
      </w:r>
    </w:p>
    <w:p w:rsidR="00936AAD" w:rsidRDefault="00760C5B">
      <w:pPr>
        <w:pStyle w:val="BodyText"/>
        <w:spacing w:before="200"/>
        <w:ind w:left="560"/>
      </w:pPr>
      <w:r>
        <w:t>Based on the above approach, a list of 20 comparable countries has been developed. These are listed at</w:t>
      </w:r>
    </w:p>
    <w:p w:rsidR="00936AAD" w:rsidRDefault="00760C5B">
      <w:pPr>
        <w:spacing w:before="2"/>
        <w:ind w:left="560"/>
        <w:rPr>
          <w:rFonts w:ascii="Segoe UI"/>
          <w:sz w:val="20"/>
        </w:rPr>
      </w:pPr>
      <w:r>
        <w:rPr>
          <w:rFonts w:ascii="Segoe UI"/>
          <w:b/>
          <w:color w:val="002D72"/>
          <w:sz w:val="20"/>
          <w:u w:val="single" w:color="002D72"/>
        </w:rPr>
        <w:t>Appendix A</w:t>
      </w:r>
      <w:r>
        <w:rPr>
          <w:rFonts w:ascii="Segoe UI"/>
          <w:sz w:val="20"/>
        </w:rPr>
        <w:t>.</w:t>
      </w:r>
    </w:p>
    <w:p w:rsidR="00936AAD" w:rsidRDefault="00760C5B" w:rsidP="004B1042">
      <w:pPr>
        <w:pStyle w:val="Heading3thisdocument"/>
      </w:pPr>
      <w:r>
        <w:t>Fixed broadband performance measures</w:t>
      </w:r>
    </w:p>
    <w:p w:rsidR="00936AAD" w:rsidRDefault="00760C5B">
      <w:pPr>
        <w:pStyle w:val="BodyText"/>
        <w:spacing w:before="122"/>
        <w:ind w:left="560" w:right="1028"/>
      </w:pPr>
      <w:r>
        <w:t>In the context of the issues described above, the following have been identified as indicators for fixed broadband performance:</w:t>
      </w:r>
    </w:p>
    <w:p w:rsidR="00936AAD" w:rsidRDefault="00760C5B">
      <w:pPr>
        <w:pStyle w:val="ListParagraph"/>
        <w:numPr>
          <w:ilvl w:val="0"/>
          <w:numId w:val="1"/>
        </w:numPr>
        <w:tabs>
          <w:tab w:val="left" w:pos="1126"/>
          <w:tab w:val="left" w:pos="1127"/>
        </w:tabs>
        <w:spacing w:before="200"/>
        <w:ind w:right="782"/>
        <w:rPr>
          <w:sz w:val="20"/>
        </w:rPr>
      </w:pPr>
      <w:r>
        <w:rPr>
          <w:b/>
          <w:sz w:val="20"/>
        </w:rPr>
        <w:t xml:space="preserve">Coverage </w:t>
      </w:r>
      <w:r>
        <w:rPr>
          <w:sz w:val="20"/>
        </w:rPr>
        <w:t>measures—these indicate the opportunity for citizens to access the benefits facilitated by a broadband connection. Accessibility is expected to be particularly important in the context of the digital divide</w:t>
      </w:r>
      <w:r w:rsidR="004608AC">
        <w:rPr>
          <w:rStyle w:val="FootnoteReference"/>
          <w:sz w:val="20"/>
        </w:rPr>
        <w:footnoteReference w:id="1"/>
      </w:r>
      <w:r>
        <w:rPr>
          <w:sz w:val="20"/>
        </w:rPr>
        <w:t>—widespread access to fixed broadband can be considered to represent good broadband performance, given it is a key requirement to enabling all citizens to experience the social and economic benefits of the digital</w:t>
      </w:r>
      <w:r>
        <w:rPr>
          <w:spacing w:val="-2"/>
          <w:sz w:val="20"/>
        </w:rPr>
        <w:t xml:space="preserve"> </w:t>
      </w:r>
      <w:r>
        <w:rPr>
          <w:sz w:val="20"/>
        </w:rPr>
        <w:t>economy.</w:t>
      </w:r>
    </w:p>
    <w:p w:rsidR="00936AAD" w:rsidRDefault="00760C5B">
      <w:pPr>
        <w:pStyle w:val="ListParagraph"/>
        <w:numPr>
          <w:ilvl w:val="0"/>
          <w:numId w:val="1"/>
        </w:numPr>
        <w:tabs>
          <w:tab w:val="left" w:pos="1126"/>
          <w:tab w:val="left" w:pos="1127"/>
        </w:tabs>
        <w:spacing w:before="120"/>
        <w:rPr>
          <w:sz w:val="20"/>
        </w:rPr>
      </w:pPr>
      <w:r>
        <w:rPr>
          <w:b/>
          <w:sz w:val="20"/>
        </w:rPr>
        <w:t xml:space="preserve">Minimum speed </w:t>
      </w:r>
      <w:r>
        <w:rPr>
          <w:sz w:val="20"/>
        </w:rPr>
        <w:t>measures—this indicates whether the overall user experience is improving. Where consumers have reliable access to higher subscription speed tiers, this will represent a positive outcome where speed brings improvements to the quality of</w:t>
      </w:r>
      <w:r>
        <w:rPr>
          <w:spacing w:val="-9"/>
          <w:sz w:val="20"/>
        </w:rPr>
        <w:t xml:space="preserve"> </w:t>
      </w:r>
      <w:r>
        <w:rPr>
          <w:sz w:val="20"/>
        </w:rPr>
        <w:t>experience.</w:t>
      </w:r>
    </w:p>
    <w:p w:rsidR="00936AAD" w:rsidRDefault="00760C5B">
      <w:pPr>
        <w:pStyle w:val="ListParagraph"/>
        <w:numPr>
          <w:ilvl w:val="0"/>
          <w:numId w:val="1"/>
        </w:numPr>
        <w:tabs>
          <w:tab w:val="left" w:pos="1126"/>
          <w:tab w:val="left" w:pos="1127"/>
        </w:tabs>
        <w:spacing w:before="121"/>
        <w:ind w:right="720"/>
        <w:rPr>
          <w:sz w:val="20"/>
        </w:rPr>
      </w:pPr>
      <w:r>
        <w:rPr>
          <w:b/>
          <w:sz w:val="20"/>
        </w:rPr>
        <w:t xml:space="preserve">Uptake of higher speed plans </w:t>
      </w:r>
      <w:r>
        <w:rPr>
          <w:sz w:val="20"/>
        </w:rPr>
        <w:t>measures—this is another measure of user experience, but also indicates that citizens are aware of the social and economic benefits of fixed broadband. Actual uptake of broadband is also important to understanding coverage—it is fundamentally linked to citizens realising the social and economic benefits of fixed broadband. Therefore, good broadband performance may be associated with high levels of broadband</w:t>
      </w:r>
      <w:r>
        <w:rPr>
          <w:spacing w:val="-9"/>
          <w:sz w:val="20"/>
        </w:rPr>
        <w:t xml:space="preserve"> </w:t>
      </w:r>
      <w:r>
        <w:rPr>
          <w:sz w:val="20"/>
        </w:rPr>
        <w:t>utilisation.</w:t>
      </w:r>
    </w:p>
    <w:p w:rsidR="00936AAD" w:rsidRDefault="00760C5B" w:rsidP="00686FE3">
      <w:pPr>
        <w:pStyle w:val="ListParagraph"/>
        <w:numPr>
          <w:ilvl w:val="0"/>
          <w:numId w:val="1"/>
        </w:numPr>
        <w:tabs>
          <w:tab w:val="left" w:pos="1126"/>
          <w:tab w:val="left" w:pos="1127"/>
        </w:tabs>
        <w:spacing w:before="60"/>
        <w:ind w:left="559" w:right="782"/>
      </w:pPr>
      <w:r w:rsidRPr="004608AC">
        <w:rPr>
          <w:b/>
          <w:sz w:val="20"/>
        </w:rPr>
        <w:t>Data usage—</w:t>
      </w:r>
      <w:r>
        <w:rPr>
          <w:sz w:val="20"/>
        </w:rPr>
        <w:t>this is an outcome measure that conveys the overall extent to which citizens are realising the benefits of fixed broadband, and how the network is being utilised. As one indicator for how much broadband is being used, greater levels of usage may reflect greater realisation of broadband’s benefits and therefore be an indication of good</w:t>
      </w:r>
      <w:r w:rsidRPr="004608AC">
        <w:rPr>
          <w:spacing w:val="-6"/>
          <w:sz w:val="20"/>
        </w:rPr>
        <w:t xml:space="preserve"> </w:t>
      </w:r>
      <w:r>
        <w:rPr>
          <w:sz w:val="20"/>
        </w:rPr>
        <w:t>performance.</w:t>
      </w:r>
    </w:p>
    <w:p w:rsidR="00936AAD" w:rsidRDefault="00936AAD">
      <w:pPr>
        <w:sectPr w:rsidR="00936AAD" w:rsidSect="002B3304">
          <w:headerReference w:type="default" r:id="rId10"/>
          <w:footerReference w:type="default" r:id="rId11"/>
          <w:pgSz w:w="11910" w:h="16840"/>
          <w:pgMar w:top="2410" w:right="500" w:bottom="740" w:left="880" w:header="0" w:footer="556" w:gutter="0"/>
          <w:cols w:space="720"/>
        </w:sectPr>
      </w:pPr>
    </w:p>
    <w:p w:rsidR="00936AAD" w:rsidRDefault="00760C5B" w:rsidP="004B1042">
      <w:pPr>
        <w:pStyle w:val="Heading2thisdocument"/>
      </w:pPr>
      <w:r>
        <w:lastRenderedPageBreak/>
        <w:t>Appendix A: List of countries for international comparison of broadband performance</w:t>
      </w:r>
    </w:p>
    <w:tbl>
      <w:tblPr>
        <w:tblW w:w="0" w:type="auto"/>
        <w:tblInd w:w="5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Description w:val="List of countries for international comparison of broadband performance"/>
      </w:tblPr>
      <w:tblGrid>
        <w:gridCol w:w="2326"/>
        <w:gridCol w:w="2316"/>
        <w:gridCol w:w="2340"/>
        <w:gridCol w:w="2342"/>
      </w:tblGrid>
      <w:tr w:rsidR="00936AAD" w:rsidTr="0084452B">
        <w:trPr>
          <w:cantSplit/>
          <w:trHeight w:val="916"/>
          <w:tblHeader/>
        </w:trPr>
        <w:tc>
          <w:tcPr>
            <w:tcW w:w="2326" w:type="dxa"/>
            <w:shd w:val="clear" w:color="auto" w:fill="F2F2F2"/>
          </w:tcPr>
          <w:p w:rsidR="00936AAD" w:rsidRDefault="00760C5B">
            <w:pPr>
              <w:pStyle w:val="TableParagraph"/>
              <w:ind w:left="107"/>
              <w:rPr>
                <w:b/>
                <w:sz w:val="28"/>
              </w:rPr>
            </w:pPr>
            <w:bookmarkStart w:id="1" w:name="_GoBack"/>
            <w:r>
              <w:rPr>
                <w:b/>
                <w:sz w:val="28"/>
              </w:rPr>
              <w:t>Country</w:t>
            </w:r>
          </w:p>
        </w:tc>
        <w:tc>
          <w:tcPr>
            <w:tcW w:w="2316" w:type="dxa"/>
            <w:shd w:val="clear" w:color="auto" w:fill="F2F2F2"/>
          </w:tcPr>
          <w:p w:rsidR="00936AAD" w:rsidRDefault="00760C5B">
            <w:pPr>
              <w:pStyle w:val="TableParagraph"/>
              <w:ind w:left="107"/>
              <w:rPr>
                <w:b/>
                <w:sz w:val="28"/>
              </w:rPr>
            </w:pPr>
            <w:r>
              <w:rPr>
                <w:b/>
                <w:sz w:val="28"/>
              </w:rPr>
              <w:t>GDP per capita</w:t>
            </w:r>
          </w:p>
        </w:tc>
        <w:tc>
          <w:tcPr>
            <w:tcW w:w="2340" w:type="dxa"/>
            <w:shd w:val="clear" w:color="auto" w:fill="F2F2F2"/>
          </w:tcPr>
          <w:p w:rsidR="00936AAD" w:rsidRDefault="00760C5B">
            <w:pPr>
              <w:pStyle w:val="TableParagraph"/>
              <w:ind w:left="107"/>
              <w:rPr>
                <w:b/>
                <w:sz w:val="28"/>
              </w:rPr>
            </w:pPr>
            <w:r>
              <w:rPr>
                <w:b/>
                <w:sz w:val="28"/>
              </w:rPr>
              <w:t>Population</w:t>
            </w:r>
          </w:p>
        </w:tc>
        <w:tc>
          <w:tcPr>
            <w:tcW w:w="2342" w:type="dxa"/>
            <w:shd w:val="clear" w:color="auto" w:fill="F2F2F2"/>
          </w:tcPr>
          <w:p w:rsidR="00936AAD" w:rsidRDefault="00760C5B">
            <w:pPr>
              <w:pStyle w:val="TableParagraph"/>
              <w:ind w:left="107" w:right="759"/>
              <w:rPr>
                <w:b/>
                <w:sz w:val="28"/>
              </w:rPr>
            </w:pPr>
            <w:r>
              <w:rPr>
                <w:b/>
                <w:sz w:val="28"/>
              </w:rPr>
              <w:t>Population Density</w:t>
            </w:r>
          </w:p>
        </w:tc>
      </w:tr>
      <w:tr w:rsidR="00936AAD" w:rsidTr="0084452B">
        <w:trPr>
          <w:cantSplit/>
          <w:trHeight w:val="436"/>
        </w:trPr>
        <w:tc>
          <w:tcPr>
            <w:tcW w:w="2326" w:type="dxa"/>
          </w:tcPr>
          <w:p w:rsidR="00936AAD" w:rsidRDefault="00760C5B">
            <w:pPr>
              <w:pStyle w:val="TableParagraph"/>
              <w:ind w:left="107"/>
              <w:rPr>
                <w:b/>
                <w:sz w:val="20"/>
              </w:rPr>
            </w:pPr>
            <w:r>
              <w:rPr>
                <w:b/>
                <w:sz w:val="20"/>
              </w:rPr>
              <w:t>Switzerland</w:t>
            </w:r>
          </w:p>
        </w:tc>
        <w:tc>
          <w:tcPr>
            <w:tcW w:w="2316" w:type="dxa"/>
          </w:tcPr>
          <w:p w:rsidR="00936AAD" w:rsidRDefault="00760C5B">
            <w:pPr>
              <w:pStyle w:val="TableParagraph"/>
              <w:ind w:left="763" w:right="757"/>
              <w:jc w:val="center"/>
              <w:rPr>
                <w:sz w:val="20"/>
              </w:rPr>
            </w:pPr>
            <w:r>
              <w:rPr>
                <w:sz w:val="20"/>
              </w:rPr>
              <w:t>$82,839</w:t>
            </w:r>
          </w:p>
        </w:tc>
        <w:tc>
          <w:tcPr>
            <w:tcW w:w="2340" w:type="dxa"/>
          </w:tcPr>
          <w:p w:rsidR="00936AAD" w:rsidRDefault="00760C5B">
            <w:pPr>
              <w:pStyle w:val="TableParagraph"/>
              <w:ind w:left="748"/>
              <w:rPr>
                <w:sz w:val="20"/>
              </w:rPr>
            </w:pPr>
            <w:r>
              <w:rPr>
                <w:sz w:val="20"/>
              </w:rPr>
              <w:t>8,516,543</w:t>
            </w:r>
          </w:p>
        </w:tc>
        <w:tc>
          <w:tcPr>
            <w:tcW w:w="2342" w:type="dxa"/>
          </w:tcPr>
          <w:p w:rsidR="00936AAD" w:rsidRDefault="00760C5B">
            <w:pPr>
              <w:pStyle w:val="TableParagraph"/>
              <w:ind w:right="924"/>
              <w:jc w:val="right"/>
              <w:rPr>
                <w:sz w:val="20"/>
              </w:rPr>
            </w:pPr>
            <w:r>
              <w:rPr>
                <w:sz w:val="20"/>
              </w:rPr>
              <w:t>215.5</w:t>
            </w:r>
          </w:p>
        </w:tc>
      </w:tr>
      <w:tr w:rsidR="00936AAD" w:rsidTr="0084452B">
        <w:trPr>
          <w:cantSplit/>
          <w:trHeight w:val="433"/>
        </w:trPr>
        <w:tc>
          <w:tcPr>
            <w:tcW w:w="2326" w:type="dxa"/>
          </w:tcPr>
          <w:p w:rsidR="00936AAD" w:rsidRDefault="00760C5B">
            <w:pPr>
              <w:pStyle w:val="TableParagraph"/>
              <w:ind w:left="107"/>
              <w:rPr>
                <w:b/>
                <w:sz w:val="20"/>
              </w:rPr>
            </w:pPr>
            <w:r>
              <w:rPr>
                <w:b/>
                <w:sz w:val="20"/>
              </w:rPr>
              <w:t>Norway</w:t>
            </w:r>
          </w:p>
        </w:tc>
        <w:tc>
          <w:tcPr>
            <w:tcW w:w="2316" w:type="dxa"/>
          </w:tcPr>
          <w:p w:rsidR="00936AAD" w:rsidRDefault="00760C5B">
            <w:pPr>
              <w:pStyle w:val="TableParagraph"/>
              <w:ind w:left="763" w:right="757"/>
              <w:jc w:val="center"/>
              <w:rPr>
                <w:sz w:val="20"/>
              </w:rPr>
            </w:pPr>
            <w:r>
              <w:rPr>
                <w:sz w:val="20"/>
              </w:rPr>
              <w:t>$81,807</w:t>
            </w:r>
          </w:p>
        </w:tc>
        <w:tc>
          <w:tcPr>
            <w:tcW w:w="2340" w:type="dxa"/>
          </w:tcPr>
          <w:p w:rsidR="00936AAD" w:rsidRDefault="00760C5B">
            <w:pPr>
              <w:pStyle w:val="TableParagraph"/>
              <w:ind w:left="748"/>
              <w:rPr>
                <w:sz w:val="20"/>
              </w:rPr>
            </w:pPr>
            <w:r>
              <w:rPr>
                <w:sz w:val="20"/>
              </w:rPr>
              <w:t>5,314,336</w:t>
            </w:r>
          </w:p>
        </w:tc>
        <w:tc>
          <w:tcPr>
            <w:tcW w:w="2342" w:type="dxa"/>
          </w:tcPr>
          <w:p w:rsidR="00936AAD" w:rsidRDefault="00760C5B">
            <w:pPr>
              <w:pStyle w:val="TableParagraph"/>
              <w:ind w:right="977"/>
              <w:jc w:val="right"/>
              <w:rPr>
                <w:sz w:val="20"/>
              </w:rPr>
            </w:pPr>
            <w:r>
              <w:rPr>
                <w:sz w:val="20"/>
              </w:rPr>
              <w:t>14.6</w:t>
            </w:r>
          </w:p>
        </w:tc>
      </w:tr>
      <w:tr w:rsidR="00936AAD" w:rsidTr="0084452B">
        <w:trPr>
          <w:cantSplit/>
          <w:trHeight w:val="436"/>
        </w:trPr>
        <w:tc>
          <w:tcPr>
            <w:tcW w:w="2326" w:type="dxa"/>
          </w:tcPr>
          <w:p w:rsidR="00936AAD" w:rsidRDefault="00760C5B">
            <w:pPr>
              <w:pStyle w:val="TableParagraph"/>
              <w:spacing w:before="86"/>
              <w:ind w:left="107"/>
              <w:rPr>
                <w:b/>
                <w:sz w:val="20"/>
              </w:rPr>
            </w:pPr>
            <w:r>
              <w:rPr>
                <w:b/>
                <w:sz w:val="20"/>
              </w:rPr>
              <w:t>Ireland</w:t>
            </w:r>
          </w:p>
        </w:tc>
        <w:tc>
          <w:tcPr>
            <w:tcW w:w="2316" w:type="dxa"/>
          </w:tcPr>
          <w:p w:rsidR="00936AAD" w:rsidRDefault="00760C5B">
            <w:pPr>
              <w:pStyle w:val="TableParagraph"/>
              <w:spacing w:before="86"/>
              <w:ind w:left="763" w:right="757"/>
              <w:jc w:val="center"/>
              <w:rPr>
                <w:sz w:val="20"/>
              </w:rPr>
            </w:pPr>
            <w:r>
              <w:rPr>
                <w:sz w:val="20"/>
              </w:rPr>
              <w:t>$78,806</w:t>
            </w:r>
          </w:p>
        </w:tc>
        <w:tc>
          <w:tcPr>
            <w:tcW w:w="2340" w:type="dxa"/>
          </w:tcPr>
          <w:p w:rsidR="00936AAD" w:rsidRDefault="00760C5B">
            <w:pPr>
              <w:pStyle w:val="TableParagraph"/>
              <w:spacing w:before="86"/>
              <w:ind w:left="748"/>
              <w:rPr>
                <w:sz w:val="20"/>
              </w:rPr>
            </w:pPr>
            <w:r>
              <w:rPr>
                <w:sz w:val="20"/>
              </w:rPr>
              <w:t>4,853,506</w:t>
            </w:r>
          </w:p>
        </w:tc>
        <w:tc>
          <w:tcPr>
            <w:tcW w:w="2342" w:type="dxa"/>
          </w:tcPr>
          <w:p w:rsidR="00936AAD" w:rsidRDefault="00760C5B">
            <w:pPr>
              <w:pStyle w:val="TableParagraph"/>
              <w:spacing w:before="86"/>
              <w:ind w:right="977"/>
              <w:jc w:val="right"/>
              <w:rPr>
                <w:sz w:val="20"/>
              </w:rPr>
            </w:pPr>
            <w:r>
              <w:rPr>
                <w:sz w:val="20"/>
              </w:rPr>
              <w:t>70.5</w:t>
            </w:r>
          </w:p>
        </w:tc>
      </w:tr>
      <w:tr w:rsidR="00936AAD" w:rsidTr="0084452B">
        <w:trPr>
          <w:cantSplit/>
          <w:trHeight w:val="436"/>
        </w:trPr>
        <w:tc>
          <w:tcPr>
            <w:tcW w:w="2326" w:type="dxa"/>
          </w:tcPr>
          <w:p w:rsidR="00936AAD" w:rsidRDefault="00760C5B">
            <w:pPr>
              <w:pStyle w:val="TableParagraph"/>
              <w:spacing w:before="86"/>
              <w:ind w:left="107"/>
              <w:rPr>
                <w:b/>
                <w:sz w:val="20"/>
              </w:rPr>
            </w:pPr>
            <w:r>
              <w:rPr>
                <w:b/>
                <w:sz w:val="20"/>
              </w:rPr>
              <w:t>Qatar</w:t>
            </w:r>
          </w:p>
        </w:tc>
        <w:tc>
          <w:tcPr>
            <w:tcW w:w="2316" w:type="dxa"/>
          </w:tcPr>
          <w:p w:rsidR="00936AAD" w:rsidRDefault="00760C5B">
            <w:pPr>
              <w:pStyle w:val="TableParagraph"/>
              <w:spacing w:before="86"/>
              <w:ind w:left="763" w:right="757"/>
              <w:jc w:val="center"/>
              <w:rPr>
                <w:sz w:val="20"/>
              </w:rPr>
            </w:pPr>
            <w:r>
              <w:rPr>
                <w:sz w:val="20"/>
              </w:rPr>
              <w:t>$69,026</w:t>
            </w:r>
          </w:p>
        </w:tc>
        <w:tc>
          <w:tcPr>
            <w:tcW w:w="2340" w:type="dxa"/>
          </w:tcPr>
          <w:p w:rsidR="00936AAD" w:rsidRDefault="00760C5B">
            <w:pPr>
              <w:pStyle w:val="TableParagraph"/>
              <w:spacing w:before="86"/>
              <w:ind w:left="748"/>
              <w:rPr>
                <w:sz w:val="20"/>
              </w:rPr>
            </w:pPr>
            <w:r>
              <w:rPr>
                <w:sz w:val="20"/>
              </w:rPr>
              <w:t>2,781,677</w:t>
            </w:r>
          </w:p>
        </w:tc>
        <w:tc>
          <w:tcPr>
            <w:tcW w:w="2342" w:type="dxa"/>
          </w:tcPr>
          <w:p w:rsidR="00936AAD" w:rsidRDefault="00760C5B">
            <w:pPr>
              <w:pStyle w:val="TableParagraph"/>
              <w:spacing w:before="86"/>
              <w:ind w:right="924"/>
              <w:jc w:val="right"/>
              <w:rPr>
                <w:sz w:val="20"/>
              </w:rPr>
            </w:pPr>
            <w:r>
              <w:rPr>
                <w:sz w:val="20"/>
              </w:rPr>
              <w:t>239.6</w:t>
            </w:r>
          </w:p>
        </w:tc>
      </w:tr>
      <w:tr w:rsidR="00936AAD" w:rsidTr="0084452B">
        <w:trPr>
          <w:cantSplit/>
          <w:trHeight w:val="436"/>
        </w:trPr>
        <w:tc>
          <w:tcPr>
            <w:tcW w:w="2326" w:type="dxa"/>
          </w:tcPr>
          <w:p w:rsidR="00936AAD" w:rsidRDefault="00760C5B">
            <w:pPr>
              <w:pStyle w:val="TableParagraph"/>
              <w:ind w:left="107"/>
              <w:rPr>
                <w:b/>
                <w:sz w:val="20"/>
              </w:rPr>
            </w:pPr>
            <w:r>
              <w:rPr>
                <w:b/>
                <w:sz w:val="20"/>
              </w:rPr>
              <w:t>United States</w:t>
            </w:r>
          </w:p>
        </w:tc>
        <w:tc>
          <w:tcPr>
            <w:tcW w:w="2316" w:type="dxa"/>
          </w:tcPr>
          <w:p w:rsidR="00936AAD" w:rsidRDefault="00760C5B">
            <w:pPr>
              <w:pStyle w:val="TableParagraph"/>
              <w:ind w:left="763" w:right="757"/>
              <w:jc w:val="center"/>
              <w:rPr>
                <w:sz w:val="20"/>
              </w:rPr>
            </w:pPr>
            <w:r>
              <w:rPr>
                <w:sz w:val="20"/>
              </w:rPr>
              <w:t>$62,641</w:t>
            </w:r>
          </w:p>
        </w:tc>
        <w:tc>
          <w:tcPr>
            <w:tcW w:w="2340" w:type="dxa"/>
          </w:tcPr>
          <w:p w:rsidR="00936AAD" w:rsidRDefault="00760C5B">
            <w:pPr>
              <w:pStyle w:val="TableParagraph"/>
              <w:ind w:right="629"/>
              <w:jc w:val="right"/>
              <w:rPr>
                <w:sz w:val="20"/>
              </w:rPr>
            </w:pPr>
            <w:r>
              <w:rPr>
                <w:sz w:val="20"/>
              </w:rPr>
              <w:t>327,167,434</w:t>
            </w:r>
          </w:p>
        </w:tc>
        <w:tc>
          <w:tcPr>
            <w:tcW w:w="2342" w:type="dxa"/>
          </w:tcPr>
          <w:p w:rsidR="00936AAD" w:rsidRDefault="00760C5B">
            <w:pPr>
              <w:pStyle w:val="TableParagraph"/>
              <w:ind w:right="977"/>
              <w:jc w:val="right"/>
              <w:rPr>
                <w:sz w:val="20"/>
              </w:rPr>
            </w:pPr>
            <w:r>
              <w:rPr>
                <w:sz w:val="20"/>
              </w:rPr>
              <w:t>35.8</w:t>
            </w:r>
          </w:p>
        </w:tc>
      </w:tr>
      <w:tr w:rsidR="00936AAD" w:rsidTr="0084452B">
        <w:trPr>
          <w:cantSplit/>
          <w:trHeight w:val="436"/>
        </w:trPr>
        <w:tc>
          <w:tcPr>
            <w:tcW w:w="2326" w:type="dxa"/>
          </w:tcPr>
          <w:p w:rsidR="00936AAD" w:rsidRDefault="00760C5B">
            <w:pPr>
              <w:pStyle w:val="TableParagraph"/>
              <w:ind w:left="107"/>
              <w:rPr>
                <w:b/>
                <w:sz w:val="20"/>
              </w:rPr>
            </w:pPr>
            <w:r>
              <w:rPr>
                <w:b/>
                <w:sz w:val="20"/>
              </w:rPr>
              <w:t>Denmark</w:t>
            </w:r>
          </w:p>
        </w:tc>
        <w:tc>
          <w:tcPr>
            <w:tcW w:w="2316" w:type="dxa"/>
          </w:tcPr>
          <w:p w:rsidR="00936AAD" w:rsidRDefault="00760C5B">
            <w:pPr>
              <w:pStyle w:val="TableParagraph"/>
              <w:ind w:left="763" w:right="757"/>
              <w:jc w:val="center"/>
              <w:rPr>
                <w:sz w:val="20"/>
              </w:rPr>
            </w:pPr>
            <w:r>
              <w:rPr>
                <w:sz w:val="20"/>
              </w:rPr>
              <w:t>$60,726</w:t>
            </w:r>
          </w:p>
        </w:tc>
        <w:tc>
          <w:tcPr>
            <w:tcW w:w="2340" w:type="dxa"/>
          </w:tcPr>
          <w:p w:rsidR="00936AAD" w:rsidRDefault="00760C5B">
            <w:pPr>
              <w:pStyle w:val="TableParagraph"/>
              <w:ind w:left="748"/>
              <w:rPr>
                <w:sz w:val="20"/>
              </w:rPr>
            </w:pPr>
            <w:r>
              <w:rPr>
                <w:sz w:val="20"/>
              </w:rPr>
              <w:t>5,797,446</w:t>
            </w:r>
          </w:p>
        </w:tc>
        <w:tc>
          <w:tcPr>
            <w:tcW w:w="2342" w:type="dxa"/>
          </w:tcPr>
          <w:p w:rsidR="00936AAD" w:rsidRDefault="00760C5B">
            <w:pPr>
              <w:pStyle w:val="TableParagraph"/>
              <w:ind w:right="924"/>
              <w:jc w:val="right"/>
              <w:rPr>
                <w:sz w:val="20"/>
              </w:rPr>
            </w:pPr>
            <w:r>
              <w:rPr>
                <w:sz w:val="20"/>
              </w:rPr>
              <w:t>138.1</w:t>
            </w:r>
          </w:p>
        </w:tc>
      </w:tr>
      <w:tr w:rsidR="00936AAD" w:rsidTr="0084452B">
        <w:trPr>
          <w:cantSplit/>
          <w:trHeight w:val="436"/>
        </w:trPr>
        <w:tc>
          <w:tcPr>
            <w:tcW w:w="2326" w:type="dxa"/>
            <w:shd w:val="clear" w:color="auto" w:fill="BDFFFE"/>
          </w:tcPr>
          <w:p w:rsidR="00936AAD" w:rsidRDefault="00760C5B">
            <w:pPr>
              <w:pStyle w:val="TableParagraph"/>
              <w:ind w:left="107"/>
              <w:rPr>
                <w:b/>
                <w:sz w:val="20"/>
              </w:rPr>
            </w:pPr>
            <w:r>
              <w:rPr>
                <w:b/>
                <w:sz w:val="20"/>
              </w:rPr>
              <w:t>Australia</w:t>
            </w:r>
          </w:p>
        </w:tc>
        <w:tc>
          <w:tcPr>
            <w:tcW w:w="2316" w:type="dxa"/>
            <w:shd w:val="clear" w:color="auto" w:fill="BDFFFE"/>
          </w:tcPr>
          <w:p w:rsidR="00936AAD" w:rsidRDefault="00760C5B">
            <w:pPr>
              <w:pStyle w:val="TableParagraph"/>
              <w:ind w:left="763" w:right="758"/>
              <w:jc w:val="center"/>
              <w:rPr>
                <w:b/>
                <w:sz w:val="20"/>
              </w:rPr>
            </w:pPr>
            <w:r>
              <w:rPr>
                <w:b/>
                <w:sz w:val="20"/>
              </w:rPr>
              <w:t>$57,305</w:t>
            </w:r>
          </w:p>
        </w:tc>
        <w:tc>
          <w:tcPr>
            <w:tcW w:w="2340" w:type="dxa"/>
            <w:shd w:val="clear" w:color="auto" w:fill="BDFFFE"/>
          </w:tcPr>
          <w:p w:rsidR="00936AAD" w:rsidRDefault="00760C5B">
            <w:pPr>
              <w:pStyle w:val="TableParagraph"/>
              <w:ind w:right="646"/>
              <w:jc w:val="right"/>
              <w:rPr>
                <w:b/>
                <w:sz w:val="20"/>
              </w:rPr>
            </w:pPr>
            <w:r>
              <w:rPr>
                <w:b/>
                <w:sz w:val="20"/>
              </w:rPr>
              <w:t>24,992,369</w:t>
            </w:r>
          </w:p>
        </w:tc>
        <w:tc>
          <w:tcPr>
            <w:tcW w:w="2342" w:type="dxa"/>
            <w:shd w:val="clear" w:color="auto" w:fill="BDFFFE"/>
          </w:tcPr>
          <w:p w:rsidR="00936AAD" w:rsidRDefault="00760C5B">
            <w:pPr>
              <w:pStyle w:val="TableParagraph"/>
              <w:ind w:right="1020"/>
              <w:jc w:val="right"/>
              <w:rPr>
                <w:b/>
                <w:sz w:val="20"/>
              </w:rPr>
            </w:pPr>
            <w:r>
              <w:rPr>
                <w:b/>
                <w:w w:val="95"/>
                <w:sz w:val="20"/>
              </w:rPr>
              <w:t>3.2</w:t>
            </w:r>
          </w:p>
        </w:tc>
      </w:tr>
      <w:tr w:rsidR="00936AAD" w:rsidTr="0084452B">
        <w:trPr>
          <w:cantSplit/>
          <w:trHeight w:val="434"/>
        </w:trPr>
        <w:tc>
          <w:tcPr>
            <w:tcW w:w="2326" w:type="dxa"/>
          </w:tcPr>
          <w:p w:rsidR="00936AAD" w:rsidRDefault="00760C5B">
            <w:pPr>
              <w:pStyle w:val="TableParagraph"/>
              <w:ind w:left="107"/>
              <w:rPr>
                <w:b/>
                <w:sz w:val="20"/>
              </w:rPr>
            </w:pPr>
            <w:r>
              <w:rPr>
                <w:b/>
                <w:sz w:val="20"/>
              </w:rPr>
              <w:t>Sweden</w:t>
            </w:r>
          </w:p>
        </w:tc>
        <w:tc>
          <w:tcPr>
            <w:tcW w:w="2316" w:type="dxa"/>
          </w:tcPr>
          <w:p w:rsidR="00936AAD" w:rsidRDefault="00760C5B">
            <w:pPr>
              <w:pStyle w:val="TableParagraph"/>
              <w:ind w:left="763" w:right="757"/>
              <w:jc w:val="center"/>
              <w:rPr>
                <w:sz w:val="20"/>
              </w:rPr>
            </w:pPr>
            <w:r>
              <w:rPr>
                <w:sz w:val="20"/>
              </w:rPr>
              <w:t>$54,112</w:t>
            </w:r>
          </w:p>
        </w:tc>
        <w:tc>
          <w:tcPr>
            <w:tcW w:w="2340" w:type="dxa"/>
          </w:tcPr>
          <w:p w:rsidR="00936AAD" w:rsidRDefault="00760C5B">
            <w:pPr>
              <w:pStyle w:val="TableParagraph"/>
              <w:ind w:right="685"/>
              <w:jc w:val="right"/>
              <w:rPr>
                <w:sz w:val="20"/>
              </w:rPr>
            </w:pPr>
            <w:r>
              <w:rPr>
                <w:sz w:val="20"/>
              </w:rPr>
              <w:t>10,183,175</w:t>
            </w:r>
          </w:p>
        </w:tc>
        <w:tc>
          <w:tcPr>
            <w:tcW w:w="2342" w:type="dxa"/>
          </w:tcPr>
          <w:p w:rsidR="00936AAD" w:rsidRDefault="00760C5B">
            <w:pPr>
              <w:pStyle w:val="TableParagraph"/>
              <w:ind w:right="977"/>
              <w:jc w:val="right"/>
              <w:rPr>
                <w:sz w:val="20"/>
              </w:rPr>
            </w:pPr>
            <w:r>
              <w:rPr>
                <w:sz w:val="20"/>
              </w:rPr>
              <w:t>25.0</w:t>
            </w:r>
          </w:p>
        </w:tc>
      </w:tr>
      <w:tr w:rsidR="00936AAD" w:rsidTr="0084452B">
        <w:trPr>
          <w:cantSplit/>
          <w:trHeight w:val="436"/>
        </w:trPr>
        <w:tc>
          <w:tcPr>
            <w:tcW w:w="2326" w:type="dxa"/>
          </w:tcPr>
          <w:p w:rsidR="00936AAD" w:rsidRDefault="00760C5B">
            <w:pPr>
              <w:pStyle w:val="TableParagraph"/>
              <w:spacing w:before="86"/>
              <w:ind w:left="107"/>
              <w:rPr>
                <w:b/>
                <w:sz w:val="20"/>
              </w:rPr>
            </w:pPr>
            <w:r>
              <w:rPr>
                <w:b/>
                <w:sz w:val="20"/>
              </w:rPr>
              <w:t>Austria</w:t>
            </w:r>
          </w:p>
        </w:tc>
        <w:tc>
          <w:tcPr>
            <w:tcW w:w="2316" w:type="dxa"/>
          </w:tcPr>
          <w:p w:rsidR="00936AAD" w:rsidRDefault="00760C5B">
            <w:pPr>
              <w:pStyle w:val="TableParagraph"/>
              <w:spacing w:before="86"/>
              <w:ind w:left="763" w:right="757"/>
              <w:jc w:val="center"/>
              <w:rPr>
                <w:sz w:val="20"/>
              </w:rPr>
            </w:pPr>
            <w:r>
              <w:rPr>
                <w:sz w:val="20"/>
              </w:rPr>
              <w:t>$51,513</w:t>
            </w:r>
          </w:p>
        </w:tc>
        <w:tc>
          <w:tcPr>
            <w:tcW w:w="2340" w:type="dxa"/>
          </w:tcPr>
          <w:p w:rsidR="00936AAD" w:rsidRDefault="00760C5B">
            <w:pPr>
              <w:pStyle w:val="TableParagraph"/>
              <w:spacing w:before="86"/>
              <w:ind w:left="748"/>
              <w:rPr>
                <w:sz w:val="20"/>
              </w:rPr>
            </w:pPr>
            <w:r>
              <w:rPr>
                <w:sz w:val="20"/>
              </w:rPr>
              <w:t>8,847,037</w:t>
            </w:r>
          </w:p>
        </w:tc>
        <w:tc>
          <w:tcPr>
            <w:tcW w:w="2342" w:type="dxa"/>
          </w:tcPr>
          <w:p w:rsidR="00936AAD" w:rsidRDefault="00760C5B">
            <w:pPr>
              <w:pStyle w:val="TableParagraph"/>
              <w:spacing w:before="86"/>
              <w:ind w:right="924"/>
              <w:jc w:val="right"/>
              <w:rPr>
                <w:sz w:val="20"/>
              </w:rPr>
            </w:pPr>
            <w:r>
              <w:rPr>
                <w:sz w:val="20"/>
              </w:rPr>
              <w:t>107.2</w:t>
            </w:r>
          </w:p>
        </w:tc>
      </w:tr>
      <w:tr w:rsidR="00936AAD" w:rsidTr="0084452B">
        <w:trPr>
          <w:cantSplit/>
          <w:trHeight w:val="436"/>
        </w:trPr>
        <w:tc>
          <w:tcPr>
            <w:tcW w:w="2326" w:type="dxa"/>
          </w:tcPr>
          <w:p w:rsidR="00936AAD" w:rsidRDefault="00760C5B">
            <w:pPr>
              <w:pStyle w:val="TableParagraph"/>
              <w:spacing w:before="86"/>
              <w:ind w:left="107"/>
              <w:rPr>
                <w:b/>
                <w:sz w:val="20"/>
              </w:rPr>
            </w:pPr>
            <w:r>
              <w:rPr>
                <w:b/>
                <w:sz w:val="20"/>
              </w:rPr>
              <w:t>Finland</w:t>
            </w:r>
          </w:p>
        </w:tc>
        <w:tc>
          <w:tcPr>
            <w:tcW w:w="2316" w:type="dxa"/>
          </w:tcPr>
          <w:p w:rsidR="00936AAD" w:rsidRDefault="00760C5B">
            <w:pPr>
              <w:pStyle w:val="TableParagraph"/>
              <w:spacing w:before="86"/>
              <w:ind w:left="763" w:right="757"/>
              <w:jc w:val="center"/>
              <w:rPr>
                <w:sz w:val="20"/>
              </w:rPr>
            </w:pPr>
            <w:r>
              <w:rPr>
                <w:sz w:val="20"/>
              </w:rPr>
              <w:t>$49,648</w:t>
            </w:r>
          </w:p>
        </w:tc>
        <w:tc>
          <w:tcPr>
            <w:tcW w:w="2340" w:type="dxa"/>
          </w:tcPr>
          <w:p w:rsidR="00936AAD" w:rsidRDefault="00760C5B">
            <w:pPr>
              <w:pStyle w:val="TableParagraph"/>
              <w:spacing w:before="86"/>
              <w:ind w:left="748"/>
              <w:rPr>
                <w:sz w:val="20"/>
              </w:rPr>
            </w:pPr>
            <w:r>
              <w:rPr>
                <w:sz w:val="20"/>
              </w:rPr>
              <w:t>5,518,050</w:t>
            </w:r>
          </w:p>
        </w:tc>
        <w:tc>
          <w:tcPr>
            <w:tcW w:w="2342" w:type="dxa"/>
          </w:tcPr>
          <w:p w:rsidR="00936AAD" w:rsidRDefault="00760C5B">
            <w:pPr>
              <w:pStyle w:val="TableParagraph"/>
              <w:spacing w:before="86"/>
              <w:ind w:right="977"/>
              <w:jc w:val="right"/>
              <w:rPr>
                <w:sz w:val="20"/>
              </w:rPr>
            </w:pPr>
            <w:r>
              <w:rPr>
                <w:sz w:val="20"/>
              </w:rPr>
              <w:t>18.2</w:t>
            </w:r>
          </w:p>
        </w:tc>
      </w:tr>
      <w:tr w:rsidR="00936AAD" w:rsidTr="0084452B">
        <w:trPr>
          <w:cantSplit/>
          <w:trHeight w:val="436"/>
        </w:trPr>
        <w:tc>
          <w:tcPr>
            <w:tcW w:w="2326" w:type="dxa"/>
          </w:tcPr>
          <w:p w:rsidR="00936AAD" w:rsidRDefault="00760C5B">
            <w:pPr>
              <w:pStyle w:val="TableParagraph"/>
              <w:spacing w:before="86"/>
              <w:ind w:left="107"/>
              <w:rPr>
                <w:b/>
                <w:sz w:val="20"/>
              </w:rPr>
            </w:pPr>
            <w:r>
              <w:rPr>
                <w:b/>
                <w:sz w:val="20"/>
              </w:rPr>
              <w:t>Germany</w:t>
            </w:r>
          </w:p>
        </w:tc>
        <w:tc>
          <w:tcPr>
            <w:tcW w:w="2316" w:type="dxa"/>
          </w:tcPr>
          <w:p w:rsidR="00936AAD" w:rsidRDefault="00760C5B">
            <w:pPr>
              <w:pStyle w:val="TableParagraph"/>
              <w:spacing w:before="86"/>
              <w:ind w:left="763" w:right="757"/>
              <w:jc w:val="center"/>
              <w:rPr>
                <w:sz w:val="20"/>
              </w:rPr>
            </w:pPr>
            <w:r>
              <w:rPr>
                <w:sz w:val="20"/>
              </w:rPr>
              <w:t>$48,196</w:t>
            </w:r>
          </w:p>
        </w:tc>
        <w:tc>
          <w:tcPr>
            <w:tcW w:w="2340" w:type="dxa"/>
          </w:tcPr>
          <w:p w:rsidR="00936AAD" w:rsidRDefault="00760C5B">
            <w:pPr>
              <w:pStyle w:val="TableParagraph"/>
              <w:spacing w:before="86"/>
              <w:ind w:right="685"/>
              <w:jc w:val="right"/>
              <w:rPr>
                <w:sz w:val="20"/>
              </w:rPr>
            </w:pPr>
            <w:r>
              <w:rPr>
                <w:sz w:val="20"/>
              </w:rPr>
              <w:t>82,927,922</w:t>
            </w:r>
          </w:p>
        </w:tc>
        <w:tc>
          <w:tcPr>
            <w:tcW w:w="2342" w:type="dxa"/>
          </w:tcPr>
          <w:p w:rsidR="00936AAD" w:rsidRDefault="00760C5B">
            <w:pPr>
              <w:pStyle w:val="TableParagraph"/>
              <w:spacing w:before="86"/>
              <w:ind w:right="924"/>
              <w:jc w:val="right"/>
              <w:rPr>
                <w:sz w:val="20"/>
              </w:rPr>
            </w:pPr>
            <w:r>
              <w:rPr>
                <w:sz w:val="20"/>
              </w:rPr>
              <w:t>237.4</w:t>
            </w:r>
          </w:p>
        </w:tc>
      </w:tr>
      <w:tr w:rsidR="00936AAD" w:rsidTr="0084452B">
        <w:trPr>
          <w:cantSplit/>
          <w:trHeight w:val="436"/>
        </w:trPr>
        <w:tc>
          <w:tcPr>
            <w:tcW w:w="2326" w:type="dxa"/>
          </w:tcPr>
          <w:p w:rsidR="00936AAD" w:rsidRDefault="00760C5B">
            <w:pPr>
              <w:pStyle w:val="TableParagraph"/>
              <w:ind w:left="107"/>
              <w:rPr>
                <w:b/>
                <w:sz w:val="20"/>
              </w:rPr>
            </w:pPr>
            <w:r>
              <w:rPr>
                <w:b/>
                <w:sz w:val="20"/>
              </w:rPr>
              <w:t>Belgium</w:t>
            </w:r>
          </w:p>
        </w:tc>
        <w:tc>
          <w:tcPr>
            <w:tcW w:w="2316" w:type="dxa"/>
          </w:tcPr>
          <w:p w:rsidR="00936AAD" w:rsidRDefault="00760C5B">
            <w:pPr>
              <w:pStyle w:val="TableParagraph"/>
              <w:ind w:left="763" w:right="757"/>
              <w:jc w:val="center"/>
              <w:rPr>
                <w:sz w:val="20"/>
              </w:rPr>
            </w:pPr>
            <w:r>
              <w:rPr>
                <w:sz w:val="20"/>
              </w:rPr>
              <w:t>$46,556</w:t>
            </w:r>
          </w:p>
        </w:tc>
        <w:tc>
          <w:tcPr>
            <w:tcW w:w="2340" w:type="dxa"/>
          </w:tcPr>
          <w:p w:rsidR="00936AAD" w:rsidRDefault="00760C5B">
            <w:pPr>
              <w:pStyle w:val="TableParagraph"/>
              <w:ind w:right="685"/>
              <w:jc w:val="right"/>
              <w:rPr>
                <w:sz w:val="20"/>
              </w:rPr>
            </w:pPr>
            <w:r>
              <w:rPr>
                <w:sz w:val="20"/>
              </w:rPr>
              <w:t>11,422,068</w:t>
            </w:r>
          </w:p>
        </w:tc>
        <w:tc>
          <w:tcPr>
            <w:tcW w:w="2342" w:type="dxa"/>
          </w:tcPr>
          <w:p w:rsidR="00936AAD" w:rsidRDefault="00760C5B">
            <w:pPr>
              <w:pStyle w:val="TableParagraph"/>
              <w:ind w:right="924"/>
              <w:jc w:val="right"/>
              <w:rPr>
                <w:sz w:val="20"/>
              </w:rPr>
            </w:pPr>
            <w:r>
              <w:rPr>
                <w:sz w:val="20"/>
              </w:rPr>
              <w:t>377.2</w:t>
            </w:r>
          </w:p>
        </w:tc>
      </w:tr>
      <w:tr w:rsidR="00936AAD" w:rsidTr="0084452B">
        <w:trPr>
          <w:cantSplit/>
          <w:trHeight w:val="436"/>
        </w:trPr>
        <w:tc>
          <w:tcPr>
            <w:tcW w:w="2326" w:type="dxa"/>
          </w:tcPr>
          <w:p w:rsidR="00936AAD" w:rsidRDefault="00760C5B">
            <w:pPr>
              <w:pStyle w:val="TableParagraph"/>
              <w:ind w:left="107"/>
              <w:rPr>
                <w:b/>
                <w:sz w:val="20"/>
              </w:rPr>
            </w:pPr>
            <w:r>
              <w:rPr>
                <w:b/>
                <w:sz w:val="20"/>
              </w:rPr>
              <w:t>Canada</w:t>
            </w:r>
          </w:p>
        </w:tc>
        <w:tc>
          <w:tcPr>
            <w:tcW w:w="2316" w:type="dxa"/>
          </w:tcPr>
          <w:p w:rsidR="00936AAD" w:rsidRDefault="00760C5B">
            <w:pPr>
              <w:pStyle w:val="TableParagraph"/>
              <w:ind w:left="763" w:right="757"/>
              <w:jc w:val="center"/>
              <w:rPr>
                <w:sz w:val="20"/>
              </w:rPr>
            </w:pPr>
            <w:r>
              <w:rPr>
                <w:sz w:val="20"/>
              </w:rPr>
              <w:t>$46,211</w:t>
            </w:r>
          </w:p>
        </w:tc>
        <w:tc>
          <w:tcPr>
            <w:tcW w:w="2340" w:type="dxa"/>
          </w:tcPr>
          <w:p w:rsidR="00936AAD" w:rsidRDefault="00760C5B">
            <w:pPr>
              <w:pStyle w:val="TableParagraph"/>
              <w:ind w:right="685"/>
              <w:jc w:val="right"/>
              <w:rPr>
                <w:sz w:val="20"/>
              </w:rPr>
            </w:pPr>
            <w:r>
              <w:rPr>
                <w:sz w:val="20"/>
              </w:rPr>
              <w:t>37,058,856</w:t>
            </w:r>
          </w:p>
        </w:tc>
        <w:tc>
          <w:tcPr>
            <w:tcW w:w="2342" w:type="dxa"/>
          </w:tcPr>
          <w:p w:rsidR="00936AAD" w:rsidRDefault="00760C5B">
            <w:pPr>
              <w:pStyle w:val="TableParagraph"/>
              <w:ind w:right="1032"/>
              <w:jc w:val="right"/>
              <w:rPr>
                <w:sz w:val="20"/>
              </w:rPr>
            </w:pPr>
            <w:r>
              <w:rPr>
                <w:sz w:val="20"/>
              </w:rPr>
              <w:t>4.1</w:t>
            </w:r>
          </w:p>
        </w:tc>
      </w:tr>
      <w:tr w:rsidR="00936AAD" w:rsidTr="0084452B">
        <w:trPr>
          <w:cantSplit/>
          <w:trHeight w:val="433"/>
        </w:trPr>
        <w:tc>
          <w:tcPr>
            <w:tcW w:w="2326" w:type="dxa"/>
          </w:tcPr>
          <w:p w:rsidR="00936AAD" w:rsidRDefault="00760C5B">
            <w:pPr>
              <w:pStyle w:val="TableParagraph"/>
              <w:ind w:left="107"/>
              <w:rPr>
                <w:b/>
                <w:sz w:val="20"/>
              </w:rPr>
            </w:pPr>
            <w:r>
              <w:rPr>
                <w:b/>
                <w:sz w:val="20"/>
              </w:rPr>
              <w:t>United Arab Emirates</w:t>
            </w:r>
          </w:p>
        </w:tc>
        <w:tc>
          <w:tcPr>
            <w:tcW w:w="2316" w:type="dxa"/>
          </w:tcPr>
          <w:p w:rsidR="00936AAD" w:rsidRDefault="00760C5B">
            <w:pPr>
              <w:pStyle w:val="TableParagraph"/>
              <w:ind w:left="763" w:right="757"/>
              <w:jc w:val="center"/>
              <w:rPr>
                <w:sz w:val="20"/>
              </w:rPr>
            </w:pPr>
            <w:r>
              <w:rPr>
                <w:sz w:val="20"/>
              </w:rPr>
              <w:t>$43,005</w:t>
            </w:r>
          </w:p>
        </w:tc>
        <w:tc>
          <w:tcPr>
            <w:tcW w:w="2340" w:type="dxa"/>
          </w:tcPr>
          <w:p w:rsidR="00936AAD" w:rsidRDefault="00760C5B">
            <w:pPr>
              <w:pStyle w:val="TableParagraph"/>
              <w:ind w:left="748"/>
              <w:rPr>
                <w:sz w:val="20"/>
              </w:rPr>
            </w:pPr>
            <w:r>
              <w:rPr>
                <w:sz w:val="20"/>
              </w:rPr>
              <w:t>9,630,959</w:t>
            </w:r>
          </w:p>
        </w:tc>
        <w:tc>
          <w:tcPr>
            <w:tcW w:w="2342" w:type="dxa"/>
          </w:tcPr>
          <w:p w:rsidR="00936AAD" w:rsidRDefault="00760C5B">
            <w:pPr>
              <w:pStyle w:val="TableParagraph"/>
              <w:ind w:right="924"/>
              <w:jc w:val="right"/>
              <w:rPr>
                <w:sz w:val="20"/>
              </w:rPr>
            </w:pPr>
            <w:r>
              <w:rPr>
                <w:sz w:val="20"/>
              </w:rPr>
              <w:t>135.6</w:t>
            </w:r>
          </w:p>
        </w:tc>
      </w:tr>
      <w:tr w:rsidR="00936AAD" w:rsidTr="0084452B">
        <w:trPr>
          <w:cantSplit/>
          <w:trHeight w:val="436"/>
        </w:trPr>
        <w:tc>
          <w:tcPr>
            <w:tcW w:w="2326" w:type="dxa"/>
          </w:tcPr>
          <w:p w:rsidR="00936AAD" w:rsidRDefault="00760C5B">
            <w:pPr>
              <w:pStyle w:val="TableParagraph"/>
              <w:spacing w:before="86"/>
              <w:ind w:left="107"/>
              <w:rPr>
                <w:b/>
                <w:sz w:val="20"/>
              </w:rPr>
            </w:pPr>
            <w:r>
              <w:rPr>
                <w:b/>
                <w:sz w:val="20"/>
              </w:rPr>
              <w:t>United Kingdom</w:t>
            </w:r>
          </w:p>
        </w:tc>
        <w:tc>
          <w:tcPr>
            <w:tcW w:w="2316" w:type="dxa"/>
          </w:tcPr>
          <w:p w:rsidR="00936AAD" w:rsidRDefault="00760C5B">
            <w:pPr>
              <w:pStyle w:val="TableParagraph"/>
              <w:spacing w:before="86"/>
              <w:ind w:left="763" w:right="757"/>
              <w:jc w:val="center"/>
              <w:rPr>
                <w:sz w:val="20"/>
              </w:rPr>
            </w:pPr>
            <w:r>
              <w:rPr>
                <w:sz w:val="20"/>
              </w:rPr>
              <w:t>$42,491</w:t>
            </w:r>
          </w:p>
        </w:tc>
        <w:tc>
          <w:tcPr>
            <w:tcW w:w="2340" w:type="dxa"/>
          </w:tcPr>
          <w:p w:rsidR="00936AAD" w:rsidRDefault="00760C5B">
            <w:pPr>
              <w:pStyle w:val="TableParagraph"/>
              <w:spacing w:before="86"/>
              <w:ind w:right="685"/>
              <w:jc w:val="right"/>
              <w:rPr>
                <w:sz w:val="20"/>
              </w:rPr>
            </w:pPr>
            <w:r>
              <w:rPr>
                <w:sz w:val="20"/>
              </w:rPr>
              <w:t>66,488,991</w:t>
            </w:r>
          </w:p>
        </w:tc>
        <w:tc>
          <w:tcPr>
            <w:tcW w:w="2342" w:type="dxa"/>
          </w:tcPr>
          <w:p w:rsidR="00936AAD" w:rsidRDefault="00760C5B">
            <w:pPr>
              <w:pStyle w:val="TableParagraph"/>
              <w:spacing w:before="86"/>
              <w:ind w:right="924"/>
              <w:jc w:val="right"/>
              <w:rPr>
                <w:sz w:val="20"/>
              </w:rPr>
            </w:pPr>
            <w:r>
              <w:rPr>
                <w:sz w:val="20"/>
              </w:rPr>
              <w:t>274.8</w:t>
            </w:r>
          </w:p>
        </w:tc>
      </w:tr>
      <w:tr w:rsidR="00936AAD" w:rsidTr="0084452B">
        <w:trPr>
          <w:cantSplit/>
          <w:trHeight w:val="436"/>
        </w:trPr>
        <w:tc>
          <w:tcPr>
            <w:tcW w:w="2326" w:type="dxa"/>
          </w:tcPr>
          <w:p w:rsidR="00936AAD" w:rsidRDefault="00760C5B">
            <w:pPr>
              <w:pStyle w:val="TableParagraph"/>
              <w:spacing w:before="86"/>
              <w:ind w:left="107"/>
              <w:rPr>
                <w:b/>
                <w:sz w:val="20"/>
              </w:rPr>
            </w:pPr>
            <w:r>
              <w:rPr>
                <w:b/>
                <w:sz w:val="20"/>
              </w:rPr>
              <w:t>New Zealand</w:t>
            </w:r>
          </w:p>
        </w:tc>
        <w:tc>
          <w:tcPr>
            <w:tcW w:w="2316" w:type="dxa"/>
          </w:tcPr>
          <w:p w:rsidR="00936AAD" w:rsidRDefault="00760C5B">
            <w:pPr>
              <w:pStyle w:val="TableParagraph"/>
              <w:spacing w:before="86"/>
              <w:ind w:left="763" w:right="757"/>
              <w:jc w:val="center"/>
              <w:rPr>
                <w:sz w:val="20"/>
              </w:rPr>
            </w:pPr>
            <w:r>
              <w:rPr>
                <w:sz w:val="20"/>
              </w:rPr>
              <w:t>$41,966</w:t>
            </w:r>
          </w:p>
        </w:tc>
        <w:tc>
          <w:tcPr>
            <w:tcW w:w="2340" w:type="dxa"/>
          </w:tcPr>
          <w:p w:rsidR="00936AAD" w:rsidRDefault="00760C5B">
            <w:pPr>
              <w:pStyle w:val="TableParagraph"/>
              <w:spacing w:before="86"/>
              <w:ind w:left="748"/>
              <w:rPr>
                <w:sz w:val="20"/>
              </w:rPr>
            </w:pPr>
            <w:r>
              <w:rPr>
                <w:sz w:val="20"/>
              </w:rPr>
              <w:t>4,885,500</w:t>
            </w:r>
          </w:p>
        </w:tc>
        <w:tc>
          <w:tcPr>
            <w:tcW w:w="2342" w:type="dxa"/>
          </w:tcPr>
          <w:p w:rsidR="00936AAD" w:rsidRDefault="00760C5B">
            <w:pPr>
              <w:pStyle w:val="TableParagraph"/>
              <w:spacing w:before="86"/>
              <w:ind w:right="977"/>
              <w:jc w:val="right"/>
              <w:rPr>
                <w:sz w:val="20"/>
              </w:rPr>
            </w:pPr>
            <w:r>
              <w:rPr>
                <w:sz w:val="20"/>
              </w:rPr>
              <w:t>18.6</w:t>
            </w:r>
          </w:p>
        </w:tc>
      </w:tr>
      <w:tr w:rsidR="00936AAD" w:rsidTr="0084452B">
        <w:trPr>
          <w:cantSplit/>
          <w:trHeight w:val="436"/>
        </w:trPr>
        <w:tc>
          <w:tcPr>
            <w:tcW w:w="2326" w:type="dxa"/>
          </w:tcPr>
          <w:p w:rsidR="00936AAD" w:rsidRDefault="00760C5B">
            <w:pPr>
              <w:pStyle w:val="TableParagraph"/>
              <w:spacing w:before="86"/>
              <w:ind w:left="107"/>
              <w:rPr>
                <w:b/>
                <w:sz w:val="20"/>
              </w:rPr>
            </w:pPr>
            <w:r>
              <w:rPr>
                <w:b/>
                <w:sz w:val="20"/>
              </w:rPr>
              <w:t>Israel</w:t>
            </w:r>
          </w:p>
        </w:tc>
        <w:tc>
          <w:tcPr>
            <w:tcW w:w="2316" w:type="dxa"/>
          </w:tcPr>
          <w:p w:rsidR="00936AAD" w:rsidRDefault="00760C5B">
            <w:pPr>
              <w:pStyle w:val="TableParagraph"/>
              <w:spacing w:before="86"/>
              <w:ind w:left="763" w:right="757"/>
              <w:jc w:val="center"/>
              <w:rPr>
                <w:sz w:val="20"/>
              </w:rPr>
            </w:pPr>
            <w:r>
              <w:rPr>
                <w:sz w:val="20"/>
              </w:rPr>
              <w:t>$41,614</w:t>
            </w:r>
          </w:p>
        </w:tc>
        <w:tc>
          <w:tcPr>
            <w:tcW w:w="2340" w:type="dxa"/>
          </w:tcPr>
          <w:p w:rsidR="00936AAD" w:rsidRDefault="00760C5B">
            <w:pPr>
              <w:pStyle w:val="TableParagraph"/>
              <w:spacing w:before="86"/>
              <w:ind w:left="748"/>
              <w:rPr>
                <w:sz w:val="20"/>
              </w:rPr>
            </w:pPr>
            <w:r>
              <w:rPr>
                <w:sz w:val="20"/>
              </w:rPr>
              <w:t>8,883,800</w:t>
            </w:r>
          </w:p>
        </w:tc>
        <w:tc>
          <w:tcPr>
            <w:tcW w:w="2342" w:type="dxa"/>
          </w:tcPr>
          <w:p w:rsidR="00936AAD" w:rsidRDefault="00760C5B">
            <w:pPr>
              <w:pStyle w:val="TableParagraph"/>
              <w:spacing w:before="86"/>
              <w:ind w:right="924"/>
              <w:jc w:val="right"/>
              <w:rPr>
                <w:sz w:val="20"/>
              </w:rPr>
            </w:pPr>
            <w:r>
              <w:rPr>
                <w:sz w:val="20"/>
              </w:rPr>
              <w:t>410.5</w:t>
            </w:r>
          </w:p>
        </w:tc>
      </w:tr>
      <w:tr w:rsidR="00936AAD" w:rsidTr="0084452B">
        <w:trPr>
          <w:cantSplit/>
          <w:trHeight w:val="436"/>
        </w:trPr>
        <w:tc>
          <w:tcPr>
            <w:tcW w:w="2326" w:type="dxa"/>
          </w:tcPr>
          <w:p w:rsidR="00936AAD" w:rsidRDefault="00760C5B">
            <w:pPr>
              <w:pStyle w:val="TableParagraph"/>
              <w:ind w:left="107"/>
              <w:rPr>
                <w:b/>
                <w:sz w:val="20"/>
              </w:rPr>
            </w:pPr>
            <w:r>
              <w:rPr>
                <w:b/>
                <w:sz w:val="20"/>
              </w:rPr>
              <w:t>France</w:t>
            </w:r>
          </w:p>
        </w:tc>
        <w:tc>
          <w:tcPr>
            <w:tcW w:w="2316" w:type="dxa"/>
          </w:tcPr>
          <w:p w:rsidR="00936AAD" w:rsidRDefault="00760C5B">
            <w:pPr>
              <w:pStyle w:val="TableParagraph"/>
              <w:ind w:left="763" w:right="757"/>
              <w:jc w:val="center"/>
              <w:rPr>
                <w:sz w:val="20"/>
              </w:rPr>
            </w:pPr>
            <w:r>
              <w:rPr>
                <w:sz w:val="20"/>
              </w:rPr>
              <w:t>$41,464</w:t>
            </w:r>
          </w:p>
        </w:tc>
        <w:tc>
          <w:tcPr>
            <w:tcW w:w="2340" w:type="dxa"/>
          </w:tcPr>
          <w:p w:rsidR="00936AAD" w:rsidRDefault="00760C5B">
            <w:pPr>
              <w:pStyle w:val="TableParagraph"/>
              <w:ind w:right="685"/>
              <w:jc w:val="right"/>
              <w:rPr>
                <w:sz w:val="20"/>
              </w:rPr>
            </w:pPr>
            <w:r>
              <w:rPr>
                <w:sz w:val="20"/>
              </w:rPr>
              <w:t>66,987,244</w:t>
            </w:r>
          </w:p>
        </w:tc>
        <w:tc>
          <w:tcPr>
            <w:tcW w:w="2342" w:type="dxa"/>
          </w:tcPr>
          <w:p w:rsidR="00936AAD" w:rsidRDefault="00760C5B">
            <w:pPr>
              <w:pStyle w:val="TableParagraph"/>
              <w:ind w:right="924"/>
              <w:jc w:val="right"/>
              <w:rPr>
                <w:sz w:val="20"/>
              </w:rPr>
            </w:pPr>
            <w:r>
              <w:rPr>
                <w:sz w:val="20"/>
              </w:rPr>
              <w:t>122.3</w:t>
            </w:r>
          </w:p>
        </w:tc>
      </w:tr>
      <w:tr w:rsidR="00936AAD" w:rsidTr="0084452B">
        <w:trPr>
          <w:cantSplit/>
          <w:trHeight w:val="436"/>
        </w:trPr>
        <w:tc>
          <w:tcPr>
            <w:tcW w:w="2326" w:type="dxa"/>
          </w:tcPr>
          <w:p w:rsidR="00936AAD" w:rsidRDefault="00760C5B">
            <w:pPr>
              <w:pStyle w:val="TableParagraph"/>
              <w:ind w:left="107"/>
              <w:rPr>
                <w:b/>
                <w:sz w:val="20"/>
              </w:rPr>
            </w:pPr>
            <w:r>
              <w:rPr>
                <w:b/>
                <w:sz w:val="20"/>
              </w:rPr>
              <w:t>Japan</w:t>
            </w:r>
          </w:p>
        </w:tc>
        <w:tc>
          <w:tcPr>
            <w:tcW w:w="2316" w:type="dxa"/>
          </w:tcPr>
          <w:p w:rsidR="00936AAD" w:rsidRDefault="00760C5B">
            <w:pPr>
              <w:pStyle w:val="TableParagraph"/>
              <w:ind w:left="763" w:right="757"/>
              <w:jc w:val="center"/>
              <w:rPr>
                <w:sz w:val="20"/>
              </w:rPr>
            </w:pPr>
            <w:r>
              <w:rPr>
                <w:sz w:val="20"/>
              </w:rPr>
              <w:t>$39,287</w:t>
            </w:r>
          </w:p>
        </w:tc>
        <w:tc>
          <w:tcPr>
            <w:tcW w:w="2340" w:type="dxa"/>
          </w:tcPr>
          <w:p w:rsidR="00936AAD" w:rsidRDefault="00760C5B">
            <w:pPr>
              <w:pStyle w:val="TableParagraph"/>
              <w:ind w:right="629"/>
              <w:jc w:val="right"/>
              <w:rPr>
                <w:sz w:val="20"/>
              </w:rPr>
            </w:pPr>
            <w:r>
              <w:rPr>
                <w:sz w:val="20"/>
              </w:rPr>
              <w:t>126,529,100</w:t>
            </w:r>
          </w:p>
        </w:tc>
        <w:tc>
          <w:tcPr>
            <w:tcW w:w="2342" w:type="dxa"/>
          </w:tcPr>
          <w:p w:rsidR="00936AAD" w:rsidRDefault="00760C5B">
            <w:pPr>
              <w:pStyle w:val="TableParagraph"/>
              <w:ind w:right="924"/>
              <w:jc w:val="right"/>
              <w:rPr>
                <w:sz w:val="20"/>
              </w:rPr>
            </w:pPr>
            <w:r>
              <w:rPr>
                <w:sz w:val="20"/>
              </w:rPr>
              <w:t>347.1</w:t>
            </w:r>
          </w:p>
        </w:tc>
      </w:tr>
      <w:tr w:rsidR="00936AAD" w:rsidTr="0084452B">
        <w:trPr>
          <w:cantSplit/>
          <w:trHeight w:val="436"/>
        </w:trPr>
        <w:tc>
          <w:tcPr>
            <w:tcW w:w="2326" w:type="dxa"/>
          </w:tcPr>
          <w:p w:rsidR="00936AAD" w:rsidRDefault="00760C5B">
            <w:pPr>
              <w:pStyle w:val="TableParagraph"/>
              <w:ind w:left="107"/>
              <w:rPr>
                <w:b/>
                <w:sz w:val="20"/>
              </w:rPr>
            </w:pPr>
            <w:r>
              <w:rPr>
                <w:b/>
                <w:sz w:val="20"/>
              </w:rPr>
              <w:t>Italy</w:t>
            </w:r>
          </w:p>
        </w:tc>
        <w:tc>
          <w:tcPr>
            <w:tcW w:w="2316" w:type="dxa"/>
          </w:tcPr>
          <w:p w:rsidR="00936AAD" w:rsidRDefault="00760C5B">
            <w:pPr>
              <w:pStyle w:val="TableParagraph"/>
              <w:ind w:left="763" w:right="757"/>
              <w:jc w:val="center"/>
              <w:rPr>
                <w:sz w:val="20"/>
              </w:rPr>
            </w:pPr>
            <w:r>
              <w:rPr>
                <w:sz w:val="20"/>
              </w:rPr>
              <w:t>$34,318</w:t>
            </w:r>
          </w:p>
        </w:tc>
        <w:tc>
          <w:tcPr>
            <w:tcW w:w="2340" w:type="dxa"/>
          </w:tcPr>
          <w:p w:rsidR="00936AAD" w:rsidRDefault="00760C5B">
            <w:pPr>
              <w:pStyle w:val="TableParagraph"/>
              <w:ind w:right="685"/>
              <w:jc w:val="right"/>
              <w:rPr>
                <w:sz w:val="20"/>
              </w:rPr>
            </w:pPr>
            <w:r>
              <w:rPr>
                <w:sz w:val="20"/>
              </w:rPr>
              <w:t>60,431,283</w:t>
            </w:r>
          </w:p>
        </w:tc>
        <w:tc>
          <w:tcPr>
            <w:tcW w:w="2342" w:type="dxa"/>
          </w:tcPr>
          <w:p w:rsidR="00936AAD" w:rsidRDefault="00760C5B">
            <w:pPr>
              <w:pStyle w:val="TableParagraph"/>
              <w:ind w:right="924"/>
              <w:jc w:val="right"/>
              <w:rPr>
                <w:sz w:val="20"/>
              </w:rPr>
            </w:pPr>
            <w:r>
              <w:rPr>
                <w:sz w:val="20"/>
              </w:rPr>
              <w:t>205.5</w:t>
            </w:r>
          </w:p>
        </w:tc>
      </w:tr>
      <w:bookmarkEnd w:id="1"/>
    </w:tbl>
    <w:p w:rsidR="00936AAD" w:rsidRDefault="00936AAD">
      <w:pPr>
        <w:jc w:val="right"/>
        <w:rPr>
          <w:sz w:val="20"/>
        </w:rPr>
        <w:sectPr w:rsidR="00936AAD" w:rsidSect="004608AC">
          <w:headerReference w:type="default" r:id="rId12"/>
          <w:pgSz w:w="11910" w:h="16840"/>
          <w:pgMar w:top="2127" w:right="500" w:bottom="740" w:left="880" w:header="0" w:footer="556" w:gutter="0"/>
          <w:cols w:space="720"/>
        </w:sectPr>
      </w:pPr>
    </w:p>
    <w:p w:rsidR="00936AAD" w:rsidRDefault="00760C5B" w:rsidP="004B1042">
      <w:pPr>
        <w:pStyle w:val="Heading3thisdocument"/>
      </w:pPr>
      <w:r>
        <w:lastRenderedPageBreak/>
        <w:t>Ownership of intellectual property rights in this publication</w:t>
      </w:r>
    </w:p>
    <w:p w:rsidR="00936AAD" w:rsidRDefault="00760C5B">
      <w:pPr>
        <w:pStyle w:val="BodyText"/>
        <w:spacing w:before="119"/>
        <w:ind w:left="560" w:right="775"/>
      </w:pPr>
      <w:r>
        <w:t>Unless otherwise noted, copyright (and any other intellectual property rights, if any) in this publication is owned by the Commonwealth of Australia (referred to below as the Commonwealth).</w:t>
      </w:r>
    </w:p>
    <w:p w:rsidR="00936AAD" w:rsidRDefault="00760C5B" w:rsidP="004B1042">
      <w:pPr>
        <w:pStyle w:val="Heading3thisdocument"/>
      </w:pPr>
      <w:r>
        <w:t>Disclaimer</w:t>
      </w:r>
    </w:p>
    <w:p w:rsidR="00936AAD" w:rsidRDefault="00760C5B">
      <w:pPr>
        <w:pStyle w:val="BodyText"/>
        <w:spacing w:before="119"/>
        <w:ind w:left="559" w:right="757"/>
      </w:pPr>
      <w:r>
        <w:t>The material contained in this publication is made available on the understanding that the Commonwealth is not providing professional advice, and that users exercise their own skill and care with respect to its use, and seek independent advice if necessary.</w:t>
      </w:r>
    </w:p>
    <w:p w:rsidR="00936AAD" w:rsidRDefault="00760C5B">
      <w:pPr>
        <w:pStyle w:val="BodyText"/>
        <w:spacing w:before="121"/>
        <w:ind w:left="559" w:right="864"/>
      </w:pPr>
      <w:r>
        <w:t>The Commonwealth makes no representations or warranties as to the contents or accuracy of the information contained in this publication. To the extent permitted by law, the Commonwealth disclaims liability to any person or organisation in respect of anything done, or omitted to be done, in reliance upon information contained in this publication.</w:t>
      </w:r>
    </w:p>
    <w:p w:rsidR="00936AAD" w:rsidRDefault="00760C5B" w:rsidP="004B1042">
      <w:pPr>
        <w:pStyle w:val="Heading3thisdocument"/>
      </w:pPr>
      <w:r>
        <w:t>Creative Commons licence</w:t>
      </w:r>
    </w:p>
    <w:p w:rsidR="00936AAD" w:rsidRDefault="00760C5B">
      <w:pPr>
        <w:pStyle w:val="BodyText"/>
        <w:spacing w:before="119"/>
        <w:ind w:left="560" w:right="729"/>
      </w:pPr>
      <w:r>
        <w:t>With the exception of (a) the Coat of Arms; (b) the Department of Infrastructure, Transport, Regional Development and Communications photos and graphics; and (c) [OTHER], copyright in this publication is licensed under a Creative Commons Attribution 4.0 Australia Licence.</w:t>
      </w:r>
    </w:p>
    <w:p w:rsidR="00936AAD" w:rsidRDefault="00760C5B">
      <w:pPr>
        <w:pStyle w:val="BodyText"/>
        <w:spacing w:before="121"/>
        <w:ind w:left="560" w:right="641"/>
      </w:pPr>
      <w:r>
        <w:t>Creative Commons Attribution 4.0 Australia Licence is a standard form licence agreement that allows you to copy, communicate and adapt this publication provided that you attribute the work to the Commonwealth and abide by the other licence terms.</w:t>
      </w:r>
    </w:p>
    <w:p w:rsidR="00936AAD" w:rsidRDefault="00760C5B">
      <w:pPr>
        <w:pStyle w:val="BodyText"/>
        <w:spacing w:before="118"/>
        <w:ind w:left="560" w:right="785"/>
      </w:pPr>
      <w:r>
        <w:t xml:space="preserve">Further information on the licence terms is available from </w:t>
      </w:r>
      <w:r>
        <w:rPr>
          <w:color w:val="002D72"/>
          <w:u w:val="single" w:color="002D72"/>
        </w:rPr>
        <w:t>https://creativecommons.org/licenses/by/4.0/</w:t>
      </w:r>
      <w:r>
        <w:t>. This publication should be attributed in the following way: © Commonwealth of Australia 2020.</w:t>
      </w:r>
    </w:p>
    <w:p w:rsidR="00936AAD" w:rsidRDefault="00760C5B" w:rsidP="004B1042">
      <w:pPr>
        <w:pStyle w:val="Heading3thisdocument"/>
      </w:pPr>
      <w:r>
        <w:t>Use of the Coat of Arms</w:t>
      </w:r>
    </w:p>
    <w:p w:rsidR="00936AAD" w:rsidRDefault="00760C5B">
      <w:pPr>
        <w:pStyle w:val="BodyText"/>
        <w:spacing w:before="119"/>
        <w:ind w:left="560" w:right="798"/>
      </w:pPr>
      <w:r>
        <w:t xml:space="preserve">The Department of the Prime Minister and Cabinet sets the terms under which the Coat of Arms is used. Please refer to the Commonwealth Coat of Arms—Information and Guidelines publication available at </w:t>
      </w:r>
      <w:hyperlink r:id="rId13">
        <w:r>
          <w:rPr>
            <w:color w:val="002D72"/>
            <w:u w:val="single" w:color="002D72"/>
          </w:rPr>
          <w:t>www.pmc.gov.au</w:t>
        </w:r>
        <w:r>
          <w:t>.</w:t>
        </w:r>
      </w:hyperlink>
    </w:p>
    <w:p w:rsidR="00936AAD" w:rsidRDefault="00760C5B" w:rsidP="004B1042">
      <w:pPr>
        <w:pStyle w:val="Heading3thisdocument"/>
      </w:pPr>
      <w:r>
        <w:t>Contact</w:t>
      </w:r>
      <w:r>
        <w:rPr>
          <w:spacing w:val="-7"/>
        </w:rPr>
        <w:t xml:space="preserve"> </w:t>
      </w:r>
      <w:r>
        <w:t>us</w:t>
      </w:r>
    </w:p>
    <w:p w:rsidR="00936AAD" w:rsidRDefault="00760C5B">
      <w:pPr>
        <w:pStyle w:val="BodyText"/>
        <w:spacing w:before="119"/>
        <w:ind w:left="560" w:right="705"/>
      </w:pPr>
      <w:r>
        <w:t>This publication is available in hard copy or PDF format. All other rights are reserved, including in relation to any Departmental logos or trademarks which may exist. For enquiries regarding the licence and any use of this publication, please contact:</w:t>
      </w:r>
    </w:p>
    <w:p w:rsidR="00936AAD" w:rsidRDefault="00760C5B">
      <w:pPr>
        <w:pStyle w:val="BodyText"/>
        <w:spacing w:before="121"/>
        <w:ind w:left="1126" w:right="5629"/>
      </w:pPr>
      <w:r>
        <w:t>Director—Publishing and Communications Communication Branch</w:t>
      </w:r>
    </w:p>
    <w:p w:rsidR="00936AAD" w:rsidRDefault="00760C5B">
      <w:pPr>
        <w:pStyle w:val="BodyText"/>
        <w:spacing w:before="3" w:line="237" w:lineRule="auto"/>
        <w:ind w:left="1126" w:right="1869"/>
      </w:pPr>
      <w:r>
        <w:t>Department of Infrastructure, Transport, Regional Development and Communications GPO Box 594</w:t>
      </w:r>
    </w:p>
    <w:p w:rsidR="00936AAD" w:rsidRDefault="00760C5B">
      <w:pPr>
        <w:pStyle w:val="BodyText"/>
        <w:spacing w:before="1"/>
        <w:ind w:left="1126" w:right="7683"/>
      </w:pPr>
      <w:r>
        <w:t>Canberra ACT 2601 Australia</w:t>
      </w:r>
    </w:p>
    <w:p w:rsidR="00936AAD" w:rsidRDefault="00760C5B">
      <w:pPr>
        <w:pStyle w:val="BodyText"/>
        <w:spacing w:before="121"/>
        <w:ind w:left="1126"/>
      </w:pPr>
      <w:r>
        <w:t xml:space="preserve">Email: </w:t>
      </w:r>
      <w:hyperlink r:id="rId14">
        <w:r>
          <w:rPr>
            <w:color w:val="002D72"/>
            <w:u w:val="single" w:color="002D72"/>
          </w:rPr>
          <w:t>publishing@communications.gov.au</w:t>
        </w:r>
      </w:hyperlink>
    </w:p>
    <w:p w:rsidR="00936AAD" w:rsidRDefault="00760C5B">
      <w:pPr>
        <w:pStyle w:val="BodyText"/>
        <w:spacing w:before="121"/>
        <w:ind w:left="1126"/>
      </w:pPr>
      <w:r>
        <w:t xml:space="preserve">Websites: </w:t>
      </w:r>
      <w:hyperlink r:id="rId15">
        <w:r>
          <w:rPr>
            <w:color w:val="002D72"/>
            <w:u w:val="single" w:color="002D72"/>
          </w:rPr>
          <w:t>www.infrastructure.gov.au</w:t>
        </w:r>
        <w:r>
          <w:rPr>
            <w:color w:val="002D72"/>
          </w:rPr>
          <w:t xml:space="preserve"> </w:t>
        </w:r>
      </w:hyperlink>
      <w:r>
        <w:t xml:space="preserve">| </w:t>
      </w:r>
      <w:hyperlink r:id="rId16">
        <w:r>
          <w:rPr>
            <w:color w:val="002D72"/>
            <w:u w:val="single" w:color="002D72"/>
          </w:rPr>
          <w:t>www.communications.gov.au</w:t>
        </w:r>
        <w:r>
          <w:rPr>
            <w:color w:val="002D72"/>
          </w:rPr>
          <w:t xml:space="preserve"> </w:t>
        </w:r>
      </w:hyperlink>
      <w:r>
        <w:t xml:space="preserve">| </w:t>
      </w:r>
      <w:hyperlink r:id="rId17">
        <w:r>
          <w:rPr>
            <w:color w:val="002D72"/>
            <w:u w:val="single" w:color="002D72"/>
          </w:rPr>
          <w:t>www.arts.gov.au</w:t>
        </w:r>
        <w:r>
          <w:t>.</w:t>
        </w:r>
      </w:hyperlink>
    </w:p>
    <w:p w:rsidR="00936AAD" w:rsidRDefault="00936AAD">
      <w:pPr>
        <w:sectPr w:rsidR="00936AAD" w:rsidSect="004608AC">
          <w:footerReference w:type="default" r:id="rId18"/>
          <w:pgSz w:w="11910" w:h="16840"/>
          <w:pgMar w:top="2268" w:right="500" w:bottom="740" w:left="880" w:header="0" w:footer="556" w:gutter="0"/>
          <w:cols w:space="720"/>
        </w:sectPr>
      </w:pPr>
    </w:p>
    <w:p w:rsidR="00936AAD" w:rsidRDefault="00760C5B">
      <w:pPr>
        <w:pStyle w:val="BodyText"/>
        <w:tabs>
          <w:tab w:val="left" w:pos="5449"/>
        </w:tabs>
        <w:ind w:left="141"/>
      </w:pPr>
      <w:r>
        <w:rPr>
          <w:noProof/>
          <w:lang w:val="en-AU" w:eastAsia="en-AU"/>
        </w:rPr>
        <w:lastRenderedPageBreak/>
        <w:drawing>
          <wp:inline distT="0" distB="0" distL="0" distR="0">
            <wp:extent cx="3170758" cy="666369"/>
            <wp:effectExtent l="0" t="0" r="0" b="635"/>
            <wp:docPr id="13" name="image4.png" descr="Logo: Australian Government, Department of Infrastructure, Transport, Regional Development and Communicatio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image4.png"/>
                    <pic:cNvPicPr/>
                  </pic:nvPicPr>
                  <pic:blipFill>
                    <a:blip r:embed="rId19" cstate="print"/>
                    <a:stretch>
                      <a:fillRect/>
                    </a:stretch>
                  </pic:blipFill>
                  <pic:spPr>
                    <a:xfrm>
                      <a:off x="0" y="0"/>
                      <a:ext cx="3170758" cy="666369"/>
                    </a:xfrm>
                    <a:prstGeom prst="rect">
                      <a:avLst/>
                    </a:prstGeom>
                  </pic:spPr>
                </pic:pic>
              </a:graphicData>
            </a:graphic>
          </wp:inline>
        </w:drawing>
      </w:r>
      <w:r>
        <w:tab/>
      </w:r>
      <w:r>
        <w:rPr>
          <w:noProof/>
          <w:position w:val="1"/>
          <w:lang w:val="en-AU" w:eastAsia="en-AU"/>
        </w:rPr>
        <w:drawing>
          <wp:inline distT="0" distB="0" distL="0" distR="0">
            <wp:extent cx="2588235" cy="658368"/>
            <wp:effectExtent l="0" t="0" r="3175" b="8890"/>
            <wp:docPr id="15" name="image5.jpeg" descr="Logo: Bureau of Communications, Arts and Regional Researc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image5.jpeg"/>
                    <pic:cNvPicPr/>
                  </pic:nvPicPr>
                  <pic:blipFill>
                    <a:blip r:embed="rId20" cstate="print"/>
                    <a:stretch>
                      <a:fillRect/>
                    </a:stretch>
                  </pic:blipFill>
                  <pic:spPr>
                    <a:xfrm>
                      <a:off x="0" y="0"/>
                      <a:ext cx="2588235" cy="658368"/>
                    </a:xfrm>
                    <a:prstGeom prst="rect">
                      <a:avLst/>
                    </a:prstGeom>
                  </pic:spPr>
                </pic:pic>
              </a:graphicData>
            </a:graphic>
          </wp:inline>
        </w:drawing>
      </w:r>
    </w:p>
    <w:p w:rsidR="00936AAD" w:rsidRDefault="00760C5B" w:rsidP="004608AC">
      <w:pPr>
        <w:pStyle w:val="Heading1"/>
        <w:spacing w:before="600"/>
      </w:pPr>
      <w:bookmarkStart w:id="2" w:name="2._International_comparison_of_fixed_bro"/>
      <w:bookmarkEnd w:id="2"/>
      <w:r>
        <w:rPr>
          <w:color w:val="081E3E"/>
        </w:rPr>
        <w:t>International comparison of fixed broadband performance</w:t>
      </w:r>
    </w:p>
    <w:p w:rsidR="00936AAD" w:rsidRDefault="00760C5B">
      <w:pPr>
        <w:pStyle w:val="Heading2"/>
      </w:pPr>
      <w:r>
        <w:rPr>
          <w:color w:val="0066AB"/>
        </w:rPr>
        <w:t>Coverage and minimum speeds</w:t>
      </w:r>
    </w:p>
    <w:p w:rsidR="00936AAD" w:rsidRDefault="00760C5B" w:rsidP="00F510E4">
      <w:pPr>
        <w:spacing w:before="163"/>
        <w:ind w:left="140"/>
        <w:rPr>
          <w:b/>
          <w:color w:val="081E3E"/>
          <w:sz w:val="20"/>
        </w:rPr>
      </w:pPr>
      <w:r>
        <w:rPr>
          <w:b/>
          <w:color w:val="081E3E"/>
          <w:sz w:val="20"/>
        </w:rPr>
        <w:t>November 2020</w:t>
      </w:r>
    </w:p>
    <w:p w:rsidR="00F510E4" w:rsidRDefault="00F510E4" w:rsidP="00F510E4">
      <w:pPr>
        <w:ind w:left="140"/>
        <w:rPr>
          <w:b/>
          <w:sz w:val="20"/>
        </w:rPr>
      </w:pPr>
      <w:r>
        <w:rPr>
          <w:b/>
          <w:color w:val="081E3E"/>
          <w:sz w:val="20"/>
        </w:rPr>
        <w:t>________________________________________________________________________________________________________</w:t>
      </w:r>
    </w:p>
    <w:p w:rsidR="00936AAD" w:rsidRDefault="00936AAD" w:rsidP="004608AC">
      <w:pPr>
        <w:spacing w:before="6"/>
        <w:rPr>
          <w:b/>
          <w:sz w:val="5"/>
        </w:rPr>
      </w:pPr>
    </w:p>
    <w:p w:rsidR="00936AAD" w:rsidRDefault="00936AAD">
      <w:pPr>
        <w:rPr>
          <w:sz w:val="5"/>
        </w:rPr>
        <w:sectPr w:rsidR="00936AAD" w:rsidSect="00E668A5">
          <w:headerReference w:type="default" r:id="rId21"/>
          <w:footerReference w:type="default" r:id="rId22"/>
          <w:pgSz w:w="11910" w:h="16840"/>
          <w:pgMar w:top="1420" w:right="500" w:bottom="480" w:left="880" w:header="0" w:footer="0" w:gutter="0"/>
          <w:pgNumType w:start="1"/>
          <w:cols w:space="720"/>
          <w:docGrid w:linePitch="299"/>
        </w:sectPr>
      </w:pPr>
    </w:p>
    <w:p w:rsidR="00936AAD" w:rsidRDefault="00760C5B" w:rsidP="004B1042">
      <w:pPr>
        <w:pStyle w:val="Heading3thisdocument2"/>
      </w:pPr>
      <w:r>
        <w:t>Role of fixed broadband</w:t>
      </w:r>
    </w:p>
    <w:p w:rsidR="00936AAD" w:rsidRDefault="00760C5B" w:rsidP="00656245">
      <w:pPr>
        <w:pStyle w:val="Normal-smallheadingstyle"/>
      </w:pPr>
      <w:r>
        <w:t>Fixed broadband plays a vital role in connecting Australians, and it is important</w:t>
      </w:r>
      <w:r>
        <w:rPr>
          <w:spacing w:val="-30"/>
        </w:rPr>
        <w:t xml:space="preserve"> </w:t>
      </w:r>
      <w:r>
        <w:t>that the performance of Australia’s fixed broadband infrastructure is known and comparable to our international</w:t>
      </w:r>
      <w:r>
        <w:rPr>
          <w:spacing w:val="-9"/>
        </w:rPr>
        <w:t xml:space="preserve"> </w:t>
      </w:r>
      <w:r>
        <w:t>peers.</w:t>
      </w:r>
    </w:p>
    <w:p w:rsidR="00936AAD" w:rsidRDefault="00760C5B" w:rsidP="004B1042">
      <w:pPr>
        <w:pStyle w:val="BodyText"/>
        <w:spacing w:before="120"/>
        <w:ind w:left="139" w:right="93"/>
        <w:rPr>
          <w:rFonts w:ascii="Calibri" w:hAnsi="Calibri"/>
        </w:rPr>
      </w:pPr>
      <w:r>
        <w:rPr>
          <w:rFonts w:ascii="Calibri" w:hAnsi="Calibri"/>
        </w:rPr>
        <w:t>Fixed broadband, including both fixed-line and wireless connections to fixed locations, plays a vital role in connecting Australians. There has been significant public investment to develop fixed broadband infrastructure with the rollout of the NBN. Therefore it is important that the performance of Australia’s fixed broadband infrastructure is known and can be compared to our international peers, especially in the COVID-19 environment.</w:t>
      </w:r>
    </w:p>
    <w:p w:rsidR="00936AAD" w:rsidRDefault="00760C5B">
      <w:pPr>
        <w:pStyle w:val="BodyText"/>
        <w:spacing w:before="160"/>
        <w:ind w:left="139" w:right="28"/>
        <w:rPr>
          <w:rFonts w:ascii="Calibri" w:hAnsi="Calibri"/>
        </w:rPr>
      </w:pPr>
      <w:r>
        <w:rPr>
          <w:rFonts w:ascii="Calibri" w:hAnsi="Calibri"/>
        </w:rPr>
        <w:t>This fact sheet describes Australia’s performance on coverage and minimum speed for fixed broadband services.</w:t>
      </w:r>
      <w:r>
        <w:rPr>
          <w:rFonts w:ascii="Calibri" w:hAnsi="Calibri"/>
          <w:vertAlign w:val="superscript"/>
        </w:rPr>
        <w:t>i</w:t>
      </w:r>
      <w:r>
        <w:rPr>
          <w:rFonts w:ascii="Calibri" w:hAnsi="Calibri"/>
        </w:rPr>
        <w:t xml:space="preserve"> Further information on the indicators and how the comparison countries were selected is provided in the paper </w:t>
      </w:r>
      <w:r>
        <w:rPr>
          <w:rFonts w:ascii="Calibri" w:hAnsi="Calibri"/>
          <w:i/>
        </w:rPr>
        <w:t>Measuring Australia’s fixed broadband performance</w:t>
      </w:r>
      <w:r>
        <w:rPr>
          <w:rFonts w:ascii="Calibri" w:hAnsi="Calibri"/>
        </w:rPr>
        <w:t>.</w:t>
      </w:r>
    </w:p>
    <w:p w:rsidR="00936AAD" w:rsidRDefault="00760C5B" w:rsidP="004B1042">
      <w:pPr>
        <w:pStyle w:val="Heading4thisdocument"/>
      </w:pPr>
      <w:r>
        <w:t>Australia</w:t>
      </w:r>
      <w:r>
        <w:rPr>
          <w:spacing w:val="-14"/>
        </w:rPr>
        <w:t xml:space="preserve"> </w:t>
      </w:r>
      <w:r>
        <w:t>performs</w:t>
      </w:r>
      <w:r>
        <w:rPr>
          <w:spacing w:val="-11"/>
        </w:rPr>
        <w:t xml:space="preserve"> </w:t>
      </w:r>
      <w:r>
        <w:t>strongly</w:t>
      </w:r>
      <w:r>
        <w:rPr>
          <w:spacing w:val="-13"/>
        </w:rPr>
        <w:t xml:space="preserve"> </w:t>
      </w:r>
      <w:r>
        <w:t>on</w:t>
      </w:r>
      <w:r>
        <w:rPr>
          <w:spacing w:val="-10"/>
        </w:rPr>
        <w:t xml:space="preserve"> </w:t>
      </w:r>
      <w:r>
        <w:t>coverage</w:t>
      </w:r>
    </w:p>
    <w:p w:rsidR="00936AAD" w:rsidRDefault="00760C5B">
      <w:pPr>
        <w:pStyle w:val="BodyText"/>
        <w:spacing w:before="160"/>
        <w:ind w:left="139" w:right="93"/>
        <w:rPr>
          <w:rFonts w:ascii="Calibri"/>
        </w:rPr>
      </w:pPr>
      <w:r>
        <w:rPr>
          <w:rFonts w:ascii="Calibri"/>
        </w:rPr>
        <w:t>As</w:t>
      </w:r>
      <w:r>
        <w:rPr>
          <w:rFonts w:ascii="Calibri"/>
          <w:spacing w:val="-5"/>
        </w:rPr>
        <w:t xml:space="preserve"> </w:t>
      </w:r>
      <w:r>
        <w:rPr>
          <w:rFonts w:ascii="Calibri"/>
        </w:rPr>
        <w:t>at</w:t>
      </w:r>
      <w:r>
        <w:rPr>
          <w:rFonts w:ascii="Calibri"/>
          <w:spacing w:val="-3"/>
        </w:rPr>
        <w:t xml:space="preserve"> </w:t>
      </w:r>
      <w:r>
        <w:rPr>
          <w:rFonts w:ascii="Calibri"/>
        </w:rPr>
        <w:t>September</w:t>
      </w:r>
      <w:r>
        <w:rPr>
          <w:rFonts w:ascii="Calibri"/>
          <w:spacing w:val="-4"/>
        </w:rPr>
        <w:t xml:space="preserve"> </w:t>
      </w:r>
      <w:r>
        <w:rPr>
          <w:rFonts w:ascii="Calibri"/>
        </w:rPr>
        <w:t>2020,</w:t>
      </w:r>
      <w:r>
        <w:rPr>
          <w:rFonts w:ascii="Calibri"/>
          <w:spacing w:val="-2"/>
        </w:rPr>
        <w:t xml:space="preserve"> </w:t>
      </w:r>
      <w:r>
        <w:rPr>
          <w:rFonts w:ascii="Calibri"/>
        </w:rPr>
        <w:t>99.3</w:t>
      </w:r>
      <w:r>
        <w:rPr>
          <w:rFonts w:ascii="Calibri"/>
          <w:spacing w:val="-4"/>
        </w:rPr>
        <w:t xml:space="preserve"> </w:t>
      </w:r>
      <w:r>
        <w:rPr>
          <w:rFonts w:ascii="Calibri"/>
        </w:rPr>
        <w:t>per</w:t>
      </w:r>
      <w:r>
        <w:rPr>
          <w:rFonts w:ascii="Calibri"/>
          <w:spacing w:val="-3"/>
        </w:rPr>
        <w:t xml:space="preserve"> </w:t>
      </w:r>
      <w:r>
        <w:rPr>
          <w:rFonts w:ascii="Calibri"/>
        </w:rPr>
        <w:t>cent</w:t>
      </w:r>
      <w:r>
        <w:rPr>
          <w:rFonts w:ascii="Calibri"/>
          <w:spacing w:val="-4"/>
        </w:rPr>
        <w:t xml:space="preserve"> </w:t>
      </w:r>
      <w:r>
        <w:rPr>
          <w:rFonts w:ascii="Calibri"/>
        </w:rPr>
        <w:t>of</w:t>
      </w:r>
      <w:r>
        <w:rPr>
          <w:rFonts w:ascii="Calibri"/>
          <w:spacing w:val="-4"/>
        </w:rPr>
        <w:t xml:space="preserve"> </w:t>
      </w:r>
      <w:r>
        <w:rPr>
          <w:rFonts w:ascii="Calibri"/>
        </w:rPr>
        <w:t>premises</w:t>
      </w:r>
      <w:r>
        <w:rPr>
          <w:rFonts w:ascii="Calibri"/>
          <w:spacing w:val="-5"/>
        </w:rPr>
        <w:t xml:space="preserve"> </w:t>
      </w:r>
      <w:r>
        <w:rPr>
          <w:rFonts w:ascii="Calibri"/>
        </w:rPr>
        <w:t>could connect to the NBN.</w:t>
      </w:r>
      <w:r>
        <w:rPr>
          <w:rFonts w:ascii="Calibri"/>
          <w:vertAlign w:val="superscript"/>
        </w:rPr>
        <w:t>ii</w:t>
      </w:r>
      <w:r>
        <w:rPr>
          <w:rFonts w:ascii="Calibri"/>
        </w:rPr>
        <w:t xml:space="preserve"> Relative to the household coverage estimated in other countries, this ranks Australia</w:t>
      </w:r>
      <w:r>
        <w:rPr>
          <w:rFonts w:ascii="Calibri"/>
          <w:spacing w:val="-4"/>
        </w:rPr>
        <w:t xml:space="preserve"> </w:t>
      </w:r>
      <w:r>
        <w:rPr>
          <w:rFonts w:ascii="Calibri"/>
        </w:rPr>
        <w:t>8</w:t>
      </w:r>
      <w:r>
        <w:rPr>
          <w:rFonts w:ascii="Calibri"/>
          <w:vertAlign w:val="superscript"/>
        </w:rPr>
        <w:t>th</w:t>
      </w:r>
      <w:r>
        <w:rPr>
          <w:rFonts w:ascii="Calibri"/>
          <w:spacing w:val="-5"/>
        </w:rPr>
        <w:t xml:space="preserve"> </w:t>
      </w:r>
      <w:r>
        <w:rPr>
          <w:rFonts w:ascii="Calibri"/>
        </w:rPr>
        <w:t>out</w:t>
      </w:r>
      <w:r>
        <w:rPr>
          <w:rFonts w:ascii="Calibri"/>
          <w:spacing w:val="-4"/>
        </w:rPr>
        <w:t xml:space="preserve"> </w:t>
      </w:r>
      <w:r>
        <w:rPr>
          <w:rFonts w:ascii="Calibri"/>
        </w:rPr>
        <w:t>of</w:t>
      </w:r>
      <w:r>
        <w:rPr>
          <w:rFonts w:ascii="Calibri"/>
          <w:spacing w:val="-5"/>
        </w:rPr>
        <w:t xml:space="preserve"> </w:t>
      </w:r>
      <w:r>
        <w:rPr>
          <w:rFonts w:ascii="Calibri"/>
        </w:rPr>
        <w:t>17</w:t>
      </w:r>
      <w:r>
        <w:rPr>
          <w:rFonts w:ascii="Calibri"/>
          <w:spacing w:val="-4"/>
        </w:rPr>
        <w:t xml:space="preserve"> </w:t>
      </w:r>
      <w:r>
        <w:rPr>
          <w:rFonts w:ascii="Calibri"/>
        </w:rPr>
        <w:t>comparable</w:t>
      </w:r>
      <w:r>
        <w:rPr>
          <w:rFonts w:ascii="Calibri"/>
          <w:spacing w:val="-5"/>
        </w:rPr>
        <w:t xml:space="preserve"> </w:t>
      </w:r>
      <w:r>
        <w:rPr>
          <w:rFonts w:ascii="Calibri"/>
        </w:rPr>
        <w:t>countries</w:t>
      </w:r>
      <w:r>
        <w:rPr>
          <w:rFonts w:ascii="Calibri"/>
          <w:spacing w:val="-5"/>
        </w:rPr>
        <w:t xml:space="preserve"> </w:t>
      </w:r>
      <w:r>
        <w:rPr>
          <w:rFonts w:ascii="Calibri"/>
        </w:rPr>
        <w:t>(chart</w:t>
      </w:r>
      <w:r>
        <w:rPr>
          <w:rFonts w:ascii="Calibri"/>
          <w:spacing w:val="-4"/>
        </w:rPr>
        <w:t xml:space="preserve"> </w:t>
      </w:r>
      <w:r>
        <w:rPr>
          <w:rFonts w:ascii="Calibri"/>
        </w:rPr>
        <w:t>1).</w:t>
      </w:r>
    </w:p>
    <w:p w:rsidR="00936AAD" w:rsidRDefault="00760C5B">
      <w:pPr>
        <w:spacing w:before="6"/>
        <w:rPr>
          <w:sz w:val="7"/>
        </w:rPr>
      </w:pPr>
      <w:r>
        <w:br w:type="column"/>
      </w:r>
    </w:p>
    <w:p w:rsidR="00936AAD" w:rsidRDefault="00760C5B">
      <w:pPr>
        <w:ind w:left="169"/>
        <w:rPr>
          <w:sz w:val="20"/>
        </w:rPr>
      </w:pPr>
      <w:r>
        <w:rPr>
          <w:noProof/>
          <w:sz w:val="20"/>
          <w:lang w:val="en-AU" w:eastAsia="en-AU"/>
        </w:rPr>
        <w:drawing>
          <wp:inline distT="0" distB="0" distL="0" distR="0">
            <wp:extent cx="2857665" cy="2105025"/>
            <wp:effectExtent l="0" t="0" r="0" b="0"/>
            <wp:docPr id="17" name="image6.png" descr="Chart 1 - Percentage of households able to access fixed broadband.&#10;&#10;Description: Chart 1 is a bar chart that shows the percentage of households that are able to access fixed broadband services in each of 17 different countries. The chart orders the countries from that with the highest percentage of households with access to fixed broadband on the left of the horizontal axis (United Kingdom) to that with the lowest percentage (the US) on the right. The countries depicted in the chart include the United Kingdom, France, Belgium, Japan, Italy, Switzerland, Denmark, Australia, Israel, Canada, Austria, Ireland, Germany, Sweden, Norway, Finland and the United States of America. Australia is at 8th position near to the middle of the chart, and the bar for Australia is illuminated with different colouring to the other countries in the chart.&#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image6.png"/>
                    <pic:cNvPicPr/>
                  </pic:nvPicPr>
                  <pic:blipFill>
                    <a:blip r:embed="rId23" cstate="print"/>
                    <a:stretch>
                      <a:fillRect/>
                    </a:stretch>
                  </pic:blipFill>
                  <pic:spPr>
                    <a:xfrm>
                      <a:off x="0" y="0"/>
                      <a:ext cx="2857665" cy="2105025"/>
                    </a:xfrm>
                    <a:prstGeom prst="rect">
                      <a:avLst/>
                    </a:prstGeom>
                  </pic:spPr>
                </pic:pic>
              </a:graphicData>
            </a:graphic>
          </wp:inline>
        </w:drawing>
      </w:r>
    </w:p>
    <w:p w:rsidR="00936AAD" w:rsidRDefault="00760C5B">
      <w:pPr>
        <w:spacing w:before="22"/>
        <w:ind w:left="139"/>
        <w:rPr>
          <w:sz w:val="18"/>
        </w:rPr>
      </w:pPr>
      <w:r>
        <w:rPr>
          <w:sz w:val="18"/>
        </w:rPr>
        <w:t>Source: Various, PwC analysis.</w:t>
      </w:r>
    </w:p>
    <w:p w:rsidR="00936AAD" w:rsidRDefault="00760C5B">
      <w:pPr>
        <w:pStyle w:val="BodyText"/>
        <w:spacing w:before="160"/>
        <w:ind w:left="139" w:right="520"/>
        <w:rPr>
          <w:rFonts w:ascii="Calibri"/>
        </w:rPr>
      </w:pPr>
      <w:r>
        <w:rPr>
          <w:rFonts w:ascii="Calibri"/>
        </w:rPr>
        <w:t>Coverage</w:t>
      </w:r>
      <w:r>
        <w:rPr>
          <w:rFonts w:ascii="Calibri"/>
          <w:spacing w:val="-6"/>
        </w:rPr>
        <w:t xml:space="preserve"> </w:t>
      </w:r>
      <w:r>
        <w:rPr>
          <w:rFonts w:ascii="Calibri"/>
        </w:rPr>
        <w:t>based</w:t>
      </w:r>
      <w:r>
        <w:rPr>
          <w:rFonts w:ascii="Calibri"/>
          <w:spacing w:val="-4"/>
        </w:rPr>
        <w:t xml:space="preserve"> </w:t>
      </w:r>
      <w:r>
        <w:rPr>
          <w:rFonts w:ascii="Calibri"/>
        </w:rPr>
        <w:t>on</w:t>
      </w:r>
      <w:r>
        <w:rPr>
          <w:rFonts w:ascii="Calibri"/>
          <w:spacing w:val="-4"/>
        </w:rPr>
        <w:t xml:space="preserve"> </w:t>
      </w:r>
      <w:r>
        <w:rPr>
          <w:rFonts w:ascii="Calibri"/>
        </w:rPr>
        <w:t>the</w:t>
      </w:r>
      <w:r>
        <w:rPr>
          <w:rFonts w:ascii="Calibri"/>
          <w:spacing w:val="-6"/>
        </w:rPr>
        <w:t xml:space="preserve"> </w:t>
      </w:r>
      <w:r>
        <w:rPr>
          <w:rFonts w:ascii="Calibri"/>
        </w:rPr>
        <w:t>percentage</w:t>
      </w:r>
      <w:r>
        <w:rPr>
          <w:rFonts w:ascii="Calibri"/>
          <w:spacing w:val="-6"/>
        </w:rPr>
        <w:t xml:space="preserve"> </w:t>
      </w:r>
      <w:r>
        <w:rPr>
          <w:rFonts w:ascii="Calibri"/>
        </w:rPr>
        <w:t>of</w:t>
      </w:r>
      <w:r>
        <w:rPr>
          <w:rFonts w:ascii="Calibri"/>
          <w:spacing w:val="-6"/>
        </w:rPr>
        <w:t xml:space="preserve"> </w:t>
      </w:r>
      <w:r>
        <w:rPr>
          <w:rFonts w:ascii="Calibri"/>
        </w:rPr>
        <w:t>premises</w:t>
      </w:r>
      <w:r>
        <w:rPr>
          <w:rFonts w:ascii="Calibri"/>
          <w:spacing w:val="-6"/>
        </w:rPr>
        <w:t xml:space="preserve"> </w:t>
      </w:r>
      <w:r>
        <w:rPr>
          <w:rFonts w:ascii="Calibri"/>
        </w:rPr>
        <w:t>able</w:t>
      </w:r>
      <w:r>
        <w:rPr>
          <w:rFonts w:ascii="Calibri"/>
          <w:spacing w:val="-6"/>
        </w:rPr>
        <w:t xml:space="preserve"> </w:t>
      </w:r>
      <w:r>
        <w:rPr>
          <w:rFonts w:ascii="Calibri"/>
        </w:rPr>
        <w:t>to access fixed broadband download speeds of at least 25Mbps is approximately 99.3 per cent,</w:t>
      </w:r>
      <w:r>
        <w:rPr>
          <w:rFonts w:ascii="Calibri"/>
          <w:vertAlign w:val="superscript"/>
        </w:rPr>
        <w:t>iii</w:t>
      </w:r>
      <w:r>
        <w:rPr>
          <w:rFonts w:ascii="Calibri"/>
        </w:rPr>
        <w:t xml:space="preserve"> ranking Australia</w:t>
      </w:r>
      <w:r>
        <w:rPr>
          <w:rFonts w:ascii="Calibri"/>
          <w:spacing w:val="-5"/>
        </w:rPr>
        <w:t xml:space="preserve"> </w:t>
      </w:r>
      <w:r>
        <w:rPr>
          <w:rFonts w:ascii="Calibri"/>
        </w:rPr>
        <w:t>1</w:t>
      </w:r>
      <w:r>
        <w:rPr>
          <w:rFonts w:ascii="Calibri"/>
          <w:vertAlign w:val="superscript"/>
        </w:rPr>
        <w:t>st</w:t>
      </w:r>
      <w:r>
        <w:rPr>
          <w:rFonts w:ascii="Calibri"/>
          <w:spacing w:val="-4"/>
        </w:rPr>
        <w:t xml:space="preserve"> </w:t>
      </w:r>
      <w:r>
        <w:rPr>
          <w:rFonts w:ascii="Calibri"/>
        </w:rPr>
        <w:t>out</w:t>
      </w:r>
      <w:r>
        <w:rPr>
          <w:rFonts w:ascii="Calibri"/>
          <w:spacing w:val="-4"/>
        </w:rPr>
        <w:t xml:space="preserve"> </w:t>
      </w:r>
      <w:r>
        <w:rPr>
          <w:rFonts w:ascii="Calibri"/>
        </w:rPr>
        <w:t>of</w:t>
      </w:r>
      <w:r>
        <w:rPr>
          <w:rFonts w:ascii="Calibri"/>
          <w:spacing w:val="-5"/>
        </w:rPr>
        <w:t xml:space="preserve"> </w:t>
      </w:r>
      <w:r>
        <w:rPr>
          <w:rFonts w:ascii="Calibri"/>
        </w:rPr>
        <w:t>15</w:t>
      </w:r>
      <w:r>
        <w:rPr>
          <w:rFonts w:ascii="Calibri"/>
          <w:spacing w:val="-4"/>
        </w:rPr>
        <w:t xml:space="preserve"> </w:t>
      </w:r>
      <w:r>
        <w:rPr>
          <w:rFonts w:ascii="Calibri"/>
        </w:rPr>
        <w:t>comparable</w:t>
      </w:r>
      <w:r>
        <w:rPr>
          <w:rFonts w:ascii="Calibri"/>
          <w:spacing w:val="-6"/>
        </w:rPr>
        <w:t xml:space="preserve"> </w:t>
      </w:r>
      <w:r>
        <w:rPr>
          <w:rFonts w:ascii="Calibri"/>
        </w:rPr>
        <w:t>countries</w:t>
      </w:r>
      <w:r>
        <w:rPr>
          <w:rFonts w:ascii="Calibri"/>
          <w:spacing w:val="-5"/>
        </w:rPr>
        <w:t xml:space="preserve"> </w:t>
      </w:r>
      <w:r>
        <w:rPr>
          <w:rFonts w:ascii="Calibri"/>
        </w:rPr>
        <w:t>(chart</w:t>
      </w:r>
      <w:r>
        <w:rPr>
          <w:rFonts w:ascii="Calibri"/>
          <w:spacing w:val="-4"/>
        </w:rPr>
        <w:t xml:space="preserve"> </w:t>
      </w:r>
      <w:r>
        <w:rPr>
          <w:rFonts w:ascii="Calibri"/>
        </w:rPr>
        <w:t>2).</w:t>
      </w:r>
    </w:p>
    <w:p w:rsidR="00936AAD" w:rsidRDefault="00760C5B" w:rsidP="00F510E4">
      <w:pPr>
        <w:spacing w:before="9"/>
        <w:ind w:left="142"/>
        <w:rPr>
          <w:sz w:val="14"/>
        </w:rPr>
      </w:pPr>
      <w:r>
        <w:rPr>
          <w:noProof/>
          <w:lang w:val="en-AU" w:eastAsia="en-AU"/>
        </w:rPr>
        <w:drawing>
          <wp:inline distT="0" distB="0" distL="0" distR="0">
            <wp:extent cx="2714624" cy="1819275"/>
            <wp:effectExtent l="0" t="0" r="0" b="0"/>
            <wp:docPr id="19" name="image7.png" descr="Chart 2 - Household access - fixed broadband speeds of at least 25-30 megabits per second.&#10;&#10;Description: Chart 2 is a bar chart that shows the percentage of households that are able to access fixed broadband services that are a minimum of either 25 Megabits per second or 30 Megabits per second in terms of download speeds, for each of 15 different countries. The chart orders the countries from that with the highest percentage of households with access to fixed broadband of the speeds indicated on the left of the horizontal axis (Australia) to that with the lowest percentage (France) on the right. The countries depicted in the chart include Australia, Switzerland, Belgium, Denmark, USA, Canada, the United Kingdom, Italy, Ireland, Germany, Norway, Austria, Sweden, Finland and France.&#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image7.png"/>
                    <pic:cNvPicPr/>
                  </pic:nvPicPr>
                  <pic:blipFill>
                    <a:blip r:embed="rId24" cstate="print">
                      <a:extLst>
                        <a:ext uri="{28A0092B-C50C-407E-A947-70E740481C1C}">
                          <a14:useLocalDpi xmlns:a14="http://schemas.microsoft.com/office/drawing/2010/main" val="0"/>
                        </a:ext>
                      </a:extLst>
                    </a:blip>
                    <a:stretch>
                      <a:fillRect/>
                    </a:stretch>
                  </pic:blipFill>
                  <pic:spPr>
                    <a:xfrm>
                      <a:off x="0" y="0"/>
                      <a:ext cx="2714624" cy="1819275"/>
                    </a:xfrm>
                    <a:prstGeom prst="rect">
                      <a:avLst/>
                    </a:prstGeom>
                  </pic:spPr>
                </pic:pic>
              </a:graphicData>
            </a:graphic>
          </wp:inline>
        </w:drawing>
      </w:r>
    </w:p>
    <w:p w:rsidR="00936AAD" w:rsidRDefault="00760C5B">
      <w:pPr>
        <w:spacing w:before="16"/>
        <w:ind w:left="139"/>
        <w:rPr>
          <w:sz w:val="18"/>
        </w:rPr>
      </w:pPr>
      <w:r>
        <w:rPr>
          <w:sz w:val="18"/>
        </w:rPr>
        <w:t>Source:</w:t>
      </w:r>
      <w:r>
        <w:rPr>
          <w:spacing w:val="-6"/>
          <w:sz w:val="18"/>
        </w:rPr>
        <w:t xml:space="preserve"> </w:t>
      </w:r>
      <w:r>
        <w:rPr>
          <w:sz w:val="18"/>
        </w:rPr>
        <w:t>Various,</w:t>
      </w:r>
      <w:r>
        <w:rPr>
          <w:spacing w:val="-6"/>
          <w:sz w:val="18"/>
        </w:rPr>
        <w:t xml:space="preserve"> </w:t>
      </w:r>
      <w:r>
        <w:rPr>
          <w:sz w:val="18"/>
        </w:rPr>
        <w:t>PwC</w:t>
      </w:r>
      <w:r>
        <w:rPr>
          <w:spacing w:val="-6"/>
          <w:sz w:val="18"/>
        </w:rPr>
        <w:t xml:space="preserve"> </w:t>
      </w:r>
      <w:r>
        <w:rPr>
          <w:sz w:val="18"/>
        </w:rPr>
        <w:t>analysis.</w:t>
      </w:r>
      <w:r>
        <w:rPr>
          <w:spacing w:val="-6"/>
          <w:sz w:val="18"/>
        </w:rPr>
        <w:t xml:space="preserve"> </w:t>
      </w:r>
      <w:r>
        <w:rPr>
          <w:sz w:val="18"/>
        </w:rPr>
        <w:t>NBN</w:t>
      </w:r>
      <w:r>
        <w:rPr>
          <w:spacing w:val="-7"/>
          <w:sz w:val="18"/>
        </w:rPr>
        <w:t xml:space="preserve"> </w:t>
      </w:r>
      <w:r>
        <w:rPr>
          <w:sz w:val="18"/>
        </w:rPr>
        <w:t>data</w:t>
      </w:r>
      <w:r>
        <w:rPr>
          <w:spacing w:val="-4"/>
          <w:sz w:val="18"/>
        </w:rPr>
        <w:t xml:space="preserve"> </w:t>
      </w:r>
      <w:r>
        <w:rPr>
          <w:sz w:val="18"/>
        </w:rPr>
        <w:t>used</w:t>
      </w:r>
      <w:r>
        <w:rPr>
          <w:spacing w:val="-7"/>
          <w:sz w:val="18"/>
        </w:rPr>
        <w:t xml:space="preserve"> </w:t>
      </w:r>
      <w:r>
        <w:rPr>
          <w:sz w:val="18"/>
        </w:rPr>
        <w:t>for</w:t>
      </w:r>
      <w:r>
        <w:rPr>
          <w:spacing w:val="-6"/>
          <w:sz w:val="18"/>
        </w:rPr>
        <w:t xml:space="preserve"> </w:t>
      </w:r>
      <w:r>
        <w:rPr>
          <w:sz w:val="18"/>
        </w:rPr>
        <w:t>Australia.</w:t>
      </w:r>
    </w:p>
    <w:p w:rsidR="00936AAD" w:rsidRDefault="00936AAD">
      <w:pPr>
        <w:rPr>
          <w:sz w:val="18"/>
        </w:rPr>
        <w:sectPr w:rsidR="00936AAD">
          <w:type w:val="continuous"/>
          <w:pgSz w:w="11910" w:h="16840"/>
          <w:pgMar w:top="700" w:right="500" w:bottom="740" w:left="880" w:header="720" w:footer="720" w:gutter="0"/>
          <w:cols w:num="2" w:space="720" w:equalWidth="0">
            <w:col w:w="4749" w:space="539"/>
            <w:col w:w="5242"/>
          </w:cols>
        </w:sectPr>
      </w:pPr>
    </w:p>
    <w:p w:rsidR="00936AAD" w:rsidRDefault="00936AAD">
      <w:pPr>
        <w:rPr>
          <w:sz w:val="20"/>
        </w:rPr>
      </w:pPr>
    </w:p>
    <w:p w:rsidR="00936AAD" w:rsidRDefault="00936AAD">
      <w:pPr>
        <w:rPr>
          <w:sz w:val="20"/>
        </w:rPr>
        <w:sectPr w:rsidR="00936AAD" w:rsidSect="00F510E4">
          <w:headerReference w:type="default" r:id="rId25"/>
          <w:footerReference w:type="default" r:id="rId26"/>
          <w:pgSz w:w="11910" w:h="16840"/>
          <w:pgMar w:top="1580" w:right="500" w:bottom="480" w:left="880" w:header="0" w:footer="0" w:gutter="0"/>
          <w:cols w:space="720"/>
          <w:docGrid w:linePitch="299"/>
        </w:sectPr>
      </w:pPr>
    </w:p>
    <w:p w:rsidR="00936AAD" w:rsidRDefault="00760C5B">
      <w:pPr>
        <w:pStyle w:val="BodyText"/>
        <w:spacing w:before="184"/>
        <w:ind w:left="140" w:right="39"/>
        <w:rPr>
          <w:rFonts w:ascii="Calibri"/>
        </w:rPr>
      </w:pPr>
      <w:r>
        <w:rPr>
          <w:rFonts w:ascii="Calibri"/>
        </w:rPr>
        <w:t>The percentage of premises able to access fixed broadband services with download speeds greater than or equal to 100Mbps is around 66 per cent,</w:t>
      </w:r>
      <w:r>
        <w:rPr>
          <w:rFonts w:ascii="Calibri"/>
          <w:vertAlign w:val="superscript"/>
        </w:rPr>
        <w:t>iv</w:t>
      </w:r>
      <w:r>
        <w:rPr>
          <w:rFonts w:ascii="Calibri"/>
        </w:rPr>
        <w:t xml:space="preserve"> which ranks Australia 10</w:t>
      </w:r>
      <w:r>
        <w:rPr>
          <w:rFonts w:ascii="Calibri"/>
          <w:vertAlign w:val="superscript"/>
        </w:rPr>
        <w:t>th</w:t>
      </w:r>
      <w:r>
        <w:rPr>
          <w:rFonts w:ascii="Calibri"/>
        </w:rPr>
        <w:t xml:space="preserve"> out of 16 comparable countries.</w:t>
      </w:r>
    </w:p>
    <w:p w:rsidR="00936AAD" w:rsidRDefault="00760C5B" w:rsidP="00F510E4">
      <w:pPr>
        <w:spacing w:before="8"/>
        <w:ind w:left="142"/>
        <w:rPr>
          <w:sz w:val="14"/>
        </w:rPr>
      </w:pPr>
      <w:r>
        <w:rPr>
          <w:noProof/>
          <w:lang w:val="en-AU" w:eastAsia="en-AU"/>
        </w:rPr>
        <w:drawing>
          <wp:inline distT="0" distB="0" distL="0" distR="0">
            <wp:extent cx="2714625" cy="2428875"/>
            <wp:effectExtent l="0" t="0" r="9525" b="9525"/>
            <wp:docPr id="21" name="image8.png" descr="Chart 3 - Household access to services of 100 megabits per second or more.&#10;&#10;Description: This chart is a bar chart that shows in descending order, from left to right, a subset of the countries identified as peers to Australia for broadband performance, in terms of the percentage of households with access to broadband services with speeds of 100 megabits per second or more. The chart shows that 66 per cent of Australian households have access to services with these speeds, ranking Australia, tenth out of 16 comparable countries, which also include Switzerland, Belgium, Denmark, the United States, Canada, New Zealand, Norway, Sweden, Germany, Austria, Ireland, Finland, the United Kingdom, France and Italy.&#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image8.png"/>
                    <pic:cNvPicPr/>
                  </pic:nvPicPr>
                  <pic:blipFill>
                    <a:blip r:embed="rId27" cstate="print">
                      <a:extLst>
                        <a:ext uri="{28A0092B-C50C-407E-A947-70E740481C1C}">
                          <a14:useLocalDpi xmlns:a14="http://schemas.microsoft.com/office/drawing/2010/main" val="0"/>
                        </a:ext>
                      </a:extLst>
                    </a:blip>
                    <a:stretch>
                      <a:fillRect/>
                    </a:stretch>
                  </pic:blipFill>
                  <pic:spPr>
                    <a:xfrm>
                      <a:off x="0" y="0"/>
                      <a:ext cx="2714625" cy="2428875"/>
                    </a:xfrm>
                    <a:prstGeom prst="rect">
                      <a:avLst/>
                    </a:prstGeom>
                  </pic:spPr>
                </pic:pic>
              </a:graphicData>
            </a:graphic>
          </wp:inline>
        </w:drawing>
      </w:r>
    </w:p>
    <w:p w:rsidR="00936AAD" w:rsidRDefault="00760C5B">
      <w:pPr>
        <w:spacing w:before="17"/>
        <w:ind w:left="140"/>
        <w:rPr>
          <w:sz w:val="18"/>
        </w:rPr>
      </w:pPr>
      <w:r>
        <w:rPr>
          <w:sz w:val="18"/>
        </w:rPr>
        <w:t>Source: Various, PwC analysis. NBN data used for Australia.</w:t>
      </w:r>
    </w:p>
    <w:p w:rsidR="00936AAD" w:rsidRDefault="00760C5B" w:rsidP="004B1042">
      <w:pPr>
        <w:pStyle w:val="Heading4thisdocument"/>
      </w:pPr>
      <w:r>
        <w:t>Australians are tapped into the digital economy</w:t>
      </w:r>
    </w:p>
    <w:p w:rsidR="00936AAD" w:rsidRDefault="00760C5B">
      <w:pPr>
        <w:pStyle w:val="BodyText"/>
        <w:spacing w:before="159"/>
        <w:ind w:left="139" w:right="29"/>
        <w:rPr>
          <w:rFonts w:ascii="Calibri"/>
        </w:rPr>
      </w:pPr>
      <w:r>
        <w:rPr>
          <w:rFonts w:ascii="Calibri"/>
        </w:rPr>
        <w:t>The most recent data on the total number of fixed broadband subscriptions and households shows that approximately 88 per cent of households in Australia had a fixed broadband subscription by December 2019.</w:t>
      </w:r>
      <w:r>
        <w:rPr>
          <w:rFonts w:ascii="Calibri"/>
          <w:vertAlign w:val="superscript"/>
        </w:rPr>
        <w:t>v</w:t>
      </w:r>
      <w:r>
        <w:rPr>
          <w:rFonts w:ascii="Calibri"/>
        </w:rPr>
        <w:t xml:space="preserve"> This ranked Australia 8</w:t>
      </w:r>
      <w:r>
        <w:rPr>
          <w:rFonts w:ascii="Calibri"/>
          <w:vertAlign w:val="superscript"/>
        </w:rPr>
        <w:t>th</w:t>
      </w:r>
      <w:r>
        <w:rPr>
          <w:rFonts w:ascii="Calibri"/>
        </w:rPr>
        <w:t xml:space="preserve"> out of 18 comparable countries, as shown in chart 4.</w:t>
      </w:r>
    </w:p>
    <w:p w:rsidR="00936AAD" w:rsidRDefault="00760C5B" w:rsidP="00F510E4">
      <w:pPr>
        <w:spacing w:before="240" w:after="39"/>
        <w:rPr>
          <w:sz w:val="20"/>
        </w:rPr>
      </w:pPr>
      <w:r>
        <w:br w:type="column"/>
      </w:r>
      <w:r>
        <w:rPr>
          <w:noProof/>
          <w:sz w:val="20"/>
          <w:lang w:val="en-AU" w:eastAsia="en-AU"/>
        </w:rPr>
        <w:drawing>
          <wp:inline distT="0" distB="0" distL="0" distR="0">
            <wp:extent cx="2802834" cy="1942909"/>
            <wp:effectExtent l="0" t="0" r="0" b="635"/>
            <wp:docPr id="23" name="image9.png" descr="Chart 4 - percentage of households with a fixed broadband subscription.&#10;&#10;Description: This chart is a bar chart that shows in descending order, from left to right, a subset of the countries identified as peers to Australia for broadband performance, in terms of the percentage of households with a fixed broadband subscription. The chart shows that 88 per cent of Australian households have a subscription to a fixed broadband service, ranking Australia eighth out of 18 comparable countries, which also include Switzerland, the United Kingdom, Norway, New Zealand, Belgium, Canada, Germany, the United States, Sweden, Israel, Denmark, Ireland, Japan, Austria, France Italy and Finland.&#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image9.png"/>
                    <pic:cNvPicPr/>
                  </pic:nvPicPr>
                  <pic:blipFill>
                    <a:blip r:embed="rId28" cstate="print"/>
                    <a:stretch>
                      <a:fillRect/>
                    </a:stretch>
                  </pic:blipFill>
                  <pic:spPr>
                    <a:xfrm>
                      <a:off x="0" y="0"/>
                      <a:ext cx="2802834" cy="1942909"/>
                    </a:xfrm>
                    <a:prstGeom prst="rect">
                      <a:avLst/>
                    </a:prstGeom>
                  </pic:spPr>
                </pic:pic>
              </a:graphicData>
            </a:graphic>
          </wp:inline>
        </w:drawing>
      </w:r>
    </w:p>
    <w:p w:rsidR="00936AAD" w:rsidRDefault="00760C5B">
      <w:pPr>
        <w:spacing w:before="40"/>
        <w:ind w:left="140"/>
        <w:rPr>
          <w:sz w:val="18"/>
        </w:rPr>
      </w:pPr>
      <w:r>
        <w:rPr>
          <w:sz w:val="18"/>
        </w:rPr>
        <w:t>Source: Various, PwC analysis.</w:t>
      </w:r>
    </w:p>
    <w:p w:rsidR="00936AAD" w:rsidRDefault="00760C5B" w:rsidP="00F510E4">
      <w:pPr>
        <w:pStyle w:val="BodyText"/>
        <w:spacing w:before="160" w:after="240"/>
        <w:ind w:left="139" w:right="552"/>
        <w:rPr>
          <w:rFonts w:ascii="Calibri" w:hAnsi="Calibri"/>
        </w:rPr>
      </w:pPr>
      <w:r>
        <w:rPr>
          <w:rFonts w:ascii="Calibri" w:hAnsi="Calibri"/>
        </w:rPr>
        <w:t>Australia’s uptake has grown by more than 50 per cent over the period of the NBN rollout. Chart 5 shows that the percentage of households with a fixed broadband subscription in Australia has increased from around 56 per cent to 88 per cent over the period from 2010 to 2019.</w:t>
      </w:r>
    </w:p>
    <w:p w:rsidR="004B1042" w:rsidRDefault="00760C5B" w:rsidP="00F510E4">
      <w:pPr>
        <w:spacing w:before="8"/>
        <w:ind w:left="142"/>
        <w:rPr>
          <w:sz w:val="18"/>
        </w:rPr>
      </w:pPr>
      <w:r>
        <w:rPr>
          <w:noProof/>
          <w:lang w:val="en-AU" w:eastAsia="en-AU"/>
        </w:rPr>
        <w:drawing>
          <wp:inline distT="0" distB="0" distL="0" distR="0">
            <wp:extent cx="2609849" cy="2057400"/>
            <wp:effectExtent l="0" t="0" r="635" b="0"/>
            <wp:docPr id="25" name="image10.png" descr="Chart 5 - percentage of Australian households with fixed broadband subscriptions.&#10;&#10;Description: This chart is a bar chart that shows in ascending order, from left to right, growth in the percentage of households with a fixed broadband subscription over the period 2010 to 2019. It shows that 88 per cent of Australian households had a fixed broadband subscription in 2019, up from 78 per cent in 2016, and 56 per cent in 2010.&#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image10.png"/>
                    <pic:cNvPicPr/>
                  </pic:nvPicPr>
                  <pic:blipFill>
                    <a:blip r:embed="rId29" cstate="print">
                      <a:extLst>
                        <a:ext uri="{28A0092B-C50C-407E-A947-70E740481C1C}">
                          <a14:useLocalDpi xmlns:a14="http://schemas.microsoft.com/office/drawing/2010/main" val="0"/>
                        </a:ext>
                      </a:extLst>
                    </a:blip>
                    <a:stretch>
                      <a:fillRect/>
                    </a:stretch>
                  </pic:blipFill>
                  <pic:spPr>
                    <a:xfrm>
                      <a:off x="0" y="0"/>
                      <a:ext cx="2609849" cy="2057400"/>
                    </a:xfrm>
                    <a:prstGeom prst="rect">
                      <a:avLst/>
                    </a:prstGeom>
                  </pic:spPr>
                </pic:pic>
              </a:graphicData>
            </a:graphic>
          </wp:inline>
        </w:drawing>
      </w:r>
    </w:p>
    <w:p w:rsidR="00936AAD" w:rsidRDefault="00760C5B" w:rsidP="00F510E4">
      <w:pPr>
        <w:spacing w:before="8"/>
        <w:ind w:left="142"/>
        <w:rPr>
          <w:sz w:val="18"/>
        </w:rPr>
      </w:pPr>
      <w:r>
        <w:rPr>
          <w:sz w:val="18"/>
        </w:rPr>
        <w:t>Source: PwC analysis, World Bank, UN, OECD. Includes both NBN and non-NBN subscriptions.</w:t>
      </w:r>
    </w:p>
    <w:p w:rsidR="00936AAD" w:rsidRDefault="00936AAD">
      <w:pPr>
        <w:rPr>
          <w:sz w:val="18"/>
        </w:rPr>
        <w:sectPr w:rsidR="00936AAD">
          <w:type w:val="continuous"/>
          <w:pgSz w:w="11910" w:h="16840"/>
          <w:pgMar w:top="700" w:right="500" w:bottom="740" w:left="880" w:header="720" w:footer="720" w:gutter="0"/>
          <w:cols w:num="2" w:space="720" w:equalWidth="0">
            <w:col w:w="4734" w:space="553"/>
            <w:col w:w="5243"/>
          </w:cols>
        </w:sectPr>
      </w:pPr>
    </w:p>
    <w:p w:rsidR="00936AAD" w:rsidRDefault="00802A55" w:rsidP="004608AC">
      <w:pPr>
        <w:spacing w:before="1200"/>
        <w:rPr>
          <w:sz w:val="11"/>
        </w:rPr>
      </w:pPr>
      <w:r>
        <w:rPr>
          <w:sz w:val="11"/>
        </w:rPr>
        <w:t>_____________________________________________________________________________________</w:t>
      </w:r>
    </w:p>
    <w:p w:rsidR="00936AAD" w:rsidRDefault="00936AAD">
      <w:pPr>
        <w:spacing w:line="20" w:lineRule="exact"/>
        <w:ind w:left="140"/>
        <w:rPr>
          <w:sz w:val="2"/>
        </w:rPr>
      </w:pPr>
    </w:p>
    <w:p w:rsidR="00936AAD" w:rsidRDefault="00936AAD">
      <w:pPr>
        <w:spacing w:before="8"/>
        <w:rPr>
          <w:sz w:val="5"/>
        </w:rPr>
      </w:pPr>
    </w:p>
    <w:p w:rsidR="00936AAD" w:rsidRDefault="00936AAD">
      <w:pPr>
        <w:rPr>
          <w:sz w:val="5"/>
        </w:rPr>
        <w:sectPr w:rsidR="00936AAD">
          <w:type w:val="continuous"/>
          <w:pgSz w:w="11910" w:h="16840"/>
          <w:pgMar w:top="700" w:right="500" w:bottom="740" w:left="880" w:header="720" w:footer="720" w:gutter="0"/>
          <w:cols w:space="720"/>
        </w:sectPr>
      </w:pPr>
    </w:p>
    <w:p w:rsidR="00936AAD" w:rsidRDefault="00760C5B">
      <w:pPr>
        <w:spacing w:before="34"/>
        <w:ind w:left="140" w:right="-1"/>
        <w:rPr>
          <w:sz w:val="18"/>
        </w:rPr>
      </w:pPr>
      <w:r>
        <w:rPr>
          <w:sz w:val="18"/>
          <w:vertAlign w:val="superscript"/>
        </w:rPr>
        <w:t>i</w:t>
      </w:r>
      <w:r>
        <w:rPr>
          <w:sz w:val="18"/>
        </w:rPr>
        <w:t xml:space="preserve"> Information presented in this fact sheet draws on the most recent data available for countries analysed, and may not always relate to the same period. ‘Speeds’ refer to wholesale speeds. Limitations on the availability of appropriate data means that for some measures, analysis of different subsets of countries from the list of identified peer countries was required.</w:t>
      </w:r>
    </w:p>
    <w:p w:rsidR="00936AAD" w:rsidRDefault="00760C5B">
      <w:pPr>
        <w:spacing w:before="25" w:line="242" w:lineRule="auto"/>
        <w:ind w:left="140" w:right="41" w:hanging="1"/>
        <w:rPr>
          <w:sz w:val="18"/>
        </w:rPr>
      </w:pPr>
      <w:r>
        <w:rPr>
          <w:sz w:val="18"/>
          <w:vertAlign w:val="superscript"/>
        </w:rPr>
        <w:t>ii</w:t>
      </w:r>
      <w:r>
        <w:rPr>
          <w:sz w:val="18"/>
        </w:rPr>
        <w:t xml:space="preserve"> Data provided by NBNCo. Some premises are not yet ready to</w:t>
      </w:r>
      <w:r>
        <w:rPr>
          <w:spacing w:val="-3"/>
          <w:sz w:val="18"/>
        </w:rPr>
        <w:t xml:space="preserve"> </w:t>
      </w:r>
      <w:r>
        <w:rPr>
          <w:sz w:val="18"/>
        </w:rPr>
        <w:t>connect</w:t>
      </w:r>
      <w:r>
        <w:rPr>
          <w:spacing w:val="-5"/>
          <w:sz w:val="18"/>
        </w:rPr>
        <w:t xml:space="preserve"> </w:t>
      </w:r>
      <w:r>
        <w:rPr>
          <w:sz w:val="18"/>
        </w:rPr>
        <w:t>due</w:t>
      </w:r>
      <w:r>
        <w:rPr>
          <w:spacing w:val="-4"/>
          <w:sz w:val="18"/>
        </w:rPr>
        <w:t xml:space="preserve"> </w:t>
      </w:r>
      <w:r>
        <w:rPr>
          <w:sz w:val="18"/>
        </w:rPr>
        <w:t>to</w:t>
      </w:r>
      <w:r>
        <w:rPr>
          <w:spacing w:val="-3"/>
          <w:sz w:val="18"/>
        </w:rPr>
        <w:t xml:space="preserve"> </w:t>
      </w:r>
      <w:r>
        <w:rPr>
          <w:sz w:val="18"/>
        </w:rPr>
        <w:t>having</w:t>
      </w:r>
      <w:r>
        <w:rPr>
          <w:spacing w:val="-4"/>
          <w:sz w:val="18"/>
        </w:rPr>
        <w:t xml:space="preserve"> </w:t>
      </w:r>
      <w:r>
        <w:rPr>
          <w:sz w:val="18"/>
        </w:rPr>
        <w:t>complex</w:t>
      </w:r>
      <w:r>
        <w:rPr>
          <w:spacing w:val="-5"/>
          <w:sz w:val="18"/>
        </w:rPr>
        <w:t xml:space="preserve"> </w:t>
      </w:r>
      <w:r>
        <w:rPr>
          <w:sz w:val="18"/>
        </w:rPr>
        <w:t>connection</w:t>
      </w:r>
      <w:r>
        <w:rPr>
          <w:spacing w:val="-4"/>
          <w:sz w:val="18"/>
        </w:rPr>
        <w:t xml:space="preserve"> </w:t>
      </w:r>
      <w:r>
        <w:rPr>
          <w:sz w:val="18"/>
        </w:rPr>
        <w:t>requirements</w:t>
      </w:r>
      <w:r>
        <w:rPr>
          <w:spacing w:val="-5"/>
          <w:sz w:val="18"/>
        </w:rPr>
        <w:t xml:space="preserve"> </w:t>
      </w:r>
      <w:r>
        <w:rPr>
          <w:sz w:val="18"/>
        </w:rPr>
        <w:t>or being premises added to the fixed-line network in the final year of the build – comprising some new developments</w:t>
      </w:r>
      <w:r>
        <w:rPr>
          <w:spacing w:val="-20"/>
          <w:sz w:val="18"/>
        </w:rPr>
        <w:t xml:space="preserve"> </w:t>
      </w:r>
      <w:r>
        <w:rPr>
          <w:sz w:val="18"/>
        </w:rPr>
        <w:t>and</w:t>
      </w:r>
    </w:p>
    <w:p w:rsidR="00936AAD" w:rsidRDefault="00760C5B">
      <w:pPr>
        <w:spacing w:before="15"/>
        <w:ind w:left="140" w:right="520"/>
        <w:rPr>
          <w:sz w:val="18"/>
        </w:rPr>
      </w:pPr>
      <w:r>
        <w:br w:type="column"/>
      </w:r>
      <w:r>
        <w:rPr>
          <w:sz w:val="18"/>
        </w:rPr>
        <w:t>premises previously designated to receive fixed wireless that were reallocated to fixed-line technology. The small proportion of premises defined as ‘complex connections’ includes those that are difficult to access or are in culturally significant areas and heritage sites. NBN Co expects to address 80% of these not yet ready to connect premises by the end of 2020.</w:t>
      </w:r>
    </w:p>
    <w:p w:rsidR="00936AAD" w:rsidRDefault="00760C5B">
      <w:pPr>
        <w:spacing w:before="20" w:line="266" w:lineRule="auto"/>
        <w:ind w:left="140" w:right="1186"/>
        <w:jc w:val="both"/>
        <w:rPr>
          <w:sz w:val="18"/>
        </w:rPr>
      </w:pPr>
      <w:r>
        <w:rPr>
          <w:sz w:val="18"/>
          <w:vertAlign w:val="superscript"/>
        </w:rPr>
        <w:t>iii</w:t>
      </w:r>
      <w:r>
        <w:rPr>
          <w:sz w:val="18"/>
        </w:rPr>
        <w:t xml:space="preserve"> Based on data available to the Department, NBNCo. </w:t>
      </w:r>
      <w:r>
        <w:rPr>
          <w:sz w:val="18"/>
          <w:vertAlign w:val="superscript"/>
        </w:rPr>
        <w:t>iv</w:t>
      </w:r>
      <w:r>
        <w:rPr>
          <w:sz w:val="18"/>
        </w:rPr>
        <w:t xml:space="preserve"> Based on data available to the Department, NBNCo. </w:t>
      </w:r>
      <w:r>
        <w:rPr>
          <w:sz w:val="18"/>
          <w:vertAlign w:val="superscript"/>
        </w:rPr>
        <w:t>v</w:t>
      </w:r>
      <w:r>
        <w:rPr>
          <w:sz w:val="18"/>
        </w:rPr>
        <w:t xml:space="preserve"> Includes NBN and non-NBN subscriptions.</w:t>
      </w:r>
    </w:p>
    <w:p w:rsidR="00936AAD" w:rsidRDefault="00936AAD">
      <w:pPr>
        <w:spacing w:line="266" w:lineRule="auto"/>
        <w:jc w:val="both"/>
        <w:rPr>
          <w:sz w:val="18"/>
        </w:rPr>
        <w:sectPr w:rsidR="00936AAD">
          <w:type w:val="continuous"/>
          <w:pgSz w:w="11910" w:h="16840"/>
          <w:pgMar w:top="700" w:right="500" w:bottom="740" w:left="880" w:header="720" w:footer="720" w:gutter="0"/>
          <w:cols w:num="2" w:space="720" w:equalWidth="0">
            <w:col w:w="4739" w:space="549"/>
            <w:col w:w="5242"/>
          </w:cols>
        </w:sectPr>
      </w:pPr>
    </w:p>
    <w:p w:rsidR="00936AAD" w:rsidRDefault="00760C5B">
      <w:pPr>
        <w:pStyle w:val="BodyText"/>
        <w:tabs>
          <w:tab w:val="left" w:pos="5449"/>
        </w:tabs>
        <w:ind w:left="141"/>
        <w:rPr>
          <w:rFonts w:ascii="Calibri"/>
        </w:rPr>
      </w:pPr>
      <w:r>
        <w:rPr>
          <w:rFonts w:ascii="Calibri"/>
          <w:noProof/>
          <w:lang w:val="en-AU" w:eastAsia="en-AU"/>
        </w:rPr>
        <w:lastRenderedPageBreak/>
        <w:drawing>
          <wp:inline distT="0" distB="0" distL="0" distR="0">
            <wp:extent cx="3170758" cy="666369"/>
            <wp:effectExtent l="0" t="0" r="0" b="635"/>
            <wp:docPr id="29" name="image4.png" descr="Logo: Australian Government, Department of Infrastructure, Transport, Regional Development and Communicatio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image4.png"/>
                    <pic:cNvPicPr/>
                  </pic:nvPicPr>
                  <pic:blipFill>
                    <a:blip r:embed="rId19" cstate="print"/>
                    <a:stretch>
                      <a:fillRect/>
                    </a:stretch>
                  </pic:blipFill>
                  <pic:spPr>
                    <a:xfrm>
                      <a:off x="0" y="0"/>
                      <a:ext cx="3170758" cy="666369"/>
                    </a:xfrm>
                    <a:prstGeom prst="rect">
                      <a:avLst/>
                    </a:prstGeom>
                  </pic:spPr>
                </pic:pic>
              </a:graphicData>
            </a:graphic>
          </wp:inline>
        </w:drawing>
      </w:r>
      <w:r>
        <w:rPr>
          <w:rFonts w:ascii="Calibri"/>
        </w:rPr>
        <w:tab/>
      </w:r>
      <w:r>
        <w:rPr>
          <w:rFonts w:ascii="Calibri"/>
          <w:noProof/>
          <w:position w:val="1"/>
          <w:lang w:val="en-AU" w:eastAsia="en-AU"/>
        </w:rPr>
        <w:drawing>
          <wp:inline distT="0" distB="0" distL="0" distR="0">
            <wp:extent cx="2588235" cy="658368"/>
            <wp:effectExtent l="0" t="0" r="3175" b="8890"/>
            <wp:docPr id="31" name="image5.jpeg" descr="Logo: Bureau of Communications, Arts and Regional Researc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image5.jpeg"/>
                    <pic:cNvPicPr/>
                  </pic:nvPicPr>
                  <pic:blipFill>
                    <a:blip r:embed="rId20" cstate="print"/>
                    <a:stretch>
                      <a:fillRect/>
                    </a:stretch>
                  </pic:blipFill>
                  <pic:spPr>
                    <a:xfrm>
                      <a:off x="0" y="0"/>
                      <a:ext cx="2588235" cy="658368"/>
                    </a:xfrm>
                    <a:prstGeom prst="rect">
                      <a:avLst/>
                    </a:prstGeom>
                  </pic:spPr>
                </pic:pic>
              </a:graphicData>
            </a:graphic>
          </wp:inline>
        </w:drawing>
      </w:r>
    </w:p>
    <w:p w:rsidR="00936AAD" w:rsidRDefault="00760C5B" w:rsidP="004608AC">
      <w:pPr>
        <w:pStyle w:val="Heading1"/>
        <w:spacing w:before="600"/>
      </w:pPr>
      <w:bookmarkStart w:id="3" w:name="3._International_comparison_of_fixed_bro"/>
      <w:bookmarkEnd w:id="3"/>
      <w:r>
        <w:rPr>
          <w:color w:val="081E3E"/>
        </w:rPr>
        <w:t>International comparison of fixed broadband performance</w:t>
      </w:r>
    </w:p>
    <w:p w:rsidR="00936AAD" w:rsidRDefault="00760C5B">
      <w:pPr>
        <w:pStyle w:val="Heading2"/>
      </w:pPr>
      <w:r>
        <w:rPr>
          <w:color w:val="0066AB"/>
        </w:rPr>
        <w:t>Migration to higher speed plans</w:t>
      </w:r>
    </w:p>
    <w:p w:rsidR="00936AAD" w:rsidRDefault="00760C5B">
      <w:pPr>
        <w:spacing w:before="162"/>
        <w:ind w:left="140"/>
        <w:rPr>
          <w:b/>
          <w:color w:val="081E3E"/>
          <w:sz w:val="20"/>
        </w:rPr>
      </w:pPr>
      <w:r>
        <w:rPr>
          <w:b/>
          <w:color w:val="081E3E"/>
          <w:sz w:val="20"/>
        </w:rPr>
        <w:t>December 2020</w:t>
      </w:r>
    </w:p>
    <w:p w:rsidR="00F510E4" w:rsidRDefault="00F510E4" w:rsidP="00F510E4">
      <w:pPr>
        <w:ind w:left="140"/>
        <w:rPr>
          <w:b/>
          <w:sz w:val="20"/>
        </w:rPr>
      </w:pPr>
      <w:r>
        <w:rPr>
          <w:b/>
          <w:color w:val="081E3E"/>
          <w:sz w:val="20"/>
        </w:rPr>
        <w:t>________________________________________________________________________________________________________</w:t>
      </w:r>
    </w:p>
    <w:p w:rsidR="00936AAD" w:rsidRDefault="00760C5B" w:rsidP="004B1042">
      <w:pPr>
        <w:pStyle w:val="Heading3thisdocument2"/>
        <w:spacing w:before="120"/>
      </w:pPr>
      <w:r>
        <w:t>Role of fixed broadband</w:t>
      </w:r>
    </w:p>
    <w:p w:rsidR="00936AAD" w:rsidRDefault="00936AAD">
      <w:pPr>
        <w:spacing w:before="6"/>
        <w:rPr>
          <w:sz w:val="13"/>
        </w:rPr>
      </w:pPr>
    </w:p>
    <w:p w:rsidR="00936AAD" w:rsidRDefault="00936AAD">
      <w:pPr>
        <w:rPr>
          <w:sz w:val="13"/>
        </w:rPr>
        <w:sectPr w:rsidR="00936AAD" w:rsidSect="00F510E4">
          <w:headerReference w:type="default" r:id="rId30"/>
          <w:footerReference w:type="default" r:id="rId31"/>
          <w:pgSz w:w="11910" w:h="16840"/>
          <w:pgMar w:top="1420" w:right="500" w:bottom="480" w:left="880" w:header="0" w:footer="0" w:gutter="0"/>
          <w:pgNumType w:start="1"/>
          <w:cols w:space="720"/>
          <w:docGrid w:linePitch="299"/>
        </w:sectPr>
      </w:pPr>
    </w:p>
    <w:p w:rsidR="00936AAD" w:rsidRDefault="00760C5B" w:rsidP="00656245">
      <w:pPr>
        <w:pStyle w:val="Normal-smallheadingstyle"/>
        <w:spacing w:after="240"/>
      </w:pPr>
      <w:r>
        <w:t>Fixed broadband plays a vital role in connecting Australians, and it is important</w:t>
      </w:r>
      <w:r>
        <w:rPr>
          <w:spacing w:val="-30"/>
        </w:rPr>
        <w:t xml:space="preserve"> </w:t>
      </w:r>
      <w:r>
        <w:t>that the performance of Australia’s fixed broadband infrastructure is known and comparable to our international</w:t>
      </w:r>
      <w:r>
        <w:rPr>
          <w:spacing w:val="-9"/>
        </w:rPr>
        <w:t xml:space="preserve"> </w:t>
      </w:r>
      <w:r>
        <w:t>peers.</w:t>
      </w:r>
    </w:p>
    <w:p w:rsidR="00936AAD" w:rsidRDefault="00760C5B">
      <w:pPr>
        <w:pStyle w:val="BodyText"/>
        <w:ind w:left="139" w:right="93"/>
        <w:rPr>
          <w:rFonts w:ascii="Calibri" w:hAnsi="Calibri"/>
        </w:rPr>
      </w:pPr>
      <w:r>
        <w:rPr>
          <w:rFonts w:ascii="Calibri" w:hAnsi="Calibri"/>
        </w:rPr>
        <w:t>Fixed broadband, including both fixed-line and wireless connections to fixed locations, plays a vital role in connecting Australians. There has been significant public investment to develop fixed broadband infrastructure with the rollout of the NBN. Therefore it is important that the performance of Australia’s fixed broadband infrastructure is known and can be compared to our international peers, especially in the COVID-19 environment.</w:t>
      </w:r>
    </w:p>
    <w:p w:rsidR="00936AAD" w:rsidRDefault="00760C5B">
      <w:pPr>
        <w:pStyle w:val="BodyText"/>
        <w:spacing w:before="160"/>
        <w:ind w:left="139" w:right="36"/>
        <w:rPr>
          <w:rFonts w:ascii="Calibri" w:hAnsi="Calibri"/>
        </w:rPr>
      </w:pPr>
      <w:r>
        <w:rPr>
          <w:rFonts w:ascii="Calibri" w:hAnsi="Calibri"/>
        </w:rPr>
        <w:t>This fact sheet outlines Australia’s fixed broadband performance on access to higher speeds and migration to higher speed services.</w:t>
      </w:r>
      <w:r>
        <w:rPr>
          <w:rFonts w:ascii="Calibri" w:hAnsi="Calibri"/>
          <w:vertAlign w:val="superscript"/>
        </w:rPr>
        <w:t>1</w:t>
      </w:r>
      <w:r>
        <w:rPr>
          <w:rFonts w:ascii="Calibri" w:hAnsi="Calibri"/>
        </w:rPr>
        <w:t xml:space="preserve"> Further information on this and other broadband performance indicators, including how the comparison countries identified in the analysis were selected is provided in the paper </w:t>
      </w:r>
      <w:r>
        <w:rPr>
          <w:rFonts w:ascii="Calibri" w:hAnsi="Calibri"/>
          <w:i/>
        </w:rPr>
        <w:t>Measuring Australia’s fixed broadband performance</w:t>
      </w:r>
      <w:r>
        <w:rPr>
          <w:rFonts w:ascii="Calibri" w:hAnsi="Calibri"/>
        </w:rPr>
        <w:t>.</w:t>
      </w:r>
      <w:r>
        <w:rPr>
          <w:rFonts w:ascii="Calibri" w:hAnsi="Calibri"/>
          <w:vertAlign w:val="superscript"/>
        </w:rPr>
        <w:t>2</w:t>
      </w:r>
    </w:p>
    <w:p w:rsidR="00936AAD" w:rsidRDefault="00760C5B" w:rsidP="004B1042">
      <w:pPr>
        <w:pStyle w:val="Heading4thisdocument"/>
      </w:pPr>
      <w:r>
        <w:t>Australians’ appetite for fixed broadband</w:t>
      </w:r>
    </w:p>
    <w:p w:rsidR="00936AAD" w:rsidRDefault="00760C5B">
      <w:pPr>
        <w:pStyle w:val="BodyText"/>
        <w:spacing w:before="160"/>
        <w:ind w:left="140" w:right="18"/>
        <w:rPr>
          <w:rFonts w:ascii="Calibri"/>
        </w:rPr>
      </w:pPr>
      <w:r>
        <w:rPr>
          <w:rFonts w:ascii="Calibri"/>
        </w:rPr>
        <w:t>Australians have demonstrated a strong appetite for fixed broadband services. From 2010 to 2019 household uptake of all types of fixed broadband services grew from 56 per cent to 88 per cent. Additionally, as the number of premises activated on the NBN has increased over the period 2013 to 2020, average speeds have increased threefold.</w:t>
      </w:r>
    </w:p>
    <w:p w:rsidR="00936AAD" w:rsidRDefault="00760C5B" w:rsidP="004608AC">
      <w:pPr>
        <w:pStyle w:val="BodyText"/>
        <w:spacing w:before="59" w:after="240"/>
        <w:ind w:left="139" w:right="542"/>
        <w:rPr>
          <w:rFonts w:ascii="Calibri"/>
        </w:rPr>
      </w:pPr>
      <w:r>
        <w:br w:type="column"/>
      </w:r>
      <w:r>
        <w:rPr>
          <w:rFonts w:ascii="Calibri"/>
        </w:rPr>
        <w:t>Coverage based on the percentage of premises able to access fixed broadband download speeds of at least 25 Mbps is approximately 99.3 per cent.</w:t>
      </w:r>
      <w:r>
        <w:rPr>
          <w:rFonts w:ascii="Calibri"/>
          <w:vertAlign w:val="superscript"/>
        </w:rPr>
        <w:t>3</w:t>
      </w:r>
      <w:r>
        <w:rPr>
          <w:rFonts w:ascii="Calibri"/>
        </w:rPr>
        <w:t xml:space="preserve"> Australia is ranked 1</w:t>
      </w:r>
      <w:r>
        <w:rPr>
          <w:rFonts w:ascii="Calibri"/>
          <w:vertAlign w:val="superscript"/>
        </w:rPr>
        <w:t>st</w:t>
      </w:r>
      <w:r>
        <w:rPr>
          <w:rFonts w:ascii="Calibri"/>
        </w:rPr>
        <w:t xml:space="preserve"> out of 15 comparable countries on this measure (chart 1).</w:t>
      </w:r>
    </w:p>
    <w:p w:rsidR="00936AAD" w:rsidRDefault="00760C5B" w:rsidP="004608AC">
      <w:pPr>
        <w:spacing w:before="9"/>
        <w:rPr>
          <w:sz w:val="18"/>
        </w:rPr>
      </w:pPr>
      <w:r>
        <w:rPr>
          <w:noProof/>
          <w:lang w:val="en-AU" w:eastAsia="en-AU"/>
        </w:rPr>
        <w:drawing>
          <wp:inline distT="0" distB="0" distL="0" distR="0">
            <wp:extent cx="3157594" cy="2741485"/>
            <wp:effectExtent l="0" t="0" r="5080" b="1905"/>
            <wp:docPr id="33" name="image11.png" descr="Chart 1: Household access - fixed broadband speeds of at least 25-30 Mbps&#10;&#10;This chart shows the percentage of households able to access broadband speeds of at least 25 to 30 megabits per second in each of the identified countries listed, which includes in order of ranking from left to right Australia, Switzerland, Belgium, Denmark, the USA, Canada, the UK, Italy, Ireland, Germany, Norway, Austria, Sweden, Finland and Fra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 name="image11.png"/>
                    <pic:cNvPicPr/>
                  </pic:nvPicPr>
                  <pic:blipFill>
                    <a:blip r:embed="rId32" cstate="print">
                      <a:extLst>
                        <a:ext uri="{28A0092B-C50C-407E-A947-70E740481C1C}">
                          <a14:useLocalDpi xmlns:a14="http://schemas.microsoft.com/office/drawing/2010/main" val="0"/>
                        </a:ext>
                      </a:extLst>
                    </a:blip>
                    <a:stretch>
                      <a:fillRect/>
                    </a:stretch>
                  </pic:blipFill>
                  <pic:spPr>
                    <a:xfrm>
                      <a:off x="0" y="0"/>
                      <a:ext cx="3157594" cy="2741485"/>
                    </a:xfrm>
                    <a:prstGeom prst="rect">
                      <a:avLst/>
                    </a:prstGeom>
                  </pic:spPr>
                </pic:pic>
              </a:graphicData>
            </a:graphic>
          </wp:inline>
        </w:drawing>
      </w:r>
      <w:r>
        <w:rPr>
          <w:sz w:val="18"/>
        </w:rPr>
        <w:t>Source: Various, PwC analysis. NBN data used for Australia. Speed tiers differ by country. To enable international comparison this statistic reports the level of coverage based on a minimum speed of 25 Mbps or 30 Mbps.</w:t>
      </w:r>
    </w:p>
    <w:p w:rsidR="00936AAD" w:rsidRDefault="00936AAD">
      <w:pPr>
        <w:rPr>
          <w:sz w:val="18"/>
        </w:rPr>
        <w:sectPr w:rsidR="00936AAD">
          <w:type w:val="continuous"/>
          <w:pgSz w:w="11910" w:h="16840"/>
          <w:pgMar w:top="700" w:right="500" w:bottom="740" w:left="880" w:header="720" w:footer="720" w:gutter="0"/>
          <w:cols w:num="2" w:space="720" w:equalWidth="0">
            <w:col w:w="4749" w:space="539"/>
            <w:col w:w="5242"/>
          </w:cols>
        </w:sectPr>
      </w:pPr>
    </w:p>
    <w:p w:rsidR="00936AAD" w:rsidRDefault="00936AAD">
      <w:pPr>
        <w:rPr>
          <w:sz w:val="20"/>
        </w:rPr>
      </w:pPr>
    </w:p>
    <w:p w:rsidR="00936AAD" w:rsidRDefault="00936AAD">
      <w:pPr>
        <w:rPr>
          <w:sz w:val="20"/>
        </w:rPr>
        <w:sectPr w:rsidR="00936AAD" w:rsidSect="00F510E4">
          <w:headerReference w:type="default" r:id="rId33"/>
          <w:pgSz w:w="11910" w:h="16840"/>
          <w:pgMar w:top="1580" w:right="500" w:bottom="480" w:left="880" w:header="0" w:footer="0" w:gutter="0"/>
          <w:cols w:space="720"/>
          <w:docGrid w:linePitch="299"/>
        </w:sectPr>
      </w:pPr>
    </w:p>
    <w:p w:rsidR="00936AAD" w:rsidRDefault="00760C5B" w:rsidP="004B1042">
      <w:pPr>
        <w:pStyle w:val="Heading4thisdocument"/>
      </w:pPr>
      <w:r>
        <w:t>A shift to higher speeds</w:t>
      </w:r>
    </w:p>
    <w:p w:rsidR="00936AAD" w:rsidRDefault="00760C5B">
      <w:pPr>
        <w:pStyle w:val="BodyText"/>
        <w:spacing w:before="160"/>
        <w:ind w:left="139" w:right="78"/>
        <w:rPr>
          <w:rFonts w:ascii="Calibri"/>
        </w:rPr>
      </w:pPr>
      <w:r>
        <w:rPr>
          <w:rFonts w:ascii="Calibri"/>
        </w:rPr>
        <w:t>Australians are embracing higher speed plans over time, which is reflected in increases in wholesale and retail subscriptions. As at June 2020, almost 70 per cent of NBN fixed subscriptions were for plans with download speeds of at least 50 Mbps, up from around 16 per cent in June 2016 (chart 2).</w:t>
      </w:r>
    </w:p>
    <w:p w:rsidR="00936AAD" w:rsidRDefault="00760C5B">
      <w:pPr>
        <w:spacing w:before="9"/>
      </w:pPr>
      <w:r>
        <w:rPr>
          <w:noProof/>
          <w:lang w:val="en-AU" w:eastAsia="en-AU"/>
        </w:rPr>
        <w:drawing>
          <wp:inline distT="0" distB="0" distL="0" distR="0">
            <wp:extent cx="2951991" cy="1832610"/>
            <wp:effectExtent l="0" t="0" r="1270" b="0"/>
            <wp:docPr id="35" name="image12.png" descr="Chart 2: Share of fixed subscriptions that are 50 megabits or higher plans&#10;&#10;This chart shows the percentage of fixed broadband subscriptions that are to services of at least 50 megabits per second in Australia, in each of the years over the period 2016 to 2020. It indicates consistent growth over this period, from less than 20 per cent of subscriptions having minimum 50 mbps speeds in 2016, to almost 70 per cent of subscriptions being to speeds of at least 50 mbps in 20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image12.png"/>
                    <pic:cNvPicPr/>
                  </pic:nvPicPr>
                  <pic:blipFill>
                    <a:blip r:embed="rId34" cstate="print">
                      <a:extLst>
                        <a:ext uri="{28A0092B-C50C-407E-A947-70E740481C1C}">
                          <a14:useLocalDpi xmlns:a14="http://schemas.microsoft.com/office/drawing/2010/main" val="0"/>
                        </a:ext>
                      </a:extLst>
                    </a:blip>
                    <a:stretch>
                      <a:fillRect/>
                    </a:stretch>
                  </pic:blipFill>
                  <pic:spPr>
                    <a:xfrm>
                      <a:off x="0" y="0"/>
                      <a:ext cx="2951991" cy="1832610"/>
                    </a:xfrm>
                    <a:prstGeom prst="rect">
                      <a:avLst/>
                    </a:prstGeom>
                  </pic:spPr>
                </pic:pic>
              </a:graphicData>
            </a:graphic>
          </wp:inline>
        </w:drawing>
      </w:r>
    </w:p>
    <w:p w:rsidR="00936AAD" w:rsidRDefault="00760C5B">
      <w:pPr>
        <w:ind w:left="140"/>
        <w:rPr>
          <w:sz w:val="18"/>
        </w:rPr>
      </w:pPr>
      <w:r>
        <w:rPr>
          <w:sz w:val="18"/>
        </w:rPr>
        <w:t>Source: ACCC Wholesale Market Indicators reports.</w:t>
      </w:r>
    </w:p>
    <w:p w:rsidR="00936AAD" w:rsidRDefault="00760C5B">
      <w:pPr>
        <w:pStyle w:val="BodyText"/>
        <w:spacing w:before="159"/>
        <w:ind w:left="139" w:right="117"/>
        <w:rPr>
          <w:rFonts w:ascii="Calibri"/>
        </w:rPr>
      </w:pPr>
      <w:r>
        <w:rPr>
          <w:rFonts w:ascii="Calibri"/>
        </w:rPr>
        <w:t>Similarly, at September 2020 around 70 per cent of all NBN wholesale subscriptions were for plans with download speeds of at least 50 Mbps, up from less than 40 per cent in early 2018. There has been a corresponding decline in the share of households subscribing to comparatively lower speed plans, indicating a pattern of migration to higher speed services (chart 3).</w:t>
      </w:r>
      <w:r>
        <w:rPr>
          <w:rFonts w:ascii="Calibri"/>
          <w:vertAlign w:val="superscript"/>
        </w:rPr>
        <w:t>4</w:t>
      </w:r>
    </w:p>
    <w:p w:rsidR="00936AAD" w:rsidRDefault="00760C5B">
      <w:pPr>
        <w:spacing w:before="7"/>
        <w:rPr>
          <w:sz w:val="23"/>
        </w:rPr>
      </w:pPr>
      <w:r>
        <w:rPr>
          <w:noProof/>
          <w:lang w:val="en-AU" w:eastAsia="en-AU"/>
        </w:rPr>
        <w:drawing>
          <wp:inline distT="0" distB="0" distL="0" distR="0">
            <wp:extent cx="2538096" cy="2112264"/>
            <wp:effectExtent l="0" t="0" r="0" b="2540"/>
            <wp:docPr id="37" name="image13.png" descr="Chart 3: Migration to higher speed plans&#10;&#10;Chart 3 shows trends in the percentage of subscriptions to services of at least 50 megabits per second over the period March 2018 to September 2020, in comparison to the trend in the percentage of subscriptions to services of 25 megabits per second or lower over the same period. Subscriptions to the higher speed plans have increased over time, surpassing subscriptions to the lower speed plans around late 20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image13.png"/>
                    <pic:cNvPicPr/>
                  </pic:nvPicPr>
                  <pic:blipFill>
                    <a:blip r:embed="rId35" cstate="print">
                      <a:extLst>
                        <a:ext uri="{28A0092B-C50C-407E-A947-70E740481C1C}">
                          <a14:useLocalDpi xmlns:a14="http://schemas.microsoft.com/office/drawing/2010/main" val="0"/>
                        </a:ext>
                      </a:extLst>
                    </a:blip>
                    <a:stretch>
                      <a:fillRect/>
                    </a:stretch>
                  </pic:blipFill>
                  <pic:spPr>
                    <a:xfrm>
                      <a:off x="0" y="0"/>
                      <a:ext cx="2538096" cy="2112264"/>
                    </a:xfrm>
                    <a:prstGeom prst="rect">
                      <a:avLst/>
                    </a:prstGeom>
                  </pic:spPr>
                </pic:pic>
              </a:graphicData>
            </a:graphic>
          </wp:inline>
        </w:drawing>
      </w:r>
    </w:p>
    <w:p w:rsidR="00936AAD" w:rsidRDefault="00760C5B">
      <w:pPr>
        <w:spacing w:before="122"/>
        <w:ind w:left="140"/>
        <w:rPr>
          <w:sz w:val="18"/>
        </w:rPr>
      </w:pPr>
      <w:r>
        <w:rPr>
          <w:sz w:val="18"/>
        </w:rPr>
        <w:t>Source: NBN Co. Monthly progress reports.</w:t>
      </w:r>
    </w:p>
    <w:p w:rsidR="00936AAD" w:rsidRDefault="00E72819">
      <w:pPr>
        <w:spacing w:before="11"/>
        <w:rPr>
          <w:sz w:val="14"/>
        </w:rPr>
      </w:pPr>
      <w:r>
        <w:rPr>
          <w:sz w:val="14"/>
        </w:rPr>
        <w:t>_____________________________________________________________________</w:t>
      </w:r>
    </w:p>
    <w:p w:rsidR="00936AAD" w:rsidRDefault="00760C5B">
      <w:pPr>
        <w:spacing w:before="83" w:line="247" w:lineRule="auto"/>
        <w:ind w:left="140" w:right="120"/>
        <w:rPr>
          <w:sz w:val="18"/>
        </w:rPr>
      </w:pPr>
      <w:r>
        <w:rPr>
          <w:sz w:val="18"/>
          <w:vertAlign w:val="superscript"/>
        </w:rPr>
        <w:t>1</w:t>
      </w:r>
      <w:r>
        <w:rPr>
          <w:sz w:val="18"/>
        </w:rPr>
        <w:t xml:space="preserve"> Information in this fact sheet draws on data available as at September 2020 for countries analysed, and may not always relate to the same period. ‘Speeds’ </w:t>
      </w:r>
      <w:r>
        <w:rPr>
          <w:spacing w:val="-3"/>
          <w:sz w:val="18"/>
        </w:rPr>
        <w:t xml:space="preserve">refer </w:t>
      </w:r>
      <w:r>
        <w:rPr>
          <w:sz w:val="18"/>
        </w:rPr>
        <w:t xml:space="preserve">to wholesale speeds. </w:t>
      </w:r>
      <w:r>
        <w:rPr>
          <w:sz w:val="18"/>
          <w:vertAlign w:val="superscript"/>
        </w:rPr>
        <w:t>2</w:t>
      </w:r>
      <w:r>
        <w:rPr>
          <w:spacing w:val="-1"/>
          <w:sz w:val="18"/>
        </w:rPr>
        <w:t xml:space="preserve"> </w:t>
      </w:r>
      <w:r>
        <w:rPr>
          <w:sz w:val="18"/>
        </w:rPr>
        <w:t>Limitations</w:t>
      </w:r>
      <w:r>
        <w:rPr>
          <w:spacing w:val="-4"/>
          <w:sz w:val="18"/>
        </w:rPr>
        <w:t xml:space="preserve"> </w:t>
      </w:r>
      <w:r>
        <w:rPr>
          <w:sz w:val="18"/>
        </w:rPr>
        <w:t>on</w:t>
      </w:r>
      <w:r>
        <w:rPr>
          <w:spacing w:val="-5"/>
          <w:sz w:val="18"/>
        </w:rPr>
        <w:t xml:space="preserve"> </w:t>
      </w:r>
      <w:r>
        <w:rPr>
          <w:sz w:val="18"/>
        </w:rPr>
        <w:t>the</w:t>
      </w:r>
      <w:r>
        <w:rPr>
          <w:spacing w:val="-5"/>
          <w:sz w:val="18"/>
        </w:rPr>
        <w:t xml:space="preserve"> </w:t>
      </w:r>
      <w:r>
        <w:rPr>
          <w:sz w:val="18"/>
        </w:rPr>
        <w:t>availability</w:t>
      </w:r>
      <w:r>
        <w:rPr>
          <w:spacing w:val="-3"/>
          <w:sz w:val="18"/>
        </w:rPr>
        <w:t xml:space="preserve"> </w:t>
      </w:r>
      <w:r>
        <w:rPr>
          <w:sz w:val="18"/>
        </w:rPr>
        <w:t>of</w:t>
      </w:r>
      <w:r>
        <w:rPr>
          <w:spacing w:val="-2"/>
          <w:sz w:val="18"/>
        </w:rPr>
        <w:t xml:space="preserve"> </w:t>
      </w:r>
      <w:r>
        <w:rPr>
          <w:sz w:val="18"/>
        </w:rPr>
        <w:t>appropriate</w:t>
      </w:r>
      <w:r>
        <w:rPr>
          <w:spacing w:val="-5"/>
          <w:sz w:val="18"/>
        </w:rPr>
        <w:t xml:space="preserve"> </w:t>
      </w:r>
      <w:r>
        <w:rPr>
          <w:sz w:val="18"/>
        </w:rPr>
        <w:t>data</w:t>
      </w:r>
      <w:r>
        <w:rPr>
          <w:spacing w:val="-4"/>
          <w:sz w:val="18"/>
        </w:rPr>
        <w:t xml:space="preserve"> </w:t>
      </w:r>
      <w:r>
        <w:rPr>
          <w:sz w:val="18"/>
        </w:rPr>
        <w:t>means</w:t>
      </w:r>
      <w:r>
        <w:rPr>
          <w:spacing w:val="-3"/>
          <w:sz w:val="18"/>
        </w:rPr>
        <w:t xml:space="preserve"> </w:t>
      </w:r>
      <w:r>
        <w:rPr>
          <w:sz w:val="18"/>
        </w:rPr>
        <w:t>that for some measures, analysis of different subsets of countries from the list of identified peer countries was</w:t>
      </w:r>
      <w:r>
        <w:rPr>
          <w:spacing w:val="-16"/>
          <w:sz w:val="18"/>
        </w:rPr>
        <w:t xml:space="preserve"> </w:t>
      </w:r>
      <w:r>
        <w:rPr>
          <w:sz w:val="18"/>
        </w:rPr>
        <w:t>required.</w:t>
      </w:r>
    </w:p>
    <w:p w:rsidR="00936AAD" w:rsidRDefault="00760C5B">
      <w:pPr>
        <w:spacing w:before="1"/>
        <w:rPr>
          <w:sz w:val="15"/>
        </w:rPr>
      </w:pPr>
      <w:r>
        <w:br w:type="column"/>
      </w:r>
    </w:p>
    <w:p w:rsidR="00936AAD" w:rsidRDefault="00760C5B">
      <w:pPr>
        <w:pStyle w:val="BodyText"/>
        <w:ind w:left="140" w:right="552"/>
        <w:rPr>
          <w:rFonts w:ascii="Calibri" w:hAnsi="Calibri"/>
        </w:rPr>
      </w:pPr>
      <w:r>
        <w:rPr>
          <w:rFonts w:ascii="Calibri" w:hAnsi="Calibri"/>
        </w:rPr>
        <w:t>This change has been in part due to NBN Co’s introduction of discounted bundled products which have</w:t>
      </w:r>
      <w:r>
        <w:rPr>
          <w:rFonts w:ascii="Calibri" w:hAnsi="Calibri"/>
          <w:spacing w:val="-9"/>
        </w:rPr>
        <w:t xml:space="preserve"> </w:t>
      </w:r>
      <w:r>
        <w:rPr>
          <w:rFonts w:ascii="Calibri" w:hAnsi="Calibri"/>
        </w:rPr>
        <w:t>allowed</w:t>
      </w:r>
      <w:r>
        <w:rPr>
          <w:rFonts w:ascii="Calibri" w:hAnsi="Calibri"/>
          <w:spacing w:val="-6"/>
        </w:rPr>
        <w:t xml:space="preserve"> </w:t>
      </w:r>
      <w:r>
        <w:rPr>
          <w:rFonts w:ascii="Calibri" w:hAnsi="Calibri"/>
        </w:rPr>
        <w:t>retailers</w:t>
      </w:r>
      <w:r>
        <w:rPr>
          <w:rFonts w:ascii="Calibri" w:hAnsi="Calibri"/>
          <w:spacing w:val="-9"/>
        </w:rPr>
        <w:t xml:space="preserve"> </w:t>
      </w:r>
      <w:r>
        <w:rPr>
          <w:rFonts w:ascii="Calibri" w:hAnsi="Calibri"/>
        </w:rPr>
        <w:t>to</w:t>
      </w:r>
      <w:r>
        <w:rPr>
          <w:rFonts w:ascii="Calibri" w:hAnsi="Calibri"/>
          <w:spacing w:val="-7"/>
        </w:rPr>
        <w:t xml:space="preserve"> </w:t>
      </w:r>
      <w:r>
        <w:rPr>
          <w:rFonts w:ascii="Calibri" w:hAnsi="Calibri"/>
        </w:rPr>
        <w:t>offer</w:t>
      </w:r>
      <w:r>
        <w:rPr>
          <w:rFonts w:ascii="Calibri" w:hAnsi="Calibri"/>
          <w:spacing w:val="-6"/>
        </w:rPr>
        <w:t xml:space="preserve"> </w:t>
      </w:r>
      <w:r>
        <w:rPr>
          <w:rFonts w:ascii="Calibri" w:hAnsi="Calibri"/>
        </w:rPr>
        <w:t>more</w:t>
      </w:r>
      <w:r>
        <w:rPr>
          <w:rFonts w:ascii="Calibri" w:hAnsi="Calibri"/>
          <w:spacing w:val="-8"/>
        </w:rPr>
        <w:t xml:space="preserve"> </w:t>
      </w:r>
      <w:r>
        <w:rPr>
          <w:rFonts w:ascii="Calibri" w:hAnsi="Calibri"/>
        </w:rPr>
        <w:t>affordable</w:t>
      </w:r>
      <w:r>
        <w:rPr>
          <w:rFonts w:ascii="Calibri" w:hAnsi="Calibri"/>
          <w:spacing w:val="-8"/>
        </w:rPr>
        <w:t xml:space="preserve"> </w:t>
      </w:r>
      <w:r>
        <w:rPr>
          <w:rFonts w:ascii="Calibri" w:hAnsi="Calibri"/>
        </w:rPr>
        <w:t>50</w:t>
      </w:r>
      <w:r>
        <w:rPr>
          <w:rFonts w:ascii="Calibri" w:hAnsi="Calibri"/>
          <w:spacing w:val="-8"/>
        </w:rPr>
        <w:t xml:space="preserve"> </w:t>
      </w:r>
      <w:r>
        <w:rPr>
          <w:rFonts w:ascii="Calibri" w:hAnsi="Calibri"/>
        </w:rPr>
        <w:t>Mbps and above</w:t>
      </w:r>
      <w:r>
        <w:rPr>
          <w:rFonts w:ascii="Calibri" w:hAnsi="Calibri"/>
          <w:spacing w:val="-1"/>
        </w:rPr>
        <w:t xml:space="preserve"> </w:t>
      </w:r>
      <w:r>
        <w:rPr>
          <w:rFonts w:ascii="Calibri" w:hAnsi="Calibri"/>
        </w:rPr>
        <w:t>products.</w:t>
      </w:r>
    </w:p>
    <w:p w:rsidR="00936AAD" w:rsidRDefault="00760C5B">
      <w:pPr>
        <w:pStyle w:val="BodyText"/>
        <w:spacing w:before="159"/>
        <w:ind w:left="140" w:right="715"/>
        <w:rPr>
          <w:rFonts w:ascii="Calibri"/>
        </w:rPr>
      </w:pPr>
      <w:r>
        <w:rPr>
          <w:rFonts w:ascii="Calibri"/>
        </w:rPr>
        <w:t>Other factors include increased demand for higher speeds due to the increasing popularity of video streaming services, a greater number of internet- connected household devices and the increased importance of home internet due to the impact of</w:t>
      </w:r>
      <w:r>
        <w:rPr>
          <w:rFonts w:ascii="Calibri"/>
          <w:spacing w:val="-31"/>
        </w:rPr>
        <w:t xml:space="preserve"> </w:t>
      </w:r>
      <w:r>
        <w:rPr>
          <w:rFonts w:ascii="Calibri"/>
        </w:rPr>
        <w:t>the COVID-19</w:t>
      </w:r>
      <w:r>
        <w:rPr>
          <w:rFonts w:ascii="Calibri"/>
          <w:spacing w:val="-1"/>
        </w:rPr>
        <w:t xml:space="preserve"> </w:t>
      </w:r>
      <w:r>
        <w:rPr>
          <w:rFonts w:ascii="Calibri"/>
        </w:rPr>
        <w:t>pandemic.</w:t>
      </w:r>
    </w:p>
    <w:p w:rsidR="00936AAD" w:rsidRDefault="00760C5B">
      <w:pPr>
        <w:pStyle w:val="BodyText"/>
        <w:spacing w:before="160"/>
        <w:ind w:left="140" w:right="575" w:hanging="1"/>
        <w:rPr>
          <w:rFonts w:ascii="Calibri"/>
        </w:rPr>
      </w:pPr>
      <w:r>
        <w:rPr>
          <w:rFonts w:ascii="Calibri"/>
        </w:rPr>
        <w:t>Australia ranks 6</w:t>
      </w:r>
      <w:r>
        <w:rPr>
          <w:rFonts w:ascii="Calibri"/>
          <w:vertAlign w:val="superscript"/>
        </w:rPr>
        <w:t>th</w:t>
      </w:r>
      <w:r>
        <w:rPr>
          <w:rFonts w:ascii="Calibri"/>
        </w:rPr>
        <w:t xml:space="preserve"> amongst peer countries in terms of the proportion of households on speeds equal to or greater than 25 Mbps. Around 84 per cent of households have subscriptions that fall within this speed range in Australia (chart 4).</w:t>
      </w:r>
      <w:r>
        <w:rPr>
          <w:rFonts w:ascii="Calibri"/>
          <w:vertAlign w:val="superscript"/>
        </w:rPr>
        <w:t>5</w:t>
      </w:r>
    </w:p>
    <w:p w:rsidR="00936AAD" w:rsidRDefault="00760C5B">
      <w:pPr>
        <w:rPr>
          <w:sz w:val="20"/>
        </w:rPr>
      </w:pPr>
      <w:r>
        <w:rPr>
          <w:noProof/>
          <w:lang w:val="en-AU" w:eastAsia="en-AU"/>
        </w:rPr>
        <w:drawing>
          <wp:inline distT="0" distB="0" distL="0" distR="0">
            <wp:extent cx="2725407" cy="2602611"/>
            <wp:effectExtent l="0" t="0" r="0" b="7620"/>
            <wp:docPr id="39" name="image14.png" descr="Chart 4: Household subscriptions - percentage by speed tier&#10;&#10;This chart shows the percentage of fixed broadband subsciptions in each of three speed tiers for each of the countries indicated. The speed tiers are less than 25 megabits per second, 25 megabits per second or higher, and greater than 100 megabits per second. It indicates Australia has the highest share of subscriptions in the 25 megabits or greater category in comparison to the other countries listed , which include Belgium, New Zealand, Canada, Switzerland, Sweden, Ireland, the UK, the US, Norway, Denmark, Germany, Italy, Finland, Austria and Fra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 name="image14.png"/>
                    <pic:cNvPicPr/>
                  </pic:nvPicPr>
                  <pic:blipFill>
                    <a:blip r:embed="rId36" cstate="print">
                      <a:extLst>
                        <a:ext uri="{28A0092B-C50C-407E-A947-70E740481C1C}">
                          <a14:useLocalDpi xmlns:a14="http://schemas.microsoft.com/office/drawing/2010/main" val="0"/>
                        </a:ext>
                      </a:extLst>
                    </a:blip>
                    <a:stretch>
                      <a:fillRect/>
                    </a:stretch>
                  </pic:blipFill>
                  <pic:spPr>
                    <a:xfrm>
                      <a:off x="0" y="0"/>
                      <a:ext cx="2725407" cy="2602611"/>
                    </a:xfrm>
                    <a:prstGeom prst="rect">
                      <a:avLst/>
                    </a:prstGeom>
                  </pic:spPr>
                </pic:pic>
              </a:graphicData>
            </a:graphic>
          </wp:inline>
        </w:drawing>
      </w:r>
    </w:p>
    <w:p w:rsidR="00936AAD" w:rsidRDefault="00936AAD">
      <w:pPr>
        <w:spacing w:before="7"/>
        <w:rPr>
          <w:sz w:val="23"/>
        </w:rPr>
      </w:pPr>
    </w:p>
    <w:p w:rsidR="00936AAD" w:rsidRDefault="00760C5B">
      <w:pPr>
        <w:spacing w:before="1"/>
        <w:ind w:left="140" w:right="459"/>
        <w:rPr>
          <w:sz w:val="18"/>
        </w:rPr>
      </w:pPr>
      <w:r>
        <w:rPr>
          <w:sz w:val="18"/>
        </w:rPr>
        <w:t>Source: ACCC, OECD (2019 data) PwC analysis. Australia’s data is based on speed tiers using NBN services only, using the ACCC’s NBN Services in Operation RKR data (June 2020).</w:t>
      </w:r>
    </w:p>
    <w:p w:rsidR="00936AAD" w:rsidRDefault="00760C5B" w:rsidP="004608AC">
      <w:pPr>
        <w:spacing w:before="2160" w:line="254" w:lineRule="auto"/>
        <w:ind w:left="140" w:right="790"/>
        <w:rPr>
          <w:sz w:val="18"/>
        </w:rPr>
      </w:pPr>
      <w:r>
        <w:rPr>
          <w:sz w:val="18"/>
          <w:vertAlign w:val="superscript"/>
        </w:rPr>
        <w:t>3</w:t>
      </w:r>
      <w:r>
        <w:rPr>
          <w:sz w:val="18"/>
        </w:rPr>
        <w:t xml:space="preserve">Based on data available to the Department, NBN Co. </w:t>
      </w:r>
      <w:r>
        <w:rPr>
          <w:sz w:val="18"/>
          <w:vertAlign w:val="superscript"/>
        </w:rPr>
        <w:t>4</w:t>
      </w:r>
      <w:r>
        <w:rPr>
          <w:sz w:val="18"/>
        </w:rPr>
        <w:t>Note this captures NBN wholesale plans only and includes both fixed and wireless connections.</w:t>
      </w:r>
    </w:p>
    <w:p w:rsidR="00936AAD" w:rsidRDefault="00760C5B">
      <w:pPr>
        <w:spacing w:before="9"/>
        <w:ind w:left="140"/>
        <w:rPr>
          <w:sz w:val="18"/>
        </w:rPr>
      </w:pPr>
      <w:r>
        <w:rPr>
          <w:sz w:val="18"/>
          <w:vertAlign w:val="superscript"/>
        </w:rPr>
        <w:t>5</w:t>
      </w:r>
      <w:r>
        <w:rPr>
          <w:sz w:val="18"/>
        </w:rPr>
        <w:t>Refers to NBN subscriptions only.</w:t>
      </w:r>
    </w:p>
    <w:p w:rsidR="00936AAD" w:rsidRDefault="00936AAD">
      <w:pPr>
        <w:rPr>
          <w:sz w:val="18"/>
        </w:rPr>
        <w:sectPr w:rsidR="00936AAD">
          <w:type w:val="continuous"/>
          <w:pgSz w:w="11910" w:h="16840"/>
          <w:pgMar w:top="700" w:right="500" w:bottom="740" w:left="880" w:header="720" w:footer="720" w:gutter="0"/>
          <w:cols w:num="2" w:space="720" w:equalWidth="0">
            <w:col w:w="4833" w:space="454"/>
            <w:col w:w="5243"/>
          </w:cols>
        </w:sectPr>
      </w:pPr>
    </w:p>
    <w:p w:rsidR="00936AAD" w:rsidRDefault="00760C5B">
      <w:pPr>
        <w:pStyle w:val="BodyText"/>
        <w:tabs>
          <w:tab w:val="left" w:pos="5449"/>
        </w:tabs>
        <w:ind w:left="141"/>
        <w:rPr>
          <w:rFonts w:ascii="Calibri"/>
        </w:rPr>
      </w:pPr>
      <w:r>
        <w:rPr>
          <w:rFonts w:ascii="Calibri"/>
          <w:noProof/>
          <w:lang w:val="en-AU" w:eastAsia="en-AU"/>
        </w:rPr>
        <w:lastRenderedPageBreak/>
        <w:drawing>
          <wp:inline distT="0" distB="0" distL="0" distR="0">
            <wp:extent cx="3170758" cy="666369"/>
            <wp:effectExtent l="0" t="0" r="0" b="0"/>
            <wp:docPr id="43" name="image4.png" descr="Australian Government. Department of Infrastructure, Transport, Regional Development and Communicatio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 name="image4.png"/>
                    <pic:cNvPicPr/>
                  </pic:nvPicPr>
                  <pic:blipFill>
                    <a:blip r:embed="rId19" cstate="print"/>
                    <a:stretch>
                      <a:fillRect/>
                    </a:stretch>
                  </pic:blipFill>
                  <pic:spPr>
                    <a:xfrm>
                      <a:off x="0" y="0"/>
                      <a:ext cx="3170758" cy="666369"/>
                    </a:xfrm>
                    <a:prstGeom prst="rect">
                      <a:avLst/>
                    </a:prstGeom>
                  </pic:spPr>
                </pic:pic>
              </a:graphicData>
            </a:graphic>
          </wp:inline>
        </w:drawing>
      </w:r>
      <w:r>
        <w:rPr>
          <w:rFonts w:ascii="Calibri"/>
        </w:rPr>
        <w:tab/>
      </w:r>
      <w:r>
        <w:rPr>
          <w:rFonts w:ascii="Calibri"/>
          <w:noProof/>
          <w:position w:val="1"/>
          <w:lang w:val="en-AU" w:eastAsia="en-AU"/>
        </w:rPr>
        <w:drawing>
          <wp:inline distT="0" distB="0" distL="0" distR="0">
            <wp:extent cx="2588235" cy="658368"/>
            <wp:effectExtent l="0" t="0" r="0" b="0"/>
            <wp:docPr id="45" name="image5.jpeg" descr="cid:image002.png@01D6B821.D72228E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 name="image5.jpeg"/>
                    <pic:cNvPicPr/>
                  </pic:nvPicPr>
                  <pic:blipFill>
                    <a:blip r:embed="rId20" cstate="print"/>
                    <a:stretch>
                      <a:fillRect/>
                    </a:stretch>
                  </pic:blipFill>
                  <pic:spPr>
                    <a:xfrm>
                      <a:off x="0" y="0"/>
                      <a:ext cx="2588235" cy="658368"/>
                    </a:xfrm>
                    <a:prstGeom prst="rect">
                      <a:avLst/>
                    </a:prstGeom>
                  </pic:spPr>
                </pic:pic>
              </a:graphicData>
            </a:graphic>
          </wp:inline>
        </w:drawing>
      </w:r>
    </w:p>
    <w:p w:rsidR="00936AAD" w:rsidRDefault="00760C5B" w:rsidP="004608AC">
      <w:pPr>
        <w:pStyle w:val="Heading1"/>
        <w:spacing w:before="720"/>
      </w:pPr>
      <w:bookmarkStart w:id="4" w:name="international-comparison-of-fixed-broadb"/>
      <w:bookmarkStart w:id="5" w:name="International_comparison_of_fixed_broadb"/>
      <w:bookmarkEnd w:id="4"/>
      <w:bookmarkEnd w:id="5"/>
      <w:r>
        <w:rPr>
          <w:color w:val="081E3E"/>
        </w:rPr>
        <w:t>International comparison of fixed broadband performance</w:t>
      </w:r>
    </w:p>
    <w:p w:rsidR="00936AAD" w:rsidRDefault="00760C5B">
      <w:pPr>
        <w:pStyle w:val="Heading2"/>
      </w:pPr>
      <w:r>
        <w:rPr>
          <w:color w:val="0066AB"/>
        </w:rPr>
        <w:t>Data consumption</w:t>
      </w:r>
    </w:p>
    <w:p w:rsidR="00936AAD" w:rsidRDefault="00760C5B">
      <w:pPr>
        <w:spacing w:before="162"/>
        <w:ind w:left="140"/>
        <w:rPr>
          <w:b/>
          <w:color w:val="081E3E"/>
          <w:sz w:val="20"/>
        </w:rPr>
      </w:pPr>
      <w:r>
        <w:rPr>
          <w:b/>
          <w:color w:val="081E3E"/>
          <w:sz w:val="20"/>
        </w:rPr>
        <w:t>December 2020</w:t>
      </w:r>
    </w:p>
    <w:p w:rsidR="00E72819" w:rsidRDefault="00E72819" w:rsidP="00E72819">
      <w:pPr>
        <w:ind w:left="140"/>
        <w:rPr>
          <w:b/>
          <w:sz w:val="20"/>
        </w:rPr>
      </w:pPr>
      <w:r>
        <w:rPr>
          <w:b/>
          <w:color w:val="081E3E"/>
          <w:sz w:val="20"/>
        </w:rPr>
        <w:t>________________________________________________________________________________________________________</w:t>
      </w:r>
    </w:p>
    <w:p w:rsidR="00936AAD" w:rsidRDefault="00936AAD" w:rsidP="004608AC">
      <w:pPr>
        <w:spacing w:before="240"/>
        <w:rPr>
          <w:b/>
          <w:sz w:val="5"/>
        </w:rPr>
      </w:pPr>
    </w:p>
    <w:p w:rsidR="00936AAD" w:rsidRDefault="00936AAD">
      <w:pPr>
        <w:rPr>
          <w:sz w:val="5"/>
        </w:rPr>
        <w:sectPr w:rsidR="00936AAD" w:rsidSect="00F510E4">
          <w:headerReference w:type="default" r:id="rId37"/>
          <w:footerReference w:type="default" r:id="rId38"/>
          <w:pgSz w:w="11910" w:h="16840"/>
          <w:pgMar w:top="1420" w:right="500" w:bottom="480" w:left="880" w:header="0" w:footer="0" w:gutter="0"/>
          <w:pgNumType w:start="1"/>
          <w:cols w:space="720"/>
          <w:docGrid w:linePitch="299"/>
        </w:sectPr>
      </w:pPr>
    </w:p>
    <w:p w:rsidR="00936AAD" w:rsidRPr="004B1042" w:rsidRDefault="00760C5B" w:rsidP="004B1042">
      <w:pPr>
        <w:pStyle w:val="Heading3thisdocument2"/>
      </w:pPr>
      <w:bookmarkStart w:id="6" w:name="Role_of_fixed_broadband"/>
      <w:bookmarkEnd w:id="6"/>
      <w:r w:rsidRPr="004B1042">
        <w:t>Role of fixed</w:t>
      </w:r>
      <w:r w:rsidR="004B1042" w:rsidRPr="004B1042">
        <w:t xml:space="preserve"> </w:t>
      </w:r>
      <w:r w:rsidR="004B1042" w:rsidRPr="004B1042">
        <w:br/>
      </w:r>
      <w:r w:rsidRPr="004B1042">
        <w:t>broadband</w:t>
      </w:r>
    </w:p>
    <w:p w:rsidR="00936AAD" w:rsidRDefault="00760C5B" w:rsidP="00656245">
      <w:pPr>
        <w:pStyle w:val="Normal-smallheadingstyle"/>
      </w:pPr>
      <w:r>
        <w:t>Fixed broadband plays a vital role in connecting Australians, and it is important</w:t>
      </w:r>
      <w:r>
        <w:rPr>
          <w:spacing w:val="-30"/>
        </w:rPr>
        <w:t xml:space="preserve"> </w:t>
      </w:r>
      <w:r>
        <w:t>that the performance of Australia’s fixed broadband infrastructure is known and comparable to our international</w:t>
      </w:r>
      <w:r>
        <w:rPr>
          <w:spacing w:val="-9"/>
        </w:rPr>
        <w:t xml:space="preserve"> </w:t>
      </w:r>
      <w:r>
        <w:t>peers.</w:t>
      </w:r>
    </w:p>
    <w:p w:rsidR="00936AAD" w:rsidRDefault="00936AAD">
      <w:pPr>
        <w:spacing w:before="9"/>
        <w:rPr>
          <w:sz w:val="19"/>
        </w:rPr>
      </w:pPr>
    </w:p>
    <w:p w:rsidR="00936AAD" w:rsidRDefault="00760C5B">
      <w:pPr>
        <w:pStyle w:val="BodyText"/>
        <w:ind w:left="139" w:right="93"/>
        <w:rPr>
          <w:rFonts w:ascii="Calibri" w:hAnsi="Calibri"/>
        </w:rPr>
      </w:pPr>
      <w:r>
        <w:rPr>
          <w:rFonts w:ascii="Calibri" w:hAnsi="Calibri"/>
        </w:rPr>
        <w:t>Fixed broadband, including both fixed-line and wireless connections to fixed locations, plays a vital role in connecting Australians. There has been significant public investment to develop fixed broadband infrastructure with the rollout of the NBN. Therefore it is important that the performance of Australia’s fixed broadband infrastructure is known and can be compared to our international peers, especially in the COVID-19 environment.</w:t>
      </w:r>
    </w:p>
    <w:p w:rsidR="00936AAD" w:rsidRDefault="00760C5B">
      <w:pPr>
        <w:pStyle w:val="BodyText"/>
        <w:spacing w:before="160"/>
        <w:ind w:left="139" w:right="36"/>
        <w:rPr>
          <w:rFonts w:ascii="Calibri" w:hAnsi="Calibri"/>
        </w:rPr>
      </w:pPr>
      <w:r>
        <w:rPr>
          <w:rFonts w:ascii="Calibri" w:hAnsi="Calibri"/>
        </w:rPr>
        <w:t>This fact sheet outlines Australia’s fixed broadband performance on access to higher speeds and migration to higher speed services.</w:t>
      </w:r>
      <w:hyperlink w:anchor="_bookmark0" w:history="1">
        <w:r>
          <w:rPr>
            <w:rFonts w:ascii="Calibri" w:hAnsi="Calibri"/>
            <w:vertAlign w:val="superscript"/>
          </w:rPr>
          <w:t>1</w:t>
        </w:r>
        <w:r>
          <w:rPr>
            <w:rFonts w:ascii="Calibri" w:hAnsi="Calibri"/>
          </w:rPr>
          <w:t xml:space="preserve"> </w:t>
        </w:r>
      </w:hyperlink>
      <w:r>
        <w:rPr>
          <w:rFonts w:ascii="Calibri" w:hAnsi="Calibri"/>
        </w:rPr>
        <w:t xml:space="preserve">Further information on this and other broadband performance indicators, including how the comparison countries identified in the analysis were selected is provided in the paper </w:t>
      </w:r>
      <w:r>
        <w:rPr>
          <w:rFonts w:ascii="Calibri" w:hAnsi="Calibri"/>
          <w:i/>
        </w:rPr>
        <w:t>Measuring Australia’s fixed broadband performance</w:t>
      </w:r>
      <w:r>
        <w:rPr>
          <w:rFonts w:ascii="Calibri" w:hAnsi="Calibri"/>
        </w:rPr>
        <w:t>.</w:t>
      </w:r>
      <w:hyperlink w:anchor="_bookmark1" w:history="1">
        <w:r>
          <w:rPr>
            <w:rFonts w:ascii="Calibri" w:hAnsi="Calibri"/>
            <w:vertAlign w:val="superscript"/>
          </w:rPr>
          <w:t>2</w:t>
        </w:r>
      </w:hyperlink>
    </w:p>
    <w:p w:rsidR="00936AAD" w:rsidRDefault="00760C5B" w:rsidP="004B1042">
      <w:pPr>
        <w:pStyle w:val="Heading4thisdocument"/>
      </w:pPr>
      <w:bookmarkStart w:id="7" w:name="Insights_from_data_usage_metrics"/>
      <w:bookmarkEnd w:id="7"/>
      <w:r>
        <w:t>Insights from data usage metrics</w:t>
      </w:r>
    </w:p>
    <w:p w:rsidR="00936AAD" w:rsidRDefault="00760C5B">
      <w:pPr>
        <w:pStyle w:val="BodyText"/>
        <w:spacing w:before="160"/>
        <w:ind w:left="140" w:right="93"/>
        <w:rPr>
          <w:rFonts w:ascii="Calibri"/>
        </w:rPr>
      </w:pPr>
      <w:r>
        <w:rPr>
          <w:rFonts w:ascii="Calibri"/>
        </w:rPr>
        <w:t>Data usage shows the extent to which broadband and broadband networks are being used, providing policy insights. Greater usage is one indicator that a broadband network is realising the benefits of connectivity to Australians.</w:t>
      </w:r>
    </w:p>
    <w:p w:rsidR="00936AAD" w:rsidRDefault="00760C5B" w:rsidP="004B1042">
      <w:pPr>
        <w:pStyle w:val="Heading4thisdocument"/>
      </w:pPr>
      <w:r>
        <w:br w:type="column"/>
      </w:r>
      <w:bookmarkStart w:id="8" w:name="Australians_are_hungry_for_data"/>
      <w:bookmarkEnd w:id="8"/>
      <w:r>
        <w:t>Australians are hungry for data</w:t>
      </w:r>
    </w:p>
    <w:p w:rsidR="00936AAD" w:rsidRDefault="00760C5B">
      <w:pPr>
        <w:pStyle w:val="BodyText"/>
        <w:spacing w:before="160" w:line="242" w:lineRule="auto"/>
        <w:ind w:left="139" w:right="520"/>
        <w:rPr>
          <w:rFonts w:ascii="Calibri"/>
        </w:rPr>
      </w:pPr>
      <w:r>
        <w:rPr>
          <w:rFonts w:ascii="Calibri"/>
        </w:rPr>
        <w:t>Australia is a leading country for fixed data usage with per capita data consumption of around 61GB in 2018.</w:t>
      </w:r>
    </w:p>
    <w:p w:rsidR="00936AAD" w:rsidRDefault="00760C5B" w:rsidP="004B1042">
      <w:pPr>
        <w:pStyle w:val="BodyText"/>
        <w:spacing w:before="157" w:after="240"/>
        <w:ind w:left="139" w:right="520"/>
        <w:rPr>
          <w:rFonts w:ascii="Calibri"/>
        </w:rPr>
      </w:pPr>
      <w:r>
        <w:rPr>
          <w:rFonts w:ascii="Calibri"/>
        </w:rPr>
        <w:t>This ranks Australia equal third out of nine comparable countries, with only the United Kingdom and United States ranking higher in terms of the amount of data consumed (chart 1)</w:t>
      </w:r>
    </w:p>
    <w:p w:rsidR="00936AAD" w:rsidRDefault="00760C5B" w:rsidP="004608AC">
      <w:pPr>
        <w:spacing w:before="8"/>
        <w:ind w:left="142"/>
        <w:rPr>
          <w:sz w:val="26"/>
        </w:rPr>
      </w:pPr>
      <w:r>
        <w:rPr>
          <w:noProof/>
          <w:lang w:val="en-AU" w:eastAsia="en-AU"/>
        </w:rPr>
        <w:drawing>
          <wp:inline distT="0" distB="0" distL="0" distR="0">
            <wp:extent cx="2641894" cy="2174938"/>
            <wp:effectExtent l="0" t="0" r="6350" b="0"/>
            <wp:docPr id="47" name="image15.png" descr="This is chart 1 and is titled - fixed broadband data volumes per capita per month.  It shows in gigabytes the volume of fixed broadband data per capita per month, both upload and download data, across a select sub-set of countries, including the United Kingdom, the United States, Australia, New Zealand, Sweden, Germany, Japan, France and Italy. The United Kingdom is in first place with 95 gigabytes of data downloaded per capita per month. Australia is in equal third place with New Zealand, with the per capita data volume being 61 gigabytes per month in each countr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 name="image15.png"/>
                    <pic:cNvPicPr/>
                  </pic:nvPicPr>
                  <pic:blipFill>
                    <a:blip r:embed="rId39" cstate="print">
                      <a:extLst>
                        <a:ext uri="{28A0092B-C50C-407E-A947-70E740481C1C}">
                          <a14:useLocalDpi xmlns:a14="http://schemas.microsoft.com/office/drawing/2010/main" val="0"/>
                        </a:ext>
                      </a:extLst>
                    </a:blip>
                    <a:stretch>
                      <a:fillRect/>
                    </a:stretch>
                  </pic:blipFill>
                  <pic:spPr>
                    <a:xfrm>
                      <a:off x="0" y="0"/>
                      <a:ext cx="2641894" cy="2174938"/>
                    </a:xfrm>
                    <a:prstGeom prst="rect">
                      <a:avLst/>
                    </a:prstGeom>
                  </pic:spPr>
                </pic:pic>
              </a:graphicData>
            </a:graphic>
          </wp:inline>
        </w:drawing>
      </w:r>
    </w:p>
    <w:p w:rsidR="00936AAD" w:rsidRDefault="00760C5B">
      <w:pPr>
        <w:spacing w:before="96"/>
        <w:ind w:left="139" w:right="520"/>
        <w:rPr>
          <w:sz w:val="18"/>
        </w:rPr>
      </w:pPr>
      <w:r>
        <w:rPr>
          <w:sz w:val="18"/>
        </w:rPr>
        <w:t>Source: Ofcom International Broadband Scorecard. Including upload and download data.</w:t>
      </w:r>
    </w:p>
    <w:p w:rsidR="00936AAD" w:rsidRDefault="00760C5B">
      <w:pPr>
        <w:pStyle w:val="BodyText"/>
        <w:spacing w:before="161"/>
        <w:ind w:left="139" w:right="520"/>
        <w:rPr>
          <w:rFonts w:ascii="Calibri" w:hAnsi="Calibri"/>
        </w:rPr>
      </w:pPr>
      <w:r>
        <w:rPr>
          <w:rFonts w:ascii="Calibri" w:hAnsi="Calibri"/>
        </w:rPr>
        <w:t>Australians’ average monthly data usage per user over the year from June 2019 to June 2020 was 295GB over the NBN (or around 88GB when measured on a per capita basis for the Australian population that has NBN coverage). This takes into account the COVID-19 pandemic on data consumption (see below).</w:t>
      </w:r>
    </w:p>
    <w:p w:rsidR="00936AAD" w:rsidRDefault="00936AAD">
      <w:pPr>
        <w:sectPr w:rsidR="00936AAD">
          <w:type w:val="continuous"/>
          <w:pgSz w:w="11910" w:h="16840"/>
          <w:pgMar w:top="700" w:right="500" w:bottom="740" w:left="880" w:header="720" w:footer="720" w:gutter="0"/>
          <w:cols w:num="2" w:space="720" w:equalWidth="0">
            <w:col w:w="4749" w:space="539"/>
            <w:col w:w="5242"/>
          </w:cols>
        </w:sectPr>
      </w:pPr>
    </w:p>
    <w:p w:rsidR="00936AAD" w:rsidRDefault="00936AAD">
      <w:pPr>
        <w:spacing w:before="8"/>
        <w:rPr>
          <w:sz w:val="29"/>
        </w:rPr>
      </w:pPr>
    </w:p>
    <w:p w:rsidR="00936AAD" w:rsidRDefault="00936AAD">
      <w:pPr>
        <w:rPr>
          <w:sz w:val="29"/>
        </w:rPr>
        <w:sectPr w:rsidR="00936AAD" w:rsidSect="00F510E4">
          <w:headerReference w:type="default" r:id="rId40"/>
          <w:pgSz w:w="11910" w:h="16840"/>
          <w:pgMar w:top="1580" w:right="500" w:bottom="480" w:left="880" w:header="0" w:footer="0" w:gutter="0"/>
          <w:cols w:space="720"/>
          <w:docGrid w:linePitch="299"/>
        </w:sectPr>
      </w:pPr>
    </w:p>
    <w:p w:rsidR="00936AAD" w:rsidRDefault="00760C5B" w:rsidP="004B1042">
      <w:pPr>
        <w:pStyle w:val="BodyText"/>
        <w:spacing w:before="64" w:after="240"/>
        <w:ind w:left="139" w:right="38"/>
        <w:rPr>
          <w:rFonts w:ascii="Calibri" w:hAnsi="Calibri"/>
        </w:rPr>
      </w:pPr>
      <w:r>
        <w:rPr>
          <w:rFonts w:ascii="Calibri" w:hAnsi="Calibri"/>
        </w:rPr>
        <w:t>Australia is also a high performer for growth in data consumption</w:t>
      </w:r>
      <w:r>
        <w:rPr>
          <w:rFonts w:ascii="Calibri" w:hAnsi="Calibri"/>
          <w:spacing w:val="-7"/>
        </w:rPr>
        <w:t xml:space="preserve"> </w:t>
      </w:r>
      <w:r>
        <w:rPr>
          <w:rFonts w:ascii="Calibri" w:hAnsi="Calibri"/>
        </w:rPr>
        <w:t>compared</w:t>
      </w:r>
      <w:r>
        <w:rPr>
          <w:rFonts w:ascii="Calibri" w:hAnsi="Calibri"/>
          <w:spacing w:val="-6"/>
        </w:rPr>
        <w:t xml:space="preserve"> </w:t>
      </w:r>
      <w:r>
        <w:rPr>
          <w:rFonts w:ascii="Calibri" w:hAnsi="Calibri"/>
        </w:rPr>
        <w:t>to</w:t>
      </w:r>
      <w:r>
        <w:rPr>
          <w:rFonts w:ascii="Calibri" w:hAnsi="Calibri"/>
          <w:spacing w:val="-7"/>
        </w:rPr>
        <w:t xml:space="preserve"> </w:t>
      </w:r>
      <w:r>
        <w:rPr>
          <w:rFonts w:ascii="Calibri" w:hAnsi="Calibri"/>
        </w:rPr>
        <w:t>our</w:t>
      </w:r>
      <w:r>
        <w:rPr>
          <w:rFonts w:ascii="Calibri" w:hAnsi="Calibri"/>
          <w:spacing w:val="-8"/>
        </w:rPr>
        <w:t xml:space="preserve"> </w:t>
      </w:r>
      <w:r>
        <w:rPr>
          <w:rFonts w:ascii="Calibri" w:hAnsi="Calibri"/>
        </w:rPr>
        <w:t>international</w:t>
      </w:r>
      <w:r>
        <w:rPr>
          <w:rFonts w:ascii="Calibri" w:hAnsi="Calibri"/>
          <w:spacing w:val="-7"/>
        </w:rPr>
        <w:t xml:space="preserve"> </w:t>
      </w:r>
      <w:r>
        <w:rPr>
          <w:rFonts w:ascii="Calibri" w:hAnsi="Calibri"/>
        </w:rPr>
        <w:t>peers.</w:t>
      </w:r>
      <w:r>
        <w:rPr>
          <w:rFonts w:ascii="Calibri" w:hAnsi="Calibri"/>
          <w:spacing w:val="-7"/>
        </w:rPr>
        <w:t xml:space="preserve"> </w:t>
      </w:r>
      <w:r>
        <w:rPr>
          <w:rFonts w:ascii="Calibri" w:hAnsi="Calibri"/>
        </w:rPr>
        <w:t>From 2017 to 2018 Australia’s data consumption per capita grew 42 per cent over the 12 month period. This is the 3rd highest growth amongst the nine countries for which data is available (chart</w:t>
      </w:r>
      <w:r>
        <w:rPr>
          <w:rFonts w:ascii="Calibri" w:hAnsi="Calibri"/>
          <w:spacing w:val="-2"/>
        </w:rPr>
        <w:t xml:space="preserve"> </w:t>
      </w:r>
      <w:r>
        <w:rPr>
          <w:rFonts w:ascii="Calibri" w:hAnsi="Calibri"/>
        </w:rPr>
        <w:t>2).</w:t>
      </w:r>
    </w:p>
    <w:p w:rsidR="00936AAD" w:rsidRDefault="00760C5B" w:rsidP="004608AC">
      <w:pPr>
        <w:spacing w:before="3"/>
        <w:ind w:left="142"/>
      </w:pPr>
      <w:r>
        <w:rPr>
          <w:noProof/>
          <w:lang w:val="en-AU" w:eastAsia="en-AU"/>
        </w:rPr>
        <w:drawing>
          <wp:inline distT="0" distB="0" distL="0" distR="0">
            <wp:extent cx="2665081" cy="2166937"/>
            <wp:effectExtent l="0" t="0" r="2540" b="5080"/>
            <wp:docPr id="49" name="image16.png" descr="Chart 2 is titled annual percentage change in fixed broadband data volume per captita per month.  The chart shows that Australia's data consumption was third highest in terms of growth over the period 2017 to 2018 at 42 per cent. The United States had the highest growth of the selected countries over this period, at over 90 per cent per capita. In order from highest ranking to lowest ranking, the countries depicted in chart 2 are the United States. New Zealand, Australia, Germany, the United Kingdom, France, Sweden, Japan and Ital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 name="image16.png"/>
                    <pic:cNvPicPr/>
                  </pic:nvPicPr>
                  <pic:blipFill>
                    <a:blip r:embed="rId41" cstate="print">
                      <a:extLst>
                        <a:ext uri="{28A0092B-C50C-407E-A947-70E740481C1C}">
                          <a14:useLocalDpi xmlns:a14="http://schemas.microsoft.com/office/drawing/2010/main" val="0"/>
                        </a:ext>
                      </a:extLst>
                    </a:blip>
                    <a:stretch>
                      <a:fillRect/>
                    </a:stretch>
                  </pic:blipFill>
                  <pic:spPr>
                    <a:xfrm>
                      <a:off x="0" y="0"/>
                      <a:ext cx="2665081" cy="2166937"/>
                    </a:xfrm>
                    <a:prstGeom prst="rect">
                      <a:avLst/>
                    </a:prstGeom>
                  </pic:spPr>
                </pic:pic>
              </a:graphicData>
            </a:graphic>
          </wp:inline>
        </w:drawing>
      </w:r>
    </w:p>
    <w:p w:rsidR="00936AAD" w:rsidRDefault="00760C5B">
      <w:pPr>
        <w:ind w:left="139" w:right="38"/>
        <w:rPr>
          <w:sz w:val="18"/>
        </w:rPr>
      </w:pPr>
      <w:r>
        <w:rPr>
          <w:sz w:val="18"/>
        </w:rPr>
        <w:t>Source: Ofcom International Broadband Scorecard. Including upload and download data.</w:t>
      </w:r>
    </w:p>
    <w:p w:rsidR="00936AAD" w:rsidRDefault="00760C5B" w:rsidP="004B1042">
      <w:pPr>
        <w:pStyle w:val="BodyText"/>
        <w:spacing w:before="161" w:after="240"/>
        <w:ind w:left="140" w:right="38"/>
        <w:rPr>
          <w:rFonts w:ascii="Calibri"/>
        </w:rPr>
      </w:pPr>
      <w:r>
        <w:rPr>
          <w:rFonts w:ascii="Calibri"/>
        </w:rPr>
        <w:t>Data use has also grown over the period of the NBN rollout. Average monthly data downloaded per fixed- line subscription was over 310GB in June 2020, compared to almost 100GB in 2016 and around 35GB in June 2013 (chart 3).</w:t>
      </w:r>
    </w:p>
    <w:p w:rsidR="00936AAD" w:rsidRDefault="00760C5B">
      <w:pPr>
        <w:spacing w:before="2"/>
        <w:rPr>
          <w:sz w:val="23"/>
        </w:rPr>
      </w:pPr>
      <w:r>
        <w:rPr>
          <w:noProof/>
          <w:lang w:val="en-AU" w:eastAsia="en-AU"/>
        </w:rPr>
        <w:drawing>
          <wp:inline distT="0" distB="0" distL="0" distR="0">
            <wp:extent cx="2690816" cy="1792224"/>
            <wp:effectExtent l="0" t="0" r="0" b="0"/>
            <wp:docPr id="51" name="image17.png" descr="Chart 3 is titled volume of data downloaded by fixed broadband connections. It charts the growth in the volume of data downloaded over fixed broadband connections over the period 2013 to 2020, showing strong growth over this period from around 35GB to 310GB over this perio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 name="image17.png"/>
                    <pic:cNvPicPr/>
                  </pic:nvPicPr>
                  <pic:blipFill>
                    <a:blip r:embed="rId42" cstate="print">
                      <a:extLst>
                        <a:ext uri="{28A0092B-C50C-407E-A947-70E740481C1C}">
                          <a14:useLocalDpi xmlns:a14="http://schemas.microsoft.com/office/drawing/2010/main" val="0"/>
                        </a:ext>
                      </a:extLst>
                    </a:blip>
                    <a:stretch>
                      <a:fillRect/>
                    </a:stretch>
                  </pic:blipFill>
                  <pic:spPr>
                    <a:xfrm>
                      <a:off x="0" y="0"/>
                      <a:ext cx="2690816" cy="1792224"/>
                    </a:xfrm>
                    <a:prstGeom prst="rect">
                      <a:avLst/>
                    </a:prstGeom>
                  </pic:spPr>
                </pic:pic>
              </a:graphicData>
            </a:graphic>
          </wp:inline>
        </w:drawing>
      </w:r>
    </w:p>
    <w:p w:rsidR="00936AAD" w:rsidRDefault="00802A55" w:rsidP="004608AC">
      <w:pPr>
        <w:spacing w:before="1200"/>
        <w:rPr>
          <w:sz w:val="18"/>
        </w:rPr>
      </w:pPr>
      <w:r>
        <w:rPr>
          <w:sz w:val="18"/>
        </w:rPr>
        <w:t>_____________________________________________________</w:t>
      </w:r>
    </w:p>
    <w:p w:rsidR="00936AAD" w:rsidRDefault="00760C5B">
      <w:pPr>
        <w:spacing w:before="83" w:line="247" w:lineRule="auto"/>
        <w:ind w:left="140" w:right="45"/>
        <w:rPr>
          <w:sz w:val="18"/>
        </w:rPr>
      </w:pPr>
      <w:bookmarkStart w:id="9" w:name="_bookmark0"/>
      <w:bookmarkEnd w:id="9"/>
      <w:r>
        <w:rPr>
          <w:sz w:val="18"/>
          <w:vertAlign w:val="superscript"/>
        </w:rPr>
        <w:t>1</w:t>
      </w:r>
      <w:r>
        <w:rPr>
          <w:sz w:val="18"/>
        </w:rPr>
        <w:t xml:space="preserve"> Information in this fact sheet draws on data available as at September 2020 for countries analysed, and may not always relate to the same period. ‘Speeds’ </w:t>
      </w:r>
      <w:r>
        <w:rPr>
          <w:spacing w:val="-3"/>
          <w:sz w:val="18"/>
        </w:rPr>
        <w:t xml:space="preserve">refer </w:t>
      </w:r>
      <w:r>
        <w:rPr>
          <w:sz w:val="18"/>
        </w:rPr>
        <w:t>to wholesale speeds.</w:t>
      </w:r>
      <w:bookmarkStart w:id="10" w:name="_bookmark1"/>
      <w:bookmarkEnd w:id="10"/>
      <w:r>
        <w:rPr>
          <w:sz w:val="18"/>
        </w:rPr>
        <w:t xml:space="preserve"> </w:t>
      </w:r>
      <w:r>
        <w:rPr>
          <w:sz w:val="18"/>
          <w:vertAlign w:val="superscript"/>
        </w:rPr>
        <w:t>2</w:t>
      </w:r>
      <w:r>
        <w:rPr>
          <w:spacing w:val="-1"/>
          <w:sz w:val="18"/>
        </w:rPr>
        <w:t xml:space="preserve"> </w:t>
      </w:r>
      <w:r>
        <w:rPr>
          <w:sz w:val="18"/>
        </w:rPr>
        <w:t>Limitations</w:t>
      </w:r>
      <w:r>
        <w:rPr>
          <w:spacing w:val="-4"/>
          <w:sz w:val="18"/>
        </w:rPr>
        <w:t xml:space="preserve"> </w:t>
      </w:r>
      <w:r>
        <w:rPr>
          <w:sz w:val="18"/>
        </w:rPr>
        <w:t>on</w:t>
      </w:r>
      <w:r>
        <w:rPr>
          <w:spacing w:val="-5"/>
          <w:sz w:val="18"/>
        </w:rPr>
        <w:t xml:space="preserve"> </w:t>
      </w:r>
      <w:r>
        <w:rPr>
          <w:sz w:val="18"/>
        </w:rPr>
        <w:t>the</w:t>
      </w:r>
      <w:r>
        <w:rPr>
          <w:spacing w:val="-5"/>
          <w:sz w:val="18"/>
        </w:rPr>
        <w:t xml:space="preserve"> </w:t>
      </w:r>
      <w:r>
        <w:rPr>
          <w:sz w:val="18"/>
        </w:rPr>
        <w:t>availability</w:t>
      </w:r>
      <w:r>
        <w:rPr>
          <w:spacing w:val="-3"/>
          <w:sz w:val="18"/>
        </w:rPr>
        <w:t xml:space="preserve"> </w:t>
      </w:r>
      <w:r>
        <w:rPr>
          <w:sz w:val="18"/>
        </w:rPr>
        <w:t>of</w:t>
      </w:r>
      <w:r>
        <w:rPr>
          <w:spacing w:val="-2"/>
          <w:sz w:val="18"/>
        </w:rPr>
        <w:t xml:space="preserve"> </w:t>
      </w:r>
      <w:r>
        <w:rPr>
          <w:sz w:val="18"/>
        </w:rPr>
        <w:t>appropriate</w:t>
      </w:r>
      <w:r>
        <w:rPr>
          <w:spacing w:val="-5"/>
          <w:sz w:val="18"/>
        </w:rPr>
        <w:t xml:space="preserve"> </w:t>
      </w:r>
      <w:r>
        <w:rPr>
          <w:sz w:val="18"/>
        </w:rPr>
        <w:t>data</w:t>
      </w:r>
      <w:r>
        <w:rPr>
          <w:spacing w:val="-4"/>
          <w:sz w:val="18"/>
        </w:rPr>
        <w:t xml:space="preserve"> </w:t>
      </w:r>
      <w:r>
        <w:rPr>
          <w:sz w:val="18"/>
        </w:rPr>
        <w:t>means</w:t>
      </w:r>
      <w:r>
        <w:rPr>
          <w:spacing w:val="-3"/>
          <w:sz w:val="18"/>
        </w:rPr>
        <w:t xml:space="preserve"> </w:t>
      </w:r>
      <w:r>
        <w:rPr>
          <w:sz w:val="18"/>
        </w:rPr>
        <w:t>that for some measures, analysis of different subsets of countries from the list of identified peer countries was</w:t>
      </w:r>
      <w:r>
        <w:rPr>
          <w:spacing w:val="-16"/>
          <w:sz w:val="18"/>
        </w:rPr>
        <w:t xml:space="preserve"> </w:t>
      </w:r>
      <w:r>
        <w:rPr>
          <w:sz w:val="18"/>
        </w:rPr>
        <w:t>required.</w:t>
      </w:r>
    </w:p>
    <w:p w:rsidR="00936AAD" w:rsidRDefault="00760C5B">
      <w:pPr>
        <w:spacing w:before="64"/>
        <w:ind w:left="140" w:right="552"/>
        <w:rPr>
          <w:sz w:val="12"/>
        </w:rPr>
      </w:pPr>
      <w:r>
        <w:br w:type="column"/>
      </w:r>
      <w:r>
        <w:rPr>
          <w:sz w:val="18"/>
        </w:rPr>
        <w:t>Source: BCARR analysis; ABS, Internet Activity Survey; ACCC Internet Activity Report</w:t>
      </w:r>
      <w:hyperlink w:anchor="_bookmark0" w:history="1">
        <w:r>
          <w:rPr>
            <w:position w:val="5"/>
            <w:sz w:val="12"/>
          </w:rPr>
          <w:t>3</w:t>
        </w:r>
      </w:hyperlink>
    </w:p>
    <w:p w:rsidR="00936AAD" w:rsidRDefault="00760C5B">
      <w:pPr>
        <w:pStyle w:val="BodyText"/>
        <w:spacing w:before="161"/>
        <w:ind w:left="139" w:right="552"/>
        <w:rPr>
          <w:rFonts w:ascii="Calibri"/>
        </w:rPr>
      </w:pPr>
      <w:r>
        <w:rPr>
          <w:rFonts w:ascii="Calibri"/>
        </w:rPr>
        <w:t>The COVID-19 pandemic has seen a greater demand for data on the back of working and schooling from home, as well as increased usage of video gaming and streaming services.</w:t>
      </w:r>
    </w:p>
    <w:p w:rsidR="00936AAD" w:rsidRDefault="00760C5B">
      <w:pPr>
        <w:pStyle w:val="BodyText"/>
        <w:spacing w:before="161"/>
        <w:ind w:left="139" w:right="543"/>
        <w:rPr>
          <w:rFonts w:ascii="Calibri"/>
        </w:rPr>
      </w:pPr>
      <w:r>
        <w:rPr>
          <w:rFonts w:ascii="Calibri"/>
        </w:rPr>
        <w:t xml:space="preserve">Data collected by the ACCC shows that for the June 2020 </w:t>
      </w:r>
      <w:r>
        <w:rPr>
          <w:rFonts w:ascii="Calibri"/>
          <w:spacing w:val="-3"/>
        </w:rPr>
        <w:t xml:space="preserve">quarter, </w:t>
      </w:r>
      <w:r>
        <w:rPr>
          <w:rFonts w:ascii="Calibri"/>
        </w:rPr>
        <w:t>the volume of data downloaded over NBN services had almost doubled compared to the same period in 2019, increasing from 3.48 million terabytes (TB) to around 6.28 million TB of data downloaded on these</w:t>
      </w:r>
      <w:r>
        <w:rPr>
          <w:rFonts w:ascii="Calibri"/>
          <w:spacing w:val="1"/>
        </w:rPr>
        <w:t xml:space="preserve"> </w:t>
      </w:r>
      <w:r>
        <w:rPr>
          <w:rFonts w:ascii="Calibri"/>
        </w:rPr>
        <w:t>services.</w:t>
      </w:r>
    </w:p>
    <w:p w:rsidR="00936AAD" w:rsidRDefault="00760C5B" w:rsidP="004B1042">
      <w:pPr>
        <w:pStyle w:val="BodyText"/>
        <w:spacing w:before="160" w:after="240"/>
        <w:ind w:left="139" w:right="538"/>
        <w:rPr>
          <w:rFonts w:ascii="Calibri"/>
        </w:rPr>
      </w:pPr>
      <w:r>
        <w:rPr>
          <w:rFonts w:ascii="Calibri"/>
        </w:rPr>
        <w:t>The total volume of data downloaded over all fixed services also increased from 5.29 million TB over the June 2019 quarter to 7.42 million TB over the June 2020 quarter (chart 4).</w:t>
      </w:r>
    </w:p>
    <w:p w:rsidR="00936AAD" w:rsidRDefault="00760C5B" w:rsidP="004608AC">
      <w:pPr>
        <w:spacing w:before="10"/>
        <w:ind w:left="142"/>
        <w:rPr>
          <w:sz w:val="20"/>
        </w:rPr>
      </w:pPr>
      <w:r>
        <w:rPr>
          <w:noProof/>
          <w:lang w:val="en-AU" w:eastAsia="en-AU"/>
        </w:rPr>
        <w:drawing>
          <wp:inline distT="0" distB="0" distL="0" distR="0">
            <wp:extent cx="2581274" cy="2286000"/>
            <wp:effectExtent l="0" t="0" r="0" b="0"/>
            <wp:docPr id="53" name="image18.png" descr="Chart 4 is titled - total volume of data downloaded per quarter. It shows the volume of data downloaded in 2019 compared to 2020, for both retail NBN connections, and all fixed broabdand connections. It shows that there is growth for each of these categories, with the volume of data downloaded over retail NBN connections having almost doubled in 2020 compared to the same period in 2019, from 3.48 million terabytes to 6.28 million terabytes. There was also growth in total volume downloaded over all fixed connections for this period, from 5.29 million terabytes to 7.42 million terabyt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 name="image18.png"/>
                    <pic:cNvPicPr/>
                  </pic:nvPicPr>
                  <pic:blipFill>
                    <a:blip r:embed="rId43" cstate="print">
                      <a:extLst>
                        <a:ext uri="{28A0092B-C50C-407E-A947-70E740481C1C}">
                          <a14:useLocalDpi xmlns:a14="http://schemas.microsoft.com/office/drawing/2010/main" val="0"/>
                        </a:ext>
                      </a:extLst>
                    </a:blip>
                    <a:stretch>
                      <a:fillRect/>
                    </a:stretch>
                  </pic:blipFill>
                  <pic:spPr>
                    <a:xfrm>
                      <a:off x="0" y="0"/>
                      <a:ext cx="2581274" cy="2286000"/>
                    </a:xfrm>
                    <a:prstGeom prst="rect">
                      <a:avLst/>
                    </a:prstGeom>
                  </pic:spPr>
                </pic:pic>
              </a:graphicData>
            </a:graphic>
          </wp:inline>
        </w:drawing>
      </w:r>
    </w:p>
    <w:p w:rsidR="00936AAD" w:rsidRDefault="00760C5B">
      <w:pPr>
        <w:spacing w:before="166"/>
        <w:ind w:left="140"/>
        <w:rPr>
          <w:sz w:val="18"/>
        </w:rPr>
      </w:pPr>
      <w:r>
        <w:rPr>
          <w:sz w:val="18"/>
        </w:rPr>
        <w:t>Source: ACCC, Internet Activity Report June 2020.</w:t>
      </w:r>
    </w:p>
    <w:p w:rsidR="00936AAD" w:rsidRDefault="00760C5B">
      <w:pPr>
        <w:pStyle w:val="BodyText"/>
        <w:spacing w:before="160"/>
        <w:ind w:left="140" w:right="556"/>
        <w:rPr>
          <w:rFonts w:ascii="Calibri"/>
        </w:rPr>
      </w:pPr>
      <w:r>
        <w:rPr>
          <w:rFonts w:ascii="Calibri"/>
        </w:rPr>
        <w:t xml:space="preserve">Similar to the drivers of increased demand for higher speed internet services, described in </w:t>
      </w:r>
      <w:r>
        <w:rPr>
          <w:rFonts w:ascii="Calibri"/>
          <w:i/>
        </w:rPr>
        <w:t>International comparison of fixed broadband performance: migration to higher speed plans</w:t>
      </w:r>
      <w:r>
        <w:rPr>
          <w:rFonts w:ascii="Calibri"/>
        </w:rPr>
        <w:t>, factors contributing to increased data consumption are likely to include the increasing popularity of video streaming services, a greater number of internet-connected household devices and the increased importance of home internet due to the impact of the COVID-19 pandemic</w:t>
      </w:r>
    </w:p>
    <w:p w:rsidR="00936AAD" w:rsidRDefault="00760C5B" w:rsidP="004608AC">
      <w:pPr>
        <w:spacing w:before="600"/>
        <w:ind w:left="140" w:right="459"/>
        <w:rPr>
          <w:sz w:val="18"/>
        </w:rPr>
      </w:pPr>
      <w:r>
        <w:rPr>
          <w:sz w:val="20"/>
          <w:vertAlign w:val="superscript"/>
        </w:rPr>
        <w:t>3</w:t>
      </w:r>
      <w:r>
        <w:rPr>
          <w:sz w:val="20"/>
        </w:rPr>
        <w:t xml:space="preserve"> Prior to June 2018 this data was collected by the ABS. </w:t>
      </w:r>
      <w:r>
        <w:rPr>
          <w:sz w:val="18"/>
        </w:rPr>
        <w:t>From December 2018 and onwards this data is being collected by the ACCC and uses a different methodology.</w:t>
      </w:r>
    </w:p>
    <w:sectPr w:rsidR="00936AAD">
      <w:type w:val="continuous"/>
      <w:pgSz w:w="11910" w:h="16840"/>
      <w:pgMar w:top="700" w:right="500" w:bottom="740" w:left="880" w:header="720" w:footer="720" w:gutter="0"/>
      <w:cols w:num="2" w:space="720" w:equalWidth="0">
        <w:col w:w="4758" w:space="529"/>
        <w:col w:w="5243"/>
      </w:cols>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95744" w:rsidRDefault="00760C5B">
      <w:r>
        <w:separator/>
      </w:r>
    </w:p>
  </w:endnote>
  <w:endnote w:type="continuationSeparator" w:id="0">
    <w:p w:rsidR="00A95744" w:rsidRDefault="00760C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Segoe UI Semibold">
    <w:panose1 w:val="020B0702040204020203"/>
    <w:charset w:val="00"/>
    <w:family w:val="swiss"/>
    <w:pitch w:val="variable"/>
    <w:sig w:usb0="E4002EFF" w:usb1="C000E47F"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B3304" w:rsidRPr="00FC413F" w:rsidRDefault="002B3304" w:rsidP="002B3304">
    <w:pPr>
      <w:pStyle w:val="Footer"/>
      <w:tabs>
        <w:tab w:val="clear" w:pos="4513"/>
        <w:tab w:val="clear" w:pos="9026"/>
      </w:tabs>
      <w:ind w:left="-567"/>
      <w:rPr>
        <w:rFonts w:cs="Segoe UI"/>
        <w:szCs w:val="18"/>
      </w:rPr>
    </w:pPr>
    <w:r w:rsidRPr="00FC413F">
      <w:rPr>
        <w:rFonts w:cs="Segoe UI"/>
        <w:szCs w:val="18"/>
      </w:rPr>
      <w:t>_______________________</w:t>
    </w:r>
    <w:r>
      <w:rPr>
        <w:rFonts w:cs="Segoe UI"/>
        <w:szCs w:val="18"/>
      </w:rPr>
      <w:t>___________________________________________</w:t>
    </w:r>
    <w:r w:rsidRPr="00FC413F">
      <w:rPr>
        <w:rFonts w:cs="Segoe UI"/>
        <w:szCs w:val="18"/>
      </w:rPr>
      <w:t>___________________________________</w:t>
    </w:r>
  </w:p>
  <w:p w:rsidR="002B3304" w:rsidRPr="00FC413F" w:rsidRDefault="002B3304" w:rsidP="002B3304">
    <w:pPr>
      <w:pStyle w:val="Footer"/>
      <w:tabs>
        <w:tab w:val="clear" w:pos="4513"/>
        <w:tab w:val="clear" w:pos="9026"/>
        <w:tab w:val="right" w:pos="9356"/>
      </w:tabs>
      <w:rPr>
        <w:rFonts w:cs="Segoe UI"/>
        <w:szCs w:val="18"/>
      </w:rPr>
    </w:pPr>
    <w:r>
      <w:rPr>
        <w:rFonts w:cs="Segoe UI"/>
        <w:szCs w:val="18"/>
      </w:rPr>
      <w:fldChar w:fldCharType="begin"/>
    </w:r>
    <w:r>
      <w:rPr>
        <w:rFonts w:cs="Segoe UI"/>
        <w:szCs w:val="18"/>
      </w:rPr>
      <w:instrText xml:space="preserve"> PAGE  \* Arabic  \* MERGEFORMAT </w:instrText>
    </w:r>
    <w:r>
      <w:rPr>
        <w:rFonts w:cs="Segoe UI"/>
        <w:szCs w:val="18"/>
      </w:rPr>
      <w:fldChar w:fldCharType="separate"/>
    </w:r>
    <w:r w:rsidR="004B1042">
      <w:rPr>
        <w:rFonts w:cs="Segoe UI"/>
        <w:noProof/>
        <w:szCs w:val="18"/>
      </w:rPr>
      <w:t>1</w:t>
    </w:r>
    <w:r>
      <w:rPr>
        <w:rFonts w:cs="Segoe UI"/>
        <w:szCs w:val="18"/>
      </w:rPr>
      <w:fldChar w:fldCharType="end"/>
    </w:r>
    <w:r w:rsidRPr="00FC413F">
      <w:rPr>
        <w:rFonts w:cs="Segoe UI"/>
        <w:noProof/>
        <w:szCs w:val="18"/>
      </w:rPr>
      <w:t>.</w:t>
    </w:r>
    <w:r>
      <w:rPr>
        <w:rFonts w:cs="Segoe UI"/>
        <w:noProof/>
        <w:szCs w:val="18"/>
      </w:rPr>
      <w:t xml:space="preserve"> </w:t>
    </w:r>
    <w:r w:rsidRPr="002B3304">
      <w:rPr>
        <w:rFonts w:cs="Segoe UI"/>
        <w:noProof/>
        <w:szCs w:val="18"/>
      </w:rPr>
      <w:t>Measuring Australia's fixed broadband performance—compendium</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B3304" w:rsidRPr="00FC413F" w:rsidRDefault="002B3304" w:rsidP="002B3304">
    <w:pPr>
      <w:pStyle w:val="Footer"/>
      <w:tabs>
        <w:tab w:val="clear" w:pos="4513"/>
        <w:tab w:val="clear" w:pos="9026"/>
      </w:tabs>
      <w:ind w:left="-567"/>
      <w:rPr>
        <w:rFonts w:cs="Segoe UI"/>
        <w:szCs w:val="18"/>
      </w:rPr>
    </w:pPr>
    <w:r w:rsidRPr="00FC413F">
      <w:rPr>
        <w:rFonts w:cs="Segoe UI"/>
        <w:szCs w:val="18"/>
      </w:rPr>
      <w:t>_______________________</w:t>
    </w:r>
    <w:r>
      <w:rPr>
        <w:rFonts w:cs="Segoe UI"/>
        <w:szCs w:val="18"/>
      </w:rPr>
      <w:t>___________________________________________</w:t>
    </w:r>
    <w:r w:rsidRPr="00FC413F">
      <w:rPr>
        <w:rFonts w:cs="Segoe UI"/>
        <w:szCs w:val="18"/>
      </w:rPr>
      <w:t>___________________________________</w:t>
    </w:r>
  </w:p>
  <w:p w:rsidR="002B3304" w:rsidRPr="00FC413F" w:rsidRDefault="002B3304" w:rsidP="002B3304">
    <w:pPr>
      <w:pStyle w:val="Footer"/>
      <w:tabs>
        <w:tab w:val="clear" w:pos="4513"/>
        <w:tab w:val="clear" w:pos="9026"/>
        <w:tab w:val="right" w:pos="9356"/>
      </w:tabs>
      <w:rPr>
        <w:rFonts w:cs="Segoe UI"/>
        <w:szCs w:val="18"/>
      </w:rPr>
    </w:pPr>
    <w:r>
      <w:rPr>
        <w:rFonts w:cs="Segoe UI"/>
        <w:szCs w:val="18"/>
      </w:rPr>
      <w:fldChar w:fldCharType="begin"/>
    </w:r>
    <w:r>
      <w:rPr>
        <w:rFonts w:cs="Segoe UI"/>
        <w:szCs w:val="18"/>
      </w:rPr>
      <w:instrText xml:space="preserve"> PAGE  \* Arabic  \* MERGEFORMAT </w:instrText>
    </w:r>
    <w:r>
      <w:rPr>
        <w:rFonts w:cs="Segoe UI"/>
        <w:szCs w:val="18"/>
      </w:rPr>
      <w:fldChar w:fldCharType="separate"/>
    </w:r>
    <w:r w:rsidR="0084452B">
      <w:rPr>
        <w:rFonts w:cs="Segoe UI"/>
        <w:noProof/>
        <w:szCs w:val="18"/>
      </w:rPr>
      <w:t>4</w:t>
    </w:r>
    <w:r>
      <w:rPr>
        <w:rFonts w:cs="Segoe UI"/>
        <w:szCs w:val="18"/>
      </w:rPr>
      <w:fldChar w:fldCharType="end"/>
    </w:r>
    <w:r w:rsidRPr="00FC413F">
      <w:rPr>
        <w:rFonts w:cs="Segoe UI"/>
        <w:noProof/>
        <w:szCs w:val="18"/>
      </w:rPr>
      <w:t>.</w:t>
    </w:r>
    <w:r>
      <w:rPr>
        <w:rFonts w:cs="Segoe UI"/>
        <w:noProof/>
        <w:szCs w:val="18"/>
      </w:rPr>
      <w:t xml:space="preserve"> </w:t>
    </w:r>
    <w:r w:rsidRPr="002B3304">
      <w:rPr>
        <w:rFonts w:cs="Segoe UI"/>
        <w:noProof/>
        <w:szCs w:val="18"/>
      </w:rPr>
      <w:t>Measuring Australia's fixed broadband performance—compendium</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608AC" w:rsidRPr="00FC413F" w:rsidRDefault="004608AC" w:rsidP="004608AC">
    <w:pPr>
      <w:pStyle w:val="Footer"/>
      <w:tabs>
        <w:tab w:val="clear" w:pos="4513"/>
        <w:tab w:val="clear" w:pos="9026"/>
      </w:tabs>
      <w:ind w:left="-567"/>
      <w:rPr>
        <w:rFonts w:cs="Segoe UI"/>
        <w:szCs w:val="18"/>
      </w:rPr>
    </w:pPr>
    <w:r w:rsidRPr="00FC413F">
      <w:rPr>
        <w:rFonts w:cs="Segoe UI"/>
        <w:szCs w:val="18"/>
      </w:rPr>
      <w:t>_______________________</w:t>
    </w:r>
    <w:r>
      <w:rPr>
        <w:rFonts w:cs="Segoe UI"/>
        <w:szCs w:val="18"/>
      </w:rPr>
      <w:t>___________________________________________</w:t>
    </w:r>
    <w:r w:rsidRPr="00FC413F">
      <w:rPr>
        <w:rFonts w:cs="Segoe UI"/>
        <w:szCs w:val="18"/>
      </w:rPr>
      <w:t>___________________________________</w:t>
    </w:r>
  </w:p>
  <w:p w:rsidR="004608AC" w:rsidRPr="00FC413F" w:rsidRDefault="004608AC" w:rsidP="004608AC">
    <w:pPr>
      <w:pStyle w:val="Footer"/>
      <w:tabs>
        <w:tab w:val="clear" w:pos="4513"/>
        <w:tab w:val="clear" w:pos="9026"/>
        <w:tab w:val="right" w:pos="9356"/>
      </w:tabs>
      <w:rPr>
        <w:rFonts w:cs="Segoe UI"/>
        <w:szCs w:val="18"/>
      </w:rPr>
    </w:pPr>
    <w:r>
      <w:rPr>
        <w:rFonts w:cs="Segoe UI"/>
        <w:szCs w:val="18"/>
      </w:rPr>
      <w:fldChar w:fldCharType="begin"/>
    </w:r>
    <w:r>
      <w:rPr>
        <w:rFonts w:cs="Segoe UI"/>
        <w:szCs w:val="18"/>
      </w:rPr>
      <w:instrText xml:space="preserve"> PAGE  \* Arabic  \* MERGEFORMAT </w:instrText>
    </w:r>
    <w:r>
      <w:rPr>
        <w:rFonts w:cs="Segoe UI"/>
        <w:szCs w:val="18"/>
      </w:rPr>
      <w:fldChar w:fldCharType="separate"/>
    </w:r>
    <w:r w:rsidR="0084452B">
      <w:rPr>
        <w:rFonts w:cs="Segoe UI"/>
        <w:noProof/>
        <w:szCs w:val="18"/>
      </w:rPr>
      <w:t>5</w:t>
    </w:r>
    <w:r>
      <w:rPr>
        <w:rFonts w:cs="Segoe UI"/>
        <w:szCs w:val="18"/>
      </w:rPr>
      <w:fldChar w:fldCharType="end"/>
    </w:r>
    <w:r w:rsidRPr="00FC413F">
      <w:rPr>
        <w:rFonts w:cs="Segoe UI"/>
        <w:noProof/>
        <w:szCs w:val="18"/>
      </w:rPr>
      <w:t>.</w:t>
    </w:r>
    <w:r>
      <w:rPr>
        <w:rFonts w:cs="Segoe UI"/>
        <w:noProof/>
        <w:szCs w:val="18"/>
      </w:rPr>
      <w:t xml:space="preserve"> </w:t>
    </w:r>
    <w:r w:rsidRPr="002B3304">
      <w:rPr>
        <w:rFonts w:cs="Segoe UI"/>
        <w:noProof/>
        <w:szCs w:val="18"/>
      </w:rPr>
      <w:t>Measuring Australia's fixed broadband performance—compendium</w:t>
    </w: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668A5" w:rsidRPr="00E668A5" w:rsidRDefault="00E668A5" w:rsidP="00E668A5">
    <w:pPr>
      <w:pStyle w:val="Footer"/>
      <w:tabs>
        <w:tab w:val="clear" w:pos="4513"/>
        <w:tab w:val="clear" w:pos="9026"/>
        <w:tab w:val="right" w:pos="9356"/>
      </w:tabs>
      <w:rPr>
        <w:rFonts w:cs="Segoe UI"/>
        <w:sz w:val="18"/>
        <w:szCs w:val="18"/>
      </w:rPr>
    </w:pPr>
    <w:r w:rsidRPr="00E668A5">
      <w:rPr>
        <w:rFonts w:cs="Segoe UI"/>
        <w:sz w:val="18"/>
        <w:szCs w:val="18"/>
      </w:rPr>
      <w:fldChar w:fldCharType="begin"/>
    </w:r>
    <w:r w:rsidRPr="00E668A5">
      <w:rPr>
        <w:rFonts w:cs="Segoe UI"/>
        <w:sz w:val="18"/>
        <w:szCs w:val="18"/>
      </w:rPr>
      <w:instrText xml:space="preserve"> PAGE  \* Arabic  \* MERGEFORMAT </w:instrText>
    </w:r>
    <w:r w:rsidRPr="00E668A5">
      <w:rPr>
        <w:rFonts w:cs="Segoe UI"/>
        <w:sz w:val="18"/>
        <w:szCs w:val="18"/>
      </w:rPr>
      <w:fldChar w:fldCharType="separate"/>
    </w:r>
    <w:r w:rsidR="0084452B">
      <w:rPr>
        <w:rFonts w:cs="Segoe UI"/>
        <w:noProof/>
        <w:sz w:val="18"/>
        <w:szCs w:val="18"/>
      </w:rPr>
      <w:t>1</w:t>
    </w:r>
    <w:r w:rsidRPr="00E668A5">
      <w:rPr>
        <w:rFonts w:cs="Segoe UI"/>
        <w:sz w:val="18"/>
        <w:szCs w:val="18"/>
      </w:rPr>
      <w:fldChar w:fldCharType="end"/>
    </w:r>
    <w:r w:rsidRPr="00E668A5">
      <w:rPr>
        <w:rFonts w:cs="Segoe UI"/>
        <w:noProof/>
        <w:sz w:val="18"/>
        <w:szCs w:val="18"/>
      </w:rPr>
      <w:t xml:space="preserve">. </w:t>
    </w:r>
    <w:r w:rsidRPr="00E668A5">
      <w:rPr>
        <w:sz w:val="18"/>
        <w:szCs w:val="18"/>
      </w:rPr>
      <w:t>Fact sheet—International comparison of fixed broadband performance</w:t>
    </w:r>
  </w:p>
  <w:p w:rsidR="00936AAD" w:rsidRPr="00E668A5" w:rsidRDefault="00E668A5" w:rsidP="00E668A5">
    <w:pPr>
      <w:pStyle w:val="Footer"/>
      <w:ind w:left="-851"/>
    </w:pPr>
    <w:r>
      <w:rPr>
        <w:noProof/>
        <w:lang w:val="en-AU" w:eastAsia="en-AU"/>
      </w:rPr>
      <w:drawing>
        <wp:inline distT="0" distB="0" distL="0" distR="0">
          <wp:extent cx="7560000" cy="129834"/>
          <wp:effectExtent l="0" t="0" r="0" b="3810"/>
          <wp:docPr id="96" name="image3.png" descr="Decorativ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image3.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29834"/>
                  </a:xfrm>
                  <a:prstGeom prst="rect">
                    <a:avLst/>
                  </a:prstGeom>
                </pic:spPr>
              </pic:pic>
            </a:graphicData>
          </a:graphic>
        </wp:inline>
      </w:drawing>
    </w: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510E4" w:rsidRPr="00E668A5" w:rsidRDefault="00F510E4" w:rsidP="00F510E4">
    <w:pPr>
      <w:pStyle w:val="Footer"/>
      <w:tabs>
        <w:tab w:val="clear" w:pos="4513"/>
        <w:tab w:val="clear" w:pos="9026"/>
        <w:tab w:val="right" w:pos="9356"/>
      </w:tabs>
      <w:rPr>
        <w:rFonts w:cs="Segoe UI"/>
        <w:sz w:val="18"/>
        <w:szCs w:val="18"/>
      </w:rPr>
    </w:pPr>
    <w:r w:rsidRPr="00E668A5">
      <w:rPr>
        <w:rFonts w:cs="Segoe UI"/>
        <w:sz w:val="18"/>
        <w:szCs w:val="18"/>
      </w:rPr>
      <w:fldChar w:fldCharType="begin"/>
    </w:r>
    <w:r w:rsidRPr="00E668A5">
      <w:rPr>
        <w:rFonts w:cs="Segoe UI"/>
        <w:sz w:val="18"/>
        <w:szCs w:val="18"/>
      </w:rPr>
      <w:instrText xml:space="preserve"> PAGE  \* Arabic  \* MERGEFORMAT </w:instrText>
    </w:r>
    <w:r w:rsidRPr="00E668A5">
      <w:rPr>
        <w:rFonts w:cs="Segoe UI"/>
        <w:sz w:val="18"/>
        <w:szCs w:val="18"/>
      </w:rPr>
      <w:fldChar w:fldCharType="separate"/>
    </w:r>
    <w:r w:rsidR="0084452B">
      <w:rPr>
        <w:rFonts w:cs="Segoe UI"/>
        <w:noProof/>
        <w:sz w:val="18"/>
        <w:szCs w:val="18"/>
      </w:rPr>
      <w:t>2</w:t>
    </w:r>
    <w:r w:rsidRPr="00E668A5">
      <w:rPr>
        <w:rFonts w:cs="Segoe UI"/>
        <w:sz w:val="18"/>
        <w:szCs w:val="18"/>
      </w:rPr>
      <w:fldChar w:fldCharType="end"/>
    </w:r>
    <w:r w:rsidRPr="00E668A5">
      <w:rPr>
        <w:rFonts w:cs="Segoe UI"/>
        <w:noProof/>
        <w:sz w:val="18"/>
        <w:szCs w:val="18"/>
      </w:rPr>
      <w:t xml:space="preserve">. </w:t>
    </w:r>
    <w:r w:rsidRPr="00E668A5">
      <w:rPr>
        <w:sz w:val="18"/>
        <w:szCs w:val="18"/>
      </w:rPr>
      <w:t>Fact sheet—International comparison of fixed broadband performance</w:t>
    </w:r>
  </w:p>
  <w:p w:rsidR="00F510E4" w:rsidRPr="00E668A5" w:rsidRDefault="00F510E4" w:rsidP="00F510E4">
    <w:pPr>
      <w:pStyle w:val="Footer"/>
      <w:ind w:left="-851"/>
    </w:pPr>
    <w:r>
      <w:rPr>
        <w:noProof/>
        <w:lang w:val="en-AU" w:eastAsia="en-AU"/>
      </w:rPr>
      <w:drawing>
        <wp:inline distT="0" distB="0" distL="0" distR="0" wp14:anchorId="24508EA1" wp14:editId="417C7E1F">
          <wp:extent cx="7560000" cy="129834"/>
          <wp:effectExtent l="0" t="0" r="0" b="3810"/>
          <wp:docPr id="97" name="image3.png" descr="Decorativ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image3.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29834"/>
                  </a:xfrm>
                  <a:prstGeom prst="rect">
                    <a:avLst/>
                  </a:prstGeom>
                </pic:spPr>
              </pic:pic>
            </a:graphicData>
          </a:graphic>
        </wp:inline>
      </w:drawing>
    </w: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510E4" w:rsidRPr="000D6759" w:rsidRDefault="00F510E4" w:rsidP="00F510E4">
    <w:pPr>
      <w:spacing w:line="184" w:lineRule="exact"/>
      <w:ind w:left="20"/>
      <w:rPr>
        <w:sz w:val="16"/>
        <w:szCs w:val="16"/>
      </w:rPr>
    </w:pPr>
    <w:r w:rsidRPr="000D6759">
      <w:rPr>
        <w:rFonts w:cs="Segoe UI"/>
        <w:sz w:val="16"/>
        <w:szCs w:val="16"/>
      </w:rPr>
      <w:fldChar w:fldCharType="begin"/>
    </w:r>
    <w:r w:rsidRPr="000D6759">
      <w:rPr>
        <w:rFonts w:cs="Segoe UI"/>
        <w:sz w:val="16"/>
        <w:szCs w:val="16"/>
      </w:rPr>
      <w:instrText xml:space="preserve"> PAGE  \* Arabic  \* MERGEFORMAT </w:instrText>
    </w:r>
    <w:r w:rsidRPr="000D6759">
      <w:rPr>
        <w:rFonts w:cs="Segoe UI"/>
        <w:sz w:val="16"/>
        <w:szCs w:val="16"/>
      </w:rPr>
      <w:fldChar w:fldCharType="separate"/>
    </w:r>
    <w:r w:rsidR="0084452B">
      <w:rPr>
        <w:rFonts w:cs="Segoe UI"/>
        <w:noProof/>
        <w:sz w:val="16"/>
        <w:szCs w:val="16"/>
      </w:rPr>
      <w:t>2</w:t>
    </w:r>
    <w:r w:rsidRPr="000D6759">
      <w:rPr>
        <w:rFonts w:cs="Segoe UI"/>
        <w:sz w:val="16"/>
        <w:szCs w:val="16"/>
      </w:rPr>
      <w:fldChar w:fldCharType="end"/>
    </w:r>
    <w:r w:rsidRPr="000D6759">
      <w:rPr>
        <w:rFonts w:cs="Segoe UI"/>
        <w:noProof/>
        <w:sz w:val="16"/>
        <w:szCs w:val="16"/>
      </w:rPr>
      <w:t xml:space="preserve">. </w:t>
    </w:r>
    <w:r w:rsidRPr="000D6759">
      <w:rPr>
        <w:sz w:val="16"/>
        <w:szCs w:val="16"/>
      </w:rPr>
      <w:t>Fact</w:t>
    </w:r>
    <w:r w:rsidRPr="000D6759">
      <w:rPr>
        <w:spacing w:val="-6"/>
        <w:sz w:val="16"/>
        <w:szCs w:val="16"/>
      </w:rPr>
      <w:t xml:space="preserve"> </w:t>
    </w:r>
    <w:r w:rsidRPr="000D6759">
      <w:rPr>
        <w:sz w:val="16"/>
        <w:szCs w:val="16"/>
      </w:rPr>
      <w:t>sheet—</w:t>
    </w:r>
    <w:r w:rsidRPr="000D6759">
      <w:rPr>
        <w:spacing w:val="-5"/>
        <w:sz w:val="16"/>
        <w:szCs w:val="16"/>
      </w:rPr>
      <w:t xml:space="preserve"> </w:t>
    </w:r>
    <w:r w:rsidRPr="000D6759">
      <w:rPr>
        <w:sz w:val="16"/>
        <w:szCs w:val="16"/>
      </w:rPr>
      <w:t>International</w:t>
    </w:r>
    <w:r w:rsidRPr="000D6759">
      <w:rPr>
        <w:spacing w:val="-3"/>
        <w:sz w:val="16"/>
        <w:szCs w:val="16"/>
      </w:rPr>
      <w:t xml:space="preserve"> </w:t>
    </w:r>
    <w:r w:rsidRPr="000D6759">
      <w:rPr>
        <w:sz w:val="16"/>
        <w:szCs w:val="16"/>
      </w:rPr>
      <w:t>comparison</w:t>
    </w:r>
    <w:r w:rsidRPr="000D6759">
      <w:rPr>
        <w:spacing w:val="-5"/>
        <w:sz w:val="16"/>
        <w:szCs w:val="16"/>
      </w:rPr>
      <w:t xml:space="preserve"> </w:t>
    </w:r>
    <w:r w:rsidRPr="000D6759">
      <w:rPr>
        <w:sz w:val="16"/>
        <w:szCs w:val="16"/>
      </w:rPr>
      <w:t>of</w:t>
    </w:r>
    <w:r w:rsidRPr="000D6759">
      <w:rPr>
        <w:spacing w:val="-6"/>
        <w:sz w:val="16"/>
        <w:szCs w:val="16"/>
      </w:rPr>
      <w:t xml:space="preserve"> </w:t>
    </w:r>
    <w:r w:rsidRPr="000D6759">
      <w:rPr>
        <w:sz w:val="16"/>
        <w:szCs w:val="16"/>
      </w:rPr>
      <w:t>fixed</w:t>
    </w:r>
    <w:r w:rsidRPr="000D6759">
      <w:rPr>
        <w:spacing w:val="-5"/>
        <w:sz w:val="16"/>
        <w:szCs w:val="16"/>
      </w:rPr>
      <w:t xml:space="preserve"> </w:t>
    </w:r>
    <w:r w:rsidRPr="000D6759">
      <w:rPr>
        <w:sz w:val="16"/>
        <w:szCs w:val="16"/>
      </w:rPr>
      <w:t>broadband</w:t>
    </w:r>
    <w:r w:rsidRPr="000D6759">
      <w:rPr>
        <w:spacing w:val="-5"/>
        <w:sz w:val="16"/>
        <w:szCs w:val="16"/>
      </w:rPr>
      <w:t xml:space="preserve"> </w:t>
    </w:r>
    <w:r w:rsidRPr="000D6759">
      <w:rPr>
        <w:sz w:val="16"/>
        <w:szCs w:val="16"/>
      </w:rPr>
      <w:t>performance—Migration</w:t>
    </w:r>
    <w:r w:rsidRPr="000D6759">
      <w:rPr>
        <w:spacing w:val="-5"/>
        <w:sz w:val="16"/>
        <w:szCs w:val="16"/>
      </w:rPr>
      <w:t xml:space="preserve"> </w:t>
    </w:r>
    <w:r w:rsidRPr="000D6759">
      <w:rPr>
        <w:sz w:val="16"/>
        <w:szCs w:val="16"/>
      </w:rPr>
      <w:t>to</w:t>
    </w:r>
    <w:r w:rsidRPr="000D6759">
      <w:rPr>
        <w:spacing w:val="-5"/>
        <w:sz w:val="16"/>
        <w:szCs w:val="16"/>
      </w:rPr>
      <w:t xml:space="preserve"> </w:t>
    </w:r>
    <w:r w:rsidRPr="000D6759">
      <w:rPr>
        <w:sz w:val="16"/>
        <w:szCs w:val="16"/>
      </w:rPr>
      <w:t>higher</w:t>
    </w:r>
    <w:r w:rsidRPr="000D6759">
      <w:rPr>
        <w:spacing w:val="-6"/>
        <w:sz w:val="16"/>
        <w:szCs w:val="16"/>
      </w:rPr>
      <w:t xml:space="preserve"> </w:t>
    </w:r>
    <w:r w:rsidRPr="000D6759">
      <w:rPr>
        <w:sz w:val="16"/>
        <w:szCs w:val="16"/>
      </w:rPr>
      <w:t>speed</w:t>
    </w:r>
    <w:r w:rsidRPr="000D6759">
      <w:rPr>
        <w:spacing w:val="-3"/>
        <w:sz w:val="16"/>
        <w:szCs w:val="16"/>
      </w:rPr>
      <w:t xml:space="preserve"> </w:t>
    </w:r>
    <w:r w:rsidRPr="000D6759">
      <w:rPr>
        <w:sz w:val="16"/>
        <w:szCs w:val="16"/>
      </w:rPr>
      <w:t>plans—December</w:t>
    </w:r>
    <w:r w:rsidRPr="000D6759">
      <w:rPr>
        <w:spacing w:val="-6"/>
        <w:sz w:val="16"/>
        <w:szCs w:val="16"/>
      </w:rPr>
      <w:t xml:space="preserve"> </w:t>
    </w:r>
    <w:r w:rsidRPr="000D6759">
      <w:rPr>
        <w:sz w:val="16"/>
        <w:szCs w:val="16"/>
      </w:rPr>
      <w:t>2020</w:t>
    </w:r>
  </w:p>
  <w:p w:rsidR="00F510E4" w:rsidRPr="00E668A5" w:rsidRDefault="00F510E4" w:rsidP="00F510E4">
    <w:pPr>
      <w:pStyle w:val="Footer"/>
      <w:ind w:left="-851"/>
    </w:pPr>
    <w:r>
      <w:rPr>
        <w:noProof/>
        <w:lang w:val="en-AU" w:eastAsia="en-AU"/>
      </w:rPr>
      <w:drawing>
        <wp:inline distT="0" distB="0" distL="0" distR="0" wp14:anchorId="59C204D9" wp14:editId="0340E2A3">
          <wp:extent cx="7560000" cy="129834"/>
          <wp:effectExtent l="0" t="0" r="0" b="3810"/>
          <wp:docPr id="99" name="image3.png" descr="Decorativ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image3.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29834"/>
                  </a:xfrm>
                  <a:prstGeom prst="rect">
                    <a:avLst/>
                  </a:prstGeom>
                </pic:spPr>
              </pic:pic>
            </a:graphicData>
          </a:graphic>
        </wp:inline>
      </w:drawing>
    </w:r>
  </w:p>
</w:ftr>
</file>

<file path=word/footer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510E4" w:rsidRPr="000D6759" w:rsidRDefault="00F510E4" w:rsidP="00F510E4">
    <w:pPr>
      <w:spacing w:line="184" w:lineRule="exact"/>
      <w:ind w:left="20"/>
      <w:rPr>
        <w:sz w:val="16"/>
        <w:szCs w:val="16"/>
      </w:rPr>
    </w:pPr>
    <w:r w:rsidRPr="000D6759">
      <w:rPr>
        <w:rFonts w:cs="Segoe UI"/>
        <w:sz w:val="16"/>
        <w:szCs w:val="16"/>
      </w:rPr>
      <w:fldChar w:fldCharType="begin"/>
    </w:r>
    <w:r w:rsidRPr="000D6759">
      <w:rPr>
        <w:rFonts w:cs="Segoe UI"/>
        <w:sz w:val="16"/>
        <w:szCs w:val="16"/>
      </w:rPr>
      <w:instrText xml:space="preserve"> PAGE  \* Arabic  \* MERGEFORMAT </w:instrText>
    </w:r>
    <w:r w:rsidRPr="000D6759">
      <w:rPr>
        <w:rFonts w:cs="Segoe UI"/>
        <w:sz w:val="16"/>
        <w:szCs w:val="16"/>
      </w:rPr>
      <w:fldChar w:fldCharType="separate"/>
    </w:r>
    <w:r w:rsidR="0084452B">
      <w:rPr>
        <w:rFonts w:cs="Segoe UI"/>
        <w:noProof/>
        <w:sz w:val="16"/>
        <w:szCs w:val="16"/>
      </w:rPr>
      <w:t>2</w:t>
    </w:r>
    <w:r w:rsidRPr="000D6759">
      <w:rPr>
        <w:rFonts w:cs="Segoe UI"/>
        <w:sz w:val="16"/>
        <w:szCs w:val="16"/>
      </w:rPr>
      <w:fldChar w:fldCharType="end"/>
    </w:r>
    <w:r w:rsidRPr="000D6759">
      <w:rPr>
        <w:rFonts w:cs="Segoe UI"/>
        <w:noProof/>
        <w:sz w:val="16"/>
        <w:szCs w:val="16"/>
      </w:rPr>
      <w:t xml:space="preserve">. </w:t>
    </w:r>
    <w:r w:rsidRPr="000D6759">
      <w:rPr>
        <w:sz w:val="16"/>
        <w:szCs w:val="16"/>
      </w:rPr>
      <w:t>Fact sheet— International comparison of fixed broadband performance—data consumption—December 202</w:t>
    </w:r>
    <w:r>
      <w:rPr>
        <w:sz w:val="16"/>
        <w:szCs w:val="16"/>
      </w:rPr>
      <w:t>0</w:t>
    </w:r>
  </w:p>
  <w:p w:rsidR="00F510E4" w:rsidRPr="00E668A5" w:rsidRDefault="00F510E4" w:rsidP="00F510E4">
    <w:pPr>
      <w:pStyle w:val="Footer"/>
      <w:ind w:left="-851"/>
    </w:pPr>
    <w:r>
      <w:rPr>
        <w:noProof/>
        <w:lang w:val="en-AU" w:eastAsia="en-AU"/>
      </w:rPr>
      <w:drawing>
        <wp:inline distT="0" distB="0" distL="0" distR="0" wp14:anchorId="46F82CEC" wp14:editId="39E044F5">
          <wp:extent cx="7560000" cy="129834"/>
          <wp:effectExtent l="0" t="0" r="0" b="3810"/>
          <wp:docPr id="101" name="image3.png" descr="Decorativ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image3.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29834"/>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95744" w:rsidRDefault="00760C5B">
      <w:r>
        <w:separator/>
      </w:r>
    </w:p>
  </w:footnote>
  <w:footnote w:type="continuationSeparator" w:id="0">
    <w:p w:rsidR="00A95744" w:rsidRDefault="00760C5B">
      <w:r>
        <w:continuationSeparator/>
      </w:r>
    </w:p>
  </w:footnote>
  <w:footnote w:id="1">
    <w:p w:rsidR="004608AC" w:rsidRPr="004608AC" w:rsidRDefault="004608AC">
      <w:pPr>
        <w:pStyle w:val="FootnoteText"/>
        <w:rPr>
          <w:lang w:val="en-AU"/>
        </w:rPr>
      </w:pPr>
      <w:r>
        <w:rPr>
          <w:rStyle w:val="FootnoteReference"/>
        </w:rPr>
        <w:footnoteRef/>
      </w:r>
      <w:r>
        <w:t xml:space="preserve"> </w:t>
      </w:r>
      <w:r w:rsidRPr="004608AC">
        <w:t>The ‘digital divide’ refers to gaps in access to information and communication technology contributing to poorer outcomes amongst some cohorts.</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B3304" w:rsidRDefault="002B3304" w:rsidP="002B3304">
    <w:pPr>
      <w:pStyle w:val="Header"/>
      <w:ind w:left="-851"/>
    </w:pPr>
    <w:r>
      <w:rPr>
        <w:noProof/>
        <w:lang w:val="en-AU" w:eastAsia="en-AU"/>
      </w:rPr>
      <w:drawing>
        <wp:inline distT="0" distB="0" distL="0" distR="0">
          <wp:extent cx="8105775" cy="1077560"/>
          <wp:effectExtent l="0" t="0" r="0" b="8890"/>
          <wp:docPr id="81" name="image2.jpeg" descr="Decorativ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2.jpeg"/>
                  <pic:cNvPicPr/>
                </pic:nvPicPr>
                <pic:blipFill>
                  <a:blip r:embed="rId1" cstate="print">
                    <a:extLst>
                      <a:ext uri="{28A0092B-C50C-407E-A947-70E740481C1C}">
                        <a14:useLocalDpi xmlns:a14="http://schemas.microsoft.com/office/drawing/2010/main" val="0"/>
                      </a:ext>
                    </a:extLst>
                  </a:blip>
                  <a:stretch>
                    <a:fillRect/>
                  </a:stretch>
                </pic:blipFill>
                <pic:spPr>
                  <a:xfrm>
                    <a:off x="0" y="0"/>
                    <a:ext cx="8105775" cy="1077560"/>
                  </a:xfrm>
                  <a:prstGeom prst="rect">
                    <a:avLst/>
                  </a:prstGeom>
                </pic:spPr>
              </pic:pic>
            </a:graphicData>
          </a:graphic>
        </wp:inline>
      </w:drawing>
    </w:r>
  </w:p>
  <w:p w:rsidR="002B3304" w:rsidRPr="002B3304" w:rsidRDefault="002B3304" w:rsidP="002B3304">
    <w:pPr>
      <w:pStyle w:val="Header"/>
      <w:ind w:left="-851"/>
      <w:jc w:val="right"/>
    </w:pPr>
    <w:r w:rsidRPr="002B3304">
      <w:t>November 2020</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608AC" w:rsidRDefault="004608AC" w:rsidP="004608AC">
    <w:pPr>
      <w:pStyle w:val="Header"/>
      <w:ind w:left="-851"/>
    </w:pPr>
    <w:r>
      <w:rPr>
        <w:noProof/>
        <w:lang w:val="en-AU" w:eastAsia="en-AU"/>
      </w:rPr>
      <w:drawing>
        <wp:inline distT="0" distB="0" distL="0" distR="0" wp14:anchorId="00A1A10A" wp14:editId="53ABBFC5">
          <wp:extent cx="8105775" cy="1077560"/>
          <wp:effectExtent l="0" t="0" r="0" b="8890"/>
          <wp:docPr id="95" name="image2.jpeg" descr="Decorativ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2.jpeg"/>
                  <pic:cNvPicPr/>
                </pic:nvPicPr>
                <pic:blipFill>
                  <a:blip r:embed="rId1" cstate="print">
                    <a:extLst>
                      <a:ext uri="{28A0092B-C50C-407E-A947-70E740481C1C}">
                        <a14:useLocalDpi xmlns:a14="http://schemas.microsoft.com/office/drawing/2010/main" val="0"/>
                      </a:ext>
                    </a:extLst>
                  </a:blip>
                  <a:stretch>
                    <a:fillRect/>
                  </a:stretch>
                </pic:blipFill>
                <pic:spPr>
                  <a:xfrm>
                    <a:off x="0" y="0"/>
                    <a:ext cx="8105775" cy="1077560"/>
                  </a:xfrm>
                  <a:prstGeom prst="rect">
                    <a:avLst/>
                  </a:prstGeom>
                </pic:spPr>
              </pic:pic>
            </a:graphicData>
          </a:graphic>
        </wp:inline>
      </w:drawing>
    </w:r>
  </w:p>
  <w:p w:rsidR="004608AC" w:rsidRPr="002B3304" w:rsidRDefault="004608AC" w:rsidP="004608AC">
    <w:pPr>
      <w:pStyle w:val="Header"/>
      <w:ind w:left="-851"/>
      <w:jc w:val="right"/>
    </w:pPr>
    <w:r w:rsidRPr="002B3304">
      <w:t>November 2020</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B3304" w:rsidRDefault="002B3304">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B3304" w:rsidRDefault="002B3304">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B3304" w:rsidRDefault="002B3304">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B3304" w:rsidRDefault="002B3304">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B3304" w:rsidRDefault="002B3304">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B3304" w:rsidRDefault="002B330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DCA60C1"/>
    <w:multiLevelType w:val="hybridMultilevel"/>
    <w:tmpl w:val="141CDC04"/>
    <w:lvl w:ilvl="0" w:tplc="17824E72">
      <w:numFmt w:val="bullet"/>
      <w:lvlText w:val=""/>
      <w:lvlJc w:val="left"/>
      <w:pPr>
        <w:ind w:left="1126" w:hanging="567"/>
      </w:pPr>
      <w:rPr>
        <w:rFonts w:ascii="Symbol" w:eastAsia="Symbol" w:hAnsi="Symbol" w:cs="Symbol" w:hint="default"/>
        <w:w w:val="99"/>
        <w:sz w:val="20"/>
        <w:szCs w:val="20"/>
      </w:rPr>
    </w:lvl>
    <w:lvl w:ilvl="1" w:tplc="FA9236B6">
      <w:numFmt w:val="bullet"/>
      <w:lvlText w:val="•"/>
      <w:lvlJc w:val="left"/>
      <w:pPr>
        <w:ind w:left="2060" w:hanging="567"/>
      </w:pPr>
      <w:rPr>
        <w:rFonts w:hint="default"/>
      </w:rPr>
    </w:lvl>
    <w:lvl w:ilvl="2" w:tplc="36C6BE6A">
      <w:numFmt w:val="bullet"/>
      <w:lvlText w:val="•"/>
      <w:lvlJc w:val="left"/>
      <w:pPr>
        <w:ind w:left="3001" w:hanging="567"/>
      </w:pPr>
      <w:rPr>
        <w:rFonts w:hint="default"/>
      </w:rPr>
    </w:lvl>
    <w:lvl w:ilvl="3" w:tplc="8D9409B8">
      <w:numFmt w:val="bullet"/>
      <w:lvlText w:val="•"/>
      <w:lvlJc w:val="left"/>
      <w:pPr>
        <w:ind w:left="3941" w:hanging="567"/>
      </w:pPr>
      <w:rPr>
        <w:rFonts w:hint="default"/>
      </w:rPr>
    </w:lvl>
    <w:lvl w:ilvl="4" w:tplc="3E06BE2A">
      <w:numFmt w:val="bullet"/>
      <w:lvlText w:val="•"/>
      <w:lvlJc w:val="left"/>
      <w:pPr>
        <w:ind w:left="4882" w:hanging="567"/>
      </w:pPr>
      <w:rPr>
        <w:rFonts w:hint="default"/>
      </w:rPr>
    </w:lvl>
    <w:lvl w:ilvl="5" w:tplc="F76231BC">
      <w:numFmt w:val="bullet"/>
      <w:lvlText w:val="•"/>
      <w:lvlJc w:val="left"/>
      <w:pPr>
        <w:ind w:left="5823" w:hanging="567"/>
      </w:pPr>
      <w:rPr>
        <w:rFonts w:hint="default"/>
      </w:rPr>
    </w:lvl>
    <w:lvl w:ilvl="6" w:tplc="46AED136">
      <w:numFmt w:val="bullet"/>
      <w:lvlText w:val="•"/>
      <w:lvlJc w:val="left"/>
      <w:pPr>
        <w:ind w:left="6763" w:hanging="567"/>
      </w:pPr>
      <w:rPr>
        <w:rFonts w:hint="default"/>
      </w:rPr>
    </w:lvl>
    <w:lvl w:ilvl="7" w:tplc="8C5AECEA">
      <w:numFmt w:val="bullet"/>
      <w:lvlText w:val="•"/>
      <w:lvlJc w:val="left"/>
      <w:pPr>
        <w:ind w:left="7704" w:hanging="567"/>
      </w:pPr>
      <w:rPr>
        <w:rFonts w:hint="default"/>
      </w:rPr>
    </w:lvl>
    <w:lvl w:ilvl="8" w:tplc="8EC48D8A">
      <w:numFmt w:val="bullet"/>
      <w:lvlText w:val="•"/>
      <w:lvlJc w:val="left"/>
      <w:pPr>
        <w:ind w:left="8645" w:hanging="567"/>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36AAD"/>
    <w:rsid w:val="000705ED"/>
    <w:rsid w:val="002B3304"/>
    <w:rsid w:val="00325AD4"/>
    <w:rsid w:val="004608AC"/>
    <w:rsid w:val="004B1042"/>
    <w:rsid w:val="00656245"/>
    <w:rsid w:val="00760C5B"/>
    <w:rsid w:val="00802A55"/>
    <w:rsid w:val="0084452B"/>
    <w:rsid w:val="008D5EE1"/>
    <w:rsid w:val="00936AAD"/>
    <w:rsid w:val="00A95744"/>
    <w:rsid w:val="00E668A5"/>
    <w:rsid w:val="00E72819"/>
    <w:rsid w:val="00F510E4"/>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EADF82D"/>
  <w15:docId w15:val="{69327351-0B2F-48EE-9A63-7E0C7A7C5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E72819"/>
    <w:rPr>
      <w:rFonts w:ascii="Calibri" w:eastAsia="Calibri" w:hAnsi="Calibri" w:cs="Calibri"/>
    </w:rPr>
  </w:style>
  <w:style w:type="paragraph" w:styleId="Heading1">
    <w:name w:val="heading 1"/>
    <w:basedOn w:val="Normal"/>
    <w:uiPriority w:val="1"/>
    <w:qFormat/>
    <w:pPr>
      <w:ind w:left="140"/>
      <w:outlineLvl w:val="0"/>
    </w:pPr>
    <w:rPr>
      <w:b/>
      <w:bCs/>
      <w:sz w:val="52"/>
      <w:szCs w:val="52"/>
    </w:rPr>
  </w:style>
  <w:style w:type="paragraph" w:styleId="Heading2">
    <w:name w:val="heading 2"/>
    <w:basedOn w:val="Normal"/>
    <w:uiPriority w:val="1"/>
    <w:qFormat/>
    <w:pPr>
      <w:spacing w:before="233"/>
      <w:ind w:left="140"/>
      <w:outlineLvl w:val="1"/>
    </w:pPr>
    <w:rPr>
      <w:sz w:val="40"/>
      <w:szCs w:val="40"/>
    </w:rPr>
  </w:style>
  <w:style w:type="paragraph" w:styleId="Heading3">
    <w:name w:val="heading 3"/>
    <w:basedOn w:val="Normal"/>
    <w:uiPriority w:val="1"/>
    <w:qFormat/>
    <w:pPr>
      <w:spacing w:before="100"/>
      <w:ind w:left="560"/>
      <w:outlineLvl w:val="2"/>
    </w:pPr>
    <w:rPr>
      <w:rFonts w:ascii="Segoe UI Semibold" w:eastAsia="Segoe UI Semibold" w:hAnsi="Segoe UI Semibold" w:cs="Segoe UI Semibold"/>
      <w:sz w:val="36"/>
      <w:szCs w:val="36"/>
    </w:rPr>
  </w:style>
  <w:style w:type="paragraph" w:styleId="Heading4">
    <w:name w:val="heading 4"/>
    <w:basedOn w:val="Normal"/>
    <w:uiPriority w:val="1"/>
    <w:qFormat/>
    <w:pPr>
      <w:spacing w:before="121"/>
      <w:ind w:left="560"/>
      <w:outlineLvl w:val="3"/>
    </w:pPr>
    <w:rPr>
      <w:rFonts w:ascii="Segoe UI Semibold" w:eastAsia="Segoe UI Semibold" w:hAnsi="Segoe UI Semibold" w:cs="Segoe UI Semibold"/>
      <w:sz w:val="32"/>
      <w:szCs w:val="32"/>
    </w:rPr>
  </w:style>
  <w:style w:type="paragraph" w:styleId="Heading5">
    <w:name w:val="heading 5"/>
    <w:basedOn w:val="Normal"/>
    <w:uiPriority w:val="1"/>
    <w:qFormat/>
    <w:pPr>
      <w:spacing w:before="120"/>
      <w:ind w:left="140"/>
      <w:outlineLvl w:val="4"/>
    </w:pPr>
    <w:rPr>
      <w:b/>
      <w:bCs/>
      <w:sz w:val="26"/>
      <w:szCs w:val="26"/>
    </w:rPr>
  </w:style>
  <w:style w:type="paragraph" w:styleId="Heading6">
    <w:name w:val="heading 6"/>
    <w:basedOn w:val="Normal"/>
    <w:uiPriority w:val="1"/>
    <w:qFormat/>
    <w:pPr>
      <w:spacing w:before="198"/>
      <w:ind w:left="560"/>
      <w:outlineLvl w:val="5"/>
    </w:pPr>
    <w:rPr>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rFonts w:ascii="Segoe UI" w:eastAsia="Segoe UI" w:hAnsi="Segoe UI" w:cs="Segoe UI"/>
      <w:sz w:val="20"/>
      <w:szCs w:val="20"/>
    </w:rPr>
  </w:style>
  <w:style w:type="paragraph" w:styleId="ListParagraph">
    <w:name w:val="List Paragraph"/>
    <w:basedOn w:val="Normal"/>
    <w:uiPriority w:val="1"/>
    <w:qFormat/>
    <w:pPr>
      <w:spacing w:before="119"/>
      <w:ind w:left="1126" w:right="632" w:hanging="567"/>
    </w:pPr>
    <w:rPr>
      <w:rFonts w:ascii="Segoe UI" w:eastAsia="Segoe UI" w:hAnsi="Segoe UI" w:cs="Segoe UI"/>
    </w:rPr>
  </w:style>
  <w:style w:type="paragraph" w:customStyle="1" w:styleId="TableParagraph">
    <w:name w:val="Table Paragraph"/>
    <w:basedOn w:val="Normal"/>
    <w:uiPriority w:val="1"/>
    <w:qFormat/>
    <w:pPr>
      <w:spacing w:before="84"/>
    </w:pPr>
    <w:rPr>
      <w:rFonts w:ascii="Segoe UI" w:eastAsia="Segoe UI" w:hAnsi="Segoe UI" w:cs="Segoe UI"/>
    </w:rPr>
  </w:style>
  <w:style w:type="paragraph" w:styleId="Header">
    <w:name w:val="header"/>
    <w:basedOn w:val="Normal"/>
    <w:link w:val="HeaderChar"/>
    <w:uiPriority w:val="99"/>
    <w:unhideWhenUsed/>
    <w:rsid w:val="002B3304"/>
    <w:pPr>
      <w:tabs>
        <w:tab w:val="center" w:pos="4513"/>
        <w:tab w:val="right" w:pos="9026"/>
      </w:tabs>
    </w:pPr>
  </w:style>
  <w:style w:type="character" w:customStyle="1" w:styleId="HeaderChar">
    <w:name w:val="Header Char"/>
    <w:basedOn w:val="DefaultParagraphFont"/>
    <w:link w:val="Header"/>
    <w:uiPriority w:val="99"/>
    <w:rsid w:val="002B3304"/>
    <w:rPr>
      <w:rFonts w:ascii="Calibri" w:eastAsia="Calibri" w:hAnsi="Calibri" w:cs="Calibri"/>
    </w:rPr>
  </w:style>
  <w:style w:type="paragraph" w:styleId="Footer">
    <w:name w:val="footer"/>
    <w:basedOn w:val="Normal"/>
    <w:link w:val="FooterChar"/>
    <w:uiPriority w:val="99"/>
    <w:unhideWhenUsed/>
    <w:rsid w:val="002B3304"/>
    <w:pPr>
      <w:tabs>
        <w:tab w:val="center" w:pos="4513"/>
        <w:tab w:val="right" w:pos="9026"/>
      </w:tabs>
    </w:pPr>
  </w:style>
  <w:style w:type="character" w:customStyle="1" w:styleId="FooterChar">
    <w:name w:val="Footer Char"/>
    <w:basedOn w:val="DefaultParagraphFont"/>
    <w:link w:val="Footer"/>
    <w:uiPriority w:val="99"/>
    <w:rsid w:val="002B3304"/>
    <w:rPr>
      <w:rFonts w:ascii="Calibri" w:eastAsia="Calibri" w:hAnsi="Calibri" w:cs="Calibri"/>
    </w:rPr>
  </w:style>
  <w:style w:type="paragraph" w:styleId="FootnoteText">
    <w:name w:val="footnote text"/>
    <w:basedOn w:val="Normal"/>
    <w:link w:val="FootnoteTextChar"/>
    <w:uiPriority w:val="99"/>
    <w:semiHidden/>
    <w:unhideWhenUsed/>
    <w:rsid w:val="004608AC"/>
    <w:rPr>
      <w:sz w:val="20"/>
      <w:szCs w:val="20"/>
    </w:rPr>
  </w:style>
  <w:style w:type="character" w:customStyle="1" w:styleId="FootnoteTextChar">
    <w:name w:val="Footnote Text Char"/>
    <w:basedOn w:val="DefaultParagraphFont"/>
    <w:link w:val="FootnoteText"/>
    <w:uiPriority w:val="99"/>
    <w:semiHidden/>
    <w:rsid w:val="004608AC"/>
    <w:rPr>
      <w:rFonts w:ascii="Calibri" w:eastAsia="Calibri" w:hAnsi="Calibri" w:cs="Calibri"/>
      <w:sz w:val="20"/>
      <w:szCs w:val="20"/>
    </w:rPr>
  </w:style>
  <w:style w:type="character" w:styleId="FootnoteReference">
    <w:name w:val="footnote reference"/>
    <w:basedOn w:val="DefaultParagraphFont"/>
    <w:uiPriority w:val="99"/>
    <w:semiHidden/>
    <w:unhideWhenUsed/>
    <w:rsid w:val="004608AC"/>
    <w:rPr>
      <w:vertAlign w:val="superscript"/>
    </w:rPr>
  </w:style>
  <w:style w:type="paragraph" w:customStyle="1" w:styleId="Normal-smallheadingstyle">
    <w:name w:val="Normal - small heading style"/>
    <w:uiPriority w:val="1"/>
    <w:qFormat/>
    <w:rsid w:val="00656245"/>
    <w:pPr>
      <w:spacing w:before="239"/>
      <w:ind w:left="142" w:right="34"/>
    </w:pPr>
    <w:rPr>
      <w:rFonts w:ascii="Calibri" w:eastAsia="Calibri" w:hAnsi="Calibri" w:cs="Calibri"/>
      <w:color w:val="0066AB"/>
      <w:sz w:val="24"/>
      <w:szCs w:val="24"/>
    </w:rPr>
  </w:style>
  <w:style w:type="paragraph" w:customStyle="1" w:styleId="Heading2thisdocument">
    <w:name w:val="Heading 2 this document"/>
    <w:uiPriority w:val="1"/>
    <w:qFormat/>
    <w:rsid w:val="004B1042"/>
    <w:pPr>
      <w:keepNext/>
      <w:spacing w:before="200" w:after="120"/>
      <w:ind w:left="567"/>
      <w:outlineLvl w:val="1"/>
    </w:pPr>
    <w:rPr>
      <w:rFonts w:ascii="Segoe UI Semibold" w:eastAsia="Segoe UI Semibold" w:hAnsi="Segoe UI Semibold" w:cs="Segoe UI Semibold"/>
      <w:b/>
      <w:color w:val="002D72"/>
      <w:sz w:val="36"/>
      <w:szCs w:val="36"/>
    </w:rPr>
  </w:style>
  <w:style w:type="paragraph" w:customStyle="1" w:styleId="Heading3thisdocument">
    <w:name w:val="Heading 3 this document"/>
    <w:uiPriority w:val="1"/>
    <w:qFormat/>
    <w:rsid w:val="004B1042"/>
    <w:pPr>
      <w:keepNext/>
      <w:spacing w:before="120" w:after="120"/>
      <w:ind w:left="567"/>
    </w:pPr>
    <w:rPr>
      <w:rFonts w:ascii="Segoe UI Semibold" w:eastAsia="Calibri" w:hAnsi="Calibri" w:cs="Calibri"/>
      <w:b/>
      <w:color w:val="002D72"/>
      <w:sz w:val="24"/>
      <w:szCs w:val="24"/>
    </w:rPr>
  </w:style>
  <w:style w:type="paragraph" w:customStyle="1" w:styleId="Heading3thisdocument2">
    <w:name w:val="Heading 3 this document 2"/>
    <w:uiPriority w:val="1"/>
    <w:qFormat/>
    <w:rsid w:val="004B1042"/>
    <w:pPr>
      <w:keepNext/>
      <w:spacing w:line="517" w:lineRule="exact"/>
      <w:ind w:left="142"/>
      <w:outlineLvl w:val="2"/>
    </w:pPr>
    <w:rPr>
      <w:rFonts w:ascii="Calibri" w:eastAsia="Calibri" w:hAnsi="Calibri" w:cs="Calibri"/>
      <w:b/>
      <w:color w:val="081E3E"/>
      <w:sz w:val="44"/>
    </w:rPr>
  </w:style>
  <w:style w:type="paragraph" w:customStyle="1" w:styleId="Heading4thisdocument">
    <w:name w:val="Heading 4 this document"/>
    <w:basedOn w:val="Normal"/>
    <w:uiPriority w:val="1"/>
    <w:qFormat/>
    <w:rsid w:val="004B1042"/>
    <w:pPr>
      <w:keepNext/>
      <w:spacing w:before="119"/>
      <w:ind w:left="142"/>
      <w:outlineLvl w:val="3"/>
    </w:pPr>
    <w:rPr>
      <w:b/>
      <w:color w:val="64646A"/>
      <w:sz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www.pmc.gov.au/" TargetMode="External"/><Relationship Id="rId18" Type="http://schemas.openxmlformats.org/officeDocument/2006/relationships/footer" Target="footer3.xml"/><Relationship Id="rId26" Type="http://schemas.openxmlformats.org/officeDocument/2006/relationships/footer" Target="footer5.xml"/><Relationship Id="rId39" Type="http://schemas.openxmlformats.org/officeDocument/2006/relationships/image" Target="media/image15.png"/><Relationship Id="rId3" Type="http://schemas.openxmlformats.org/officeDocument/2006/relationships/styles" Target="styles.xml"/><Relationship Id="rId21" Type="http://schemas.openxmlformats.org/officeDocument/2006/relationships/header" Target="header3.xml"/><Relationship Id="rId34" Type="http://schemas.openxmlformats.org/officeDocument/2006/relationships/image" Target="media/image12.png"/><Relationship Id="rId42" Type="http://schemas.openxmlformats.org/officeDocument/2006/relationships/image" Target="media/image17.png"/><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hyperlink" Target="http://www.arts.gov.au/" TargetMode="External"/><Relationship Id="rId25" Type="http://schemas.openxmlformats.org/officeDocument/2006/relationships/header" Target="header4.xml"/><Relationship Id="rId33" Type="http://schemas.openxmlformats.org/officeDocument/2006/relationships/header" Target="header6.xml"/><Relationship Id="rId38" Type="http://schemas.openxmlformats.org/officeDocument/2006/relationships/footer" Target="footer7.xml"/><Relationship Id="rId2" Type="http://schemas.openxmlformats.org/officeDocument/2006/relationships/numbering" Target="numbering.xml"/><Relationship Id="rId16" Type="http://schemas.openxmlformats.org/officeDocument/2006/relationships/hyperlink" Target="http://www.communications.gov.au/" TargetMode="External"/><Relationship Id="rId20" Type="http://schemas.openxmlformats.org/officeDocument/2006/relationships/image" Target="media/image4.jpeg"/><Relationship Id="rId29" Type="http://schemas.openxmlformats.org/officeDocument/2006/relationships/image" Target="media/image10.png"/><Relationship Id="rId41" Type="http://schemas.openxmlformats.org/officeDocument/2006/relationships/image" Target="media/image16.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image" Target="media/image7.png"/><Relationship Id="rId32" Type="http://schemas.openxmlformats.org/officeDocument/2006/relationships/image" Target="media/image11.png"/><Relationship Id="rId37" Type="http://schemas.openxmlformats.org/officeDocument/2006/relationships/header" Target="header7.xml"/><Relationship Id="rId40" Type="http://schemas.openxmlformats.org/officeDocument/2006/relationships/header" Target="header8.xml"/><Relationship Id="rId45"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www.infrastructure.gov.au/" TargetMode="External"/><Relationship Id="rId23" Type="http://schemas.openxmlformats.org/officeDocument/2006/relationships/image" Target="media/image6.png"/><Relationship Id="rId28" Type="http://schemas.openxmlformats.org/officeDocument/2006/relationships/image" Target="media/image9.png"/><Relationship Id="rId36" Type="http://schemas.openxmlformats.org/officeDocument/2006/relationships/image" Target="media/image14.png"/><Relationship Id="rId10" Type="http://schemas.openxmlformats.org/officeDocument/2006/relationships/header" Target="header1.xml"/><Relationship Id="rId19" Type="http://schemas.openxmlformats.org/officeDocument/2006/relationships/image" Target="media/image3.png"/><Relationship Id="rId31" Type="http://schemas.openxmlformats.org/officeDocument/2006/relationships/footer" Target="footer6.xml"/><Relationship Id="rId44"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mailto:publishing@communications.gov.au" TargetMode="External"/><Relationship Id="rId22" Type="http://schemas.openxmlformats.org/officeDocument/2006/relationships/footer" Target="footer4.xml"/><Relationship Id="rId27" Type="http://schemas.openxmlformats.org/officeDocument/2006/relationships/image" Target="media/image8.png"/><Relationship Id="rId30" Type="http://schemas.openxmlformats.org/officeDocument/2006/relationships/header" Target="header5.xml"/><Relationship Id="rId35" Type="http://schemas.openxmlformats.org/officeDocument/2006/relationships/image" Target="media/image13.png"/><Relationship Id="rId43" Type="http://schemas.openxmlformats.org/officeDocument/2006/relationships/image" Target="media/image18.png"/></Relationships>
</file>

<file path=word/_rels/footer4.xml.rels><?xml version="1.0" encoding="UTF-8" standalone="yes"?>
<Relationships xmlns="http://schemas.openxmlformats.org/package/2006/relationships"><Relationship Id="rId1" Type="http://schemas.openxmlformats.org/officeDocument/2006/relationships/image" Target="media/image5.png"/></Relationships>
</file>

<file path=word/_rels/footer5.xml.rels><?xml version="1.0" encoding="UTF-8" standalone="yes"?>
<Relationships xmlns="http://schemas.openxmlformats.org/package/2006/relationships"><Relationship Id="rId1" Type="http://schemas.openxmlformats.org/officeDocument/2006/relationships/image" Target="media/image5.png"/></Relationships>
</file>

<file path=word/_rels/footer6.xml.rels><?xml version="1.0" encoding="UTF-8" standalone="yes"?>
<Relationships xmlns="http://schemas.openxmlformats.org/package/2006/relationships"><Relationship Id="rId1" Type="http://schemas.openxmlformats.org/officeDocument/2006/relationships/image" Target="media/image5.png"/></Relationships>
</file>

<file path=word/_rels/footer7.xml.rels><?xml version="1.0" encoding="UTF-8" standalone="yes"?>
<Relationships xmlns="http://schemas.openxmlformats.org/package/2006/relationships"><Relationship Id="rId1" Type="http://schemas.openxmlformats.org/officeDocument/2006/relationships/image" Target="media/image5.png"/></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A2440DA-D0E7-48B5-8FDE-036780A9C0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87</TotalTime>
  <Pages>11</Pages>
  <Words>3913</Words>
  <Characters>21642</Characters>
  <Application>Microsoft Office Word</Application>
  <DocSecurity>0</DocSecurity>
  <Lines>618</Lines>
  <Paragraphs>176</Paragraphs>
  <ScaleCrop>false</ScaleCrop>
  <HeadingPairs>
    <vt:vector size="2" baseType="variant">
      <vt:variant>
        <vt:lpstr>Title</vt:lpstr>
      </vt:variant>
      <vt:variant>
        <vt:i4>1</vt:i4>
      </vt:variant>
    </vt:vector>
  </HeadingPairs>
  <TitlesOfParts>
    <vt:vector size="1" baseType="lpstr">
      <vt:lpstr>Measuring Australia's fixed broadband performance—compendium</vt:lpstr>
    </vt:vector>
  </TitlesOfParts>
  <Company>Department of Infrastructure, Transport, Regional Development and Communications</Company>
  <LinksUpToDate>false</LinksUpToDate>
  <CharactersWithSpaces>25379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Measuring Australia's fixed broadband performance—compendium</dc:title>
  <dc:creator>Department of Infrastructure, Transport, Regional Development and Communications</dc:creator>
  <cp:lastModifiedBy>Hall, Theresa</cp:lastModifiedBy>
  <cp:revision>8</cp:revision>
  <dcterms:created xsi:type="dcterms:W3CDTF">2020-12-18T01:13:00Z</dcterms:created>
  <dcterms:modified xsi:type="dcterms:W3CDTF">2020-12-18T03:05:00Z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2020-12-18T00:00:00Z</vt:filetime>
  </property>
  <property fmtid="{D5CDD505-2E9C-101B-9397-08002B2CF9AE}" pid="3" name="Creator">
    <vt:lpwstr>Adobe Acrobat Pro DC 20.13.20064</vt:lpwstr>
  </property>
  <property fmtid="{D5CDD505-2E9C-101B-9397-08002B2CF9AE}" pid="4" name="LastSaved">
    <vt:filetime>2020-12-18T00:00:00Z</vt:filetime>
  </property>
</Properties>
</file>