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FB86C" w14:textId="77777777" w:rsidR="008456D5" w:rsidRDefault="007A05BE" w:rsidP="00450D0E">
      <w:r>
        <w:rPr>
          <w:noProof/>
          <w:lang w:eastAsia="en-AU"/>
        </w:rPr>
        <w:drawing>
          <wp:inline distT="0" distB="0" distL="0" distR="0" wp14:anchorId="1A284433" wp14:editId="15CD13F3">
            <wp:extent cx="3138924" cy="792000"/>
            <wp:effectExtent l="0" t="0" r="0" b="0"/>
            <wp:docPr id="5" name="Picture 5" descr="Australian Government. Department of Infrastructure, Transport, Regional Development and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 Department of Infrastructure, Transport, Regional Development and Communications."/>
                    <pic:cNvPicPr/>
                  </pic:nvPicPr>
                  <pic:blipFill rotWithShape="1">
                    <a:blip r:embed="rId12" cstate="print">
                      <a:extLst>
                        <a:ext uri="{28A0092B-C50C-407E-A947-70E740481C1C}">
                          <a14:useLocalDpi xmlns:a14="http://schemas.microsoft.com/office/drawing/2010/main" val="0"/>
                        </a:ext>
                      </a:extLst>
                    </a:blip>
                    <a:srcRect t="-2" b="-20056"/>
                    <a:stretch/>
                  </pic:blipFill>
                  <pic:spPr bwMode="auto">
                    <a:xfrm>
                      <a:off x="0" y="0"/>
                      <a:ext cx="3150000" cy="794795"/>
                    </a:xfrm>
                    <a:prstGeom prst="rect">
                      <a:avLst/>
                    </a:prstGeom>
                    <a:ln>
                      <a:noFill/>
                    </a:ln>
                    <a:extLst>
                      <a:ext uri="{53640926-AAD7-44D8-BBD7-CCE9431645EC}">
                        <a14:shadowObscured xmlns:a14="http://schemas.microsoft.com/office/drawing/2010/main"/>
                      </a:ext>
                    </a:extLst>
                  </pic:spPr>
                </pic:pic>
              </a:graphicData>
            </a:graphic>
          </wp:inline>
        </w:drawing>
      </w:r>
      <w:r w:rsidR="009D02D4">
        <w:tab/>
      </w:r>
      <w:r w:rsidR="0093419E">
        <w:rPr>
          <w:noProof/>
          <w:lang w:eastAsia="en-AU"/>
        </w:rPr>
        <w:drawing>
          <wp:inline distT="0" distB="0" distL="0" distR="0" wp14:anchorId="77830653" wp14:editId="78968F11">
            <wp:extent cx="2948688" cy="959020"/>
            <wp:effectExtent l="0" t="0" r="4445" b="0"/>
            <wp:docPr id="13" name="Picture 13" descr="cid:image002.png@01D6B821.D7222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6B821.D72228E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971091" cy="966306"/>
                    </a:xfrm>
                    <a:prstGeom prst="rect">
                      <a:avLst/>
                    </a:prstGeom>
                    <a:noFill/>
                    <a:ln>
                      <a:noFill/>
                    </a:ln>
                  </pic:spPr>
                </pic:pic>
              </a:graphicData>
            </a:graphic>
          </wp:inline>
        </w:drawing>
      </w:r>
    </w:p>
    <w:p w14:paraId="28D2ED97" w14:textId="77777777" w:rsidR="007A0008" w:rsidRPr="006C7A57" w:rsidRDefault="000C1781" w:rsidP="006C7A57">
      <w:pPr>
        <w:pStyle w:val="Heading1"/>
      </w:pPr>
      <w:r w:rsidRPr="006C7A57">
        <w:t>Internation</w:t>
      </w:r>
      <w:bookmarkStart w:id="0" w:name="_GoBack"/>
      <w:bookmarkEnd w:id="0"/>
      <w:r w:rsidRPr="006C7A57">
        <w:t>al comparison of fixed broadband performance</w:t>
      </w:r>
    </w:p>
    <w:p w14:paraId="3EF17221" w14:textId="31474CED" w:rsidR="00DE4FE2" w:rsidRPr="00E038FE" w:rsidRDefault="00F94A87" w:rsidP="00BE3AD8">
      <w:pPr>
        <w:pStyle w:val="Subtitle"/>
        <w:rPr>
          <w:color w:val="0066AB"/>
          <w:sz w:val="40"/>
          <w:szCs w:val="40"/>
        </w:rPr>
      </w:pPr>
      <w:r>
        <w:rPr>
          <w:color w:val="0066AB"/>
          <w:sz w:val="40"/>
          <w:szCs w:val="40"/>
        </w:rPr>
        <w:t>Migration to higher speed plans</w:t>
      </w:r>
    </w:p>
    <w:sdt>
      <w:sdtPr>
        <w:alias w:val="Publish Date"/>
        <w:tag w:val=""/>
        <w:id w:val="452527336"/>
        <w:placeholder>
          <w:docPart w:val="5D32CD39AEB244D9A026AAECB7BB6233"/>
        </w:placeholder>
        <w:dataBinding w:prefixMappings="xmlns:ns0='http://schemas.microsoft.com/office/2006/coverPageProps' " w:xpath="/ns0:CoverPageProperties[1]/ns0:PublishDate[1]" w:storeItemID="{55AF091B-3C7A-41E3-B477-F2FDAA23CFDA}"/>
        <w:date w:fullDate="2020-12-01T00:00:00Z">
          <w:dateFormat w:val="MMMM yyyy"/>
          <w:lid w:val="en-AU"/>
          <w:storeMappedDataAs w:val="dateTime"/>
          <w:calendar w:val="gregorian"/>
        </w:date>
      </w:sdtPr>
      <w:sdtEndPr/>
      <w:sdtContent>
        <w:p w14:paraId="4FB41F46" w14:textId="77777777" w:rsidR="00DE4FE2" w:rsidRDefault="00F94A87" w:rsidP="00F20BD4">
          <w:pPr>
            <w:pStyle w:val="CoverDate"/>
            <w:spacing w:before="120" w:after="0"/>
          </w:pPr>
          <w:r>
            <w:t xml:space="preserve">December </w:t>
          </w:r>
          <w:r w:rsidR="00546218">
            <w:t>2020</w:t>
          </w:r>
        </w:p>
      </w:sdtContent>
    </w:sdt>
    <w:p w14:paraId="4C209E9D" w14:textId="77777777" w:rsidR="00DE4FE2" w:rsidRDefault="00DE4FE2" w:rsidP="00D02062">
      <w:pPr>
        <w:pBdr>
          <w:bottom w:val="single" w:sz="4" w:space="1" w:color="C0D48F" w:themeColor="accent5"/>
        </w:pBdr>
      </w:pPr>
    </w:p>
    <w:p w14:paraId="1A71D33D" w14:textId="77777777" w:rsidR="00E95BA5" w:rsidRDefault="00E95BA5" w:rsidP="006C7A57">
      <w:pPr>
        <w:pStyle w:val="Heading1"/>
        <w:sectPr w:rsidR="00E95BA5" w:rsidSect="00E038FE">
          <w:headerReference w:type="default" r:id="rId15"/>
          <w:footerReference w:type="default" r:id="rId16"/>
          <w:footerReference w:type="first" r:id="rId17"/>
          <w:pgSz w:w="11906" w:h="16838" w:code="9"/>
          <w:pgMar w:top="1021" w:right="1021" w:bottom="1021" w:left="1021" w:header="510" w:footer="0" w:gutter="0"/>
          <w:cols w:space="708"/>
          <w:titlePg/>
          <w:docGrid w:linePitch="360"/>
          <w15:footnoteColumns w:val="1"/>
        </w:sectPr>
      </w:pPr>
      <w:bookmarkStart w:id="1" w:name="_Toc49855348"/>
    </w:p>
    <w:bookmarkEnd w:id="1"/>
    <w:p w14:paraId="1BC19BB6" w14:textId="77777777" w:rsidR="005F794B" w:rsidRPr="005F794B" w:rsidRDefault="00617611" w:rsidP="006C7A57">
      <w:pPr>
        <w:pStyle w:val="Heading2"/>
      </w:pPr>
      <w:r>
        <w:t>Role of fixed broadband</w:t>
      </w:r>
    </w:p>
    <w:p w14:paraId="6D7F52B5" w14:textId="77777777" w:rsidR="006A5F22" w:rsidRPr="00E038FE" w:rsidRDefault="00096BFE" w:rsidP="005F794B">
      <w:pPr>
        <w:pStyle w:val="Introduction"/>
        <w:rPr>
          <w:color w:val="0066AB"/>
          <w:sz w:val="24"/>
          <w:szCs w:val="24"/>
          <w:lang w:val="en-AU"/>
        </w:rPr>
      </w:pPr>
      <w:r w:rsidRPr="00E038FE">
        <w:rPr>
          <w:color w:val="0066AB"/>
          <w:sz w:val="24"/>
          <w:szCs w:val="24"/>
          <w:lang w:val="en-AU"/>
        </w:rPr>
        <w:t>Fixed broadband</w:t>
      </w:r>
      <w:r w:rsidR="006A5F22" w:rsidRPr="00E038FE">
        <w:rPr>
          <w:color w:val="0066AB"/>
          <w:sz w:val="24"/>
          <w:szCs w:val="24"/>
          <w:lang w:val="en-AU"/>
        </w:rPr>
        <w:t xml:space="preserve"> </w:t>
      </w:r>
      <w:r w:rsidRPr="00E038FE">
        <w:rPr>
          <w:color w:val="0066AB"/>
          <w:sz w:val="24"/>
          <w:szCs w:val="24"/>
          <w:lang w:val="en-AU"/>
        </w:rPr>
        <w:t xml:space="preserve">plays a vital role in connecting Australians, and </w:t>
      </w:r>
      <w:r w:rsidR="006A5F22" w:rsidRPr="00E038FE">
        <w:rPr>
          <w:color w:val="0066AB"/>
          <w:sz w:val="24"/>
          <w:szCs w:val="24"/>
          <w:lang w:val="en-AU"/>
        </w:rPr>
        <w:t>it is</w:t>
      </w:r>
      <w:r w:rsidRPr="00E038FE">
        <w:rPr>
          <w:color w:val="0066AB"/>
          <w:sz w:val="24"/>
          <w:szCs w:val="24"/>
          <w:lang w:val="en-AU"/>
        </w:rPr>
        <w:t xml:space="preserve"> important that the performance of Australia’s fixed broadband infrastructure is known and comparable to our international peers.</w:t>
      </w:r>
    </w:p>
    <w:p w14:paraId="4894CF6E" w14:textId="77777777" w:rsidR="00F94A87" w:rsidRDefault="006A5F22" w:rsidP="00F94A87">
      <w:r>
        <w:t xml:space="preserve">Fixed </w:t>
      </w:r>
      <w:r w:rsidR="00F94A87">
        <w:t xml:space="preserve">broadband, including both fixed-line and wireless connections to fixed locations, plays a vital role in connecting Australians. There has been significant public investment to develop fixed broadband infrastructure with the rollout of the NBN. Therefore it is important that the performance of Australia’s fixed broadband infrastructure is known and can be compared to our international peers, especially in the COVID-19 environment. </w:t>
      </w:r>
    </w:p>
    <w:p w14:paraId="0FE69B89" w14:textId="0C0AA576" w:rsidR="006A5F22" w:rsidRPr="00096BFE" w:rsidRDefault="00F94A87" w:rsidP="00F94A87">
      <w:r>
        <w:t>This fact sheet outlines Australia’s fixed broadband performance on access to higher speeds and migration to higher speed services.</w:t>
      </w:r>
      <w:r>
        <w:rPr>
          <w:rStyle w:val="EndnoteReference"/>
        </w:rPr>
        <w:endnoteReference w:id="1"/>
      </w:r>
      <w:r>
        <w:t xml:space="preserve"> Further information on this and other broadband performance indicators, including how the comparison countries identified in the analysis were selected is provided in the paper </w:t>
      </w:r>
      <w:r w:rsidRPr="00F94A87">
        <w:rPr>
          <w:i/>
        </w:rPr>
        <w:t>Measuring Australia’s fixed broadband performance</w:t>
      </w:r>
      <w:r w:rsidR="004741BC">
        <w:t>.</w:t>
      </w:r>
      <w:r w:rsidR="00E90BDB">
        <w:rPr>
          <w:rStyle w:val="EndnoteReference"/>
        </w:rPr>
        <w:endnoteReference w:id="2"/>
      </w:r>
      <w:r w:rsidR="005D49C0">
        <w:t xml:space="preserve"> </w:t>
      </w:r>
    </w:p>
    <w:p w14:paraId="1CE991D1" w14:textId="77777777" w:rsidR="005F794B" w:rsidRPr="00E038FE" w:rsidRDefault="00AA208E" w:rsidP="00E038FE">
      <w:pPr>
        <w:pStyle w:val="Heading3"/>
      </w:pPr>
      <w:r w:rsidRPr="00E038FE">
        <w:t>Australia</w:t>
      </w:r>
      <w:r w:rsidR="00F94A87">
        <w:t>ns’ appetite for fixed broadband</w:t>
      </w:r>
    </w:p>
    <w:p w14:paraId="560B624B" w14:textId="3134F48D" w:rsidR="00F94A87" w:rsidRDefault="00F94A87" w:rsidP="00F94A87">
      <w:r>
        <w:t xml:space="preserve">Australians have demonstrated a strong appetite for fixed broadband services. From 2010 to 2019 household uptake of all types of fixed broadband services grew from 56 per cent to 88 per cent. Additionally, as the number of premises activated on the NBN has increased </w:t>
      </w:r>
      <w:r>
        <w:t>over the period 2013 to 2020, average s</w:t>
      </w:r>
      <w:r w:rsidR="008E4D24">
        <w:t>peeds have increased threefold.</w:t>
      </w:r>
    </w:p>
    <w:p w14:paraId="5794E4BE" w14:textId="622DEE45" w:rsidR="002E6A18" w:rsidRDefault="00F94A87" w:rsidP="008E4D24">
      <w:pPr>
        <w:spacing w:before="840"/>
      </w:pPr>
      <w:r>
        <w:t xml:space="preserve">Coverage based on the percentage of premises able to </w:t>
      </w:r>
      <w:proofErr w:type="gramStart"/>
      <w:r>
        <w:t>access</w:t>
      </w:r>
      <w:proofErr w:type="gramEnd"/>
      <w:r>
        <w:t xml:space="preserve"> fixed broadband download speeds of at least 25 Mbps is approximately 99.3 per cent.</w:t>
      </w:r>
      <w:r>
        <w:rPr>
          <w:rStyle w:val="EndnoteReference"/>
        </w:rPr>
        <w:endnoteReference w:id="3"/>
      </w:r>
      <w:r w:rsidR="005D49C0">
        <w:t xml:space="preserve"> </w:t>
      </w:r>
      <w:r>
        <w:t>Australia is ranked 1</w:t>
      </w:r>
      <w:r w:rsidRPr="00F94A87">
        <w:rPr>
          <w:vertAlign w:val="superscript"/>
        </w:rPr>
        <w:t xml:space="preserve">st </w:t>
      </w:r>
      <w:r>
        <w:t>out of 15 comparable countries on this measure (chart 1)</w:t>
      </w:r>
      <w:r w:rsidR="00995CA6">
        <w:t>.</w:t>
      </w:r>
    </w:p>
    <w:p w14:paraId="29419AE2" w14:textId="77777777" w:rsidR="00277F48" w:rsidRDefault="00F94A87" w:rsidP="008E4D24">
      <w:pPr>
        <w:keepLines/>
        <w:spacing w:after="0"/>
      </w:pPr>
      <w:r>
        <w:rPr>
          <w:noProof/>
          <w:lang w:eastAsia="en-AU"/>
        </w:rPr>
        <w:drawing>
          <wp:inline distT="0" distB="0" distL="0" distR="0" wp14:anchorId="42FB7530" wp14:editId="59D25E6D">
            <wp:extent cx="3168650" cy="2896473"/>
            <wp:effectExtent l="0" t="0" r="0" b="0"/>
            <wp:docPr id="1" name="Picture 1" descr="Chart 1: Household access - fixed broadband speeds of at least 25-30 Mbps&#10;&#10;This chart shows the percentage of households able to access broadband speeds of at least 25 to 30 megabits per second in each of the identified countries listed, which includes in order of ranking from left to right Australia, Switzerland, Belgium, Denmark, the USA, Canada, the UK, Italy, Ireland, Germany, Norway, Austria, Sweden, Finland and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178778" cy="2905731"/>
                    </a:xfrm>
                    <a:prstGeom prst="rect">
                      <a:avLst/>
                    </a:prstGeom>
                  </pic:spPr>
                </pic:pic>
              </a:graphicData>
            </a:graphic>
          </wp:inline>
        </w:drawing>
      </w:r>
      <w:r w:rsidRPr="00F20BD4">
        <w:rPr>
          <w:sz w:val="18"/>
          <w:szCs w:val="18"/>
        </w:rPr>
        <w:t xml:space="preserve"> Source: Various, PwC analysis.</w:t>
      </w:r>
      <w:r>
        <w:rPr>
          <w:sz w:val="18"/>
          <w:szCs w:val="18"/>
        </w:rPr>
        <w:t xml:space="preserve"> NBN data used for Australia</w:t>
      </w:r>
      <w:r w:rsidRPr="00B56CEB">
        <w:rPr>
          <w:sz w:val="18"/>
          <w:szCs w:val="18"/>
        </w:rPr>
        <w:t>.</w:t>
      </w:r>
      <w:r>
        <w:rPr>
          <w:sz w:val="18"/>
          <w:szCs w:val="18"/>
        </w:rPr>
        <w:t xml:space="preserve"> </w:t>
      </w:r>
      <w:r w:rsidRPr="00FE2D4B">
        <w:rPr>
          <w:sz w:val="18"/>
          <w:szCs w:val="18"/>
        </w:rPr>
        <w:t>Speed tiers differ by country. To enable international comparison this statistic reports the level of coverage based on a minimum speed of 25 Mbps or 30 Mbps</w:t>
      </w:r>
      <w:r>
        <w:rPr>
          <w:sz w:val="18"/>
          <w:szCs w:val="18"/>
        </w:rPr>
        <w:t>.</w:t>
      </w:r>
    </w:p>
    <w:p w14:paraId="54DF87FF" w14:textId="3B133DC2" w:rsidR="00F94A87" w:rsidRPr="00E038FE" w:rsidRDefault="00F94A87" w:rsidP="008E4D24">
      <w:pPr>
        <w:pStyle w:val="Heading3"/>
        <w:keepLines w:val="0"/>
      </w:pPr>
      <w:r w:rsidRPr="00E038FE">
        <w:lastRenderedPageBreak/>
        <w:t>A</w:t>
      </w:r>
      <w:r>
        <w:t xml:space="preserve"> shift to higher speeds</w:t>
      </w:r>
    </w:p>
    <w:p w14:paraId="1E712ECF" w14:textId="77777777" w:rsidR="00794349" w:rsidRDefault="00F94A87" w:rsidP="008E4D24">
      <w:pPr>
        <w:keepLines/>
      </w:pPr>
      <w:r>
        <w:t xml:space="preserve">Australians </w:t>
      </w:r>
      <w:r w:rsidRPr="00F94A87">
        <w:t>are embracing higher speed plans over time, which is reflected in increases in wholesale and retail subscriptions. As at June 2020, almost 70 per cent of NBN fixed subscriptions were for plans with download speeds of at least 50 Mbps, up from around 16 per cent in June 2016 (chart 2)</w:t>
      </w:r>
      <w:r w:rsidR="00995CA6">
        <w:t>.</w:t>
      </w:r>
    </w:p>
    <w:p w14:paraId="771D879F" w14:textId="77777777" w:rsidR="00C20976" w:rsidRDefault="00F94A87" w:rsidP="00E038FE">
      <w:r>
        <w:rPr>
          <w:noProof/>
          <w:lang w:eastAsia="en-AU"/>
        </w:rPr>
        <w:drawing>
          <wp:inline distT="0" distB="0" distL="0" distR="0" wp14:anchorId="734FCBC6" wp14:editId="5CC2114F">
            <wp:extent cx="2954305" cy="1943100"/>
            <wp:effectExtent l="0" t="0" r="0" b="0"/>
            <wp:docPr id="2" name="Picture 2" descr="Chart 2: Share of fixed subscriptions that are 50 megabits or higher plans&#10;&#10;This chart shows the percentage of fixed broadband subscriptions that are to services of at least 50 megabits per second in Australia, in each of the years over the period 2016 to 2020. It indicates consistent growth over this period, from less than 20 per cent of subscriptions having minimum 50 mbps speeds in 2016, to almost 70 per cent of subscriptions being to speeds of at least 50 mbps in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60926" cy="1947455"/>
                    </a:xfrm>
                    <a:prstGeom prst="rect">
                      <a:avLst/>
                    </a:prstGeom>
                  </pic:spPr>
                </pic:pic>
              </a:graphicData>
            </a:graphic>
          </wp:inline>
        </w:drawing>
      </w:r>
      <w:r w:rsidRPr="00F94A87">
        <w:rPr>
          <w:sz w:val="18"/>
          <w:szCs w:val="18"/>
        </w:rPr>
        <w:t xml:space="preserve"> </w:t>
      </w:r>
      <w:r w:rsidRPr="00B23B30">
        <w:rPr>
          <w:sz w:val="18"/>
          <w:szCs w:val="18"/>
        </w:rPr>
        <w:t>Source: ACCC Wholesale Market Indicators reports.</w:t>
      </w:r>
    </w:p>
    <w:p w14:paraId="42E8E974" w14:textId="2407466F" w:rsidR="00804FD3" w:rsidRDefault="00F94A87" w:rsidP="00E038FE">
      <w:pPr>
        <w:keepNext/>
        <w:keepLines/>
      </w:pPr>
      <w:r>
        <w:t>Similarly</w:t>
      </w:r>
      <w:r w:rsidRPr="00F94A87">
        <w:t>, at September 2020 around 70 per cent of all NBN wholesale subscriptions were for plans with download speeds of at least 50 Mbps, up from less than 40 per cent in early 2018. There has been a corresponding decline in the share of households subscribing to comparatively lower speed plans, indicating a pattern of migration to higher speed services (chart 3)</w:t>
      </w:r>
      <w:r>
        <w:t>.</w:t>
      </w:r>
      <w:r>
        <w:rPr>
          <w:rStyle w:val="EndnoteReference"/>
        </w:rPr>
        <w:endnoteReference w:id="4"/>
      </w:r>
    </w:p>
    <w:p w14:paraId="7C50E95E" w14:textId="77777777" w:rsidR="008B5AD0" w:rsidRDefault="00F94A87" w:rsidP="008E4D24">
      <w:pPr>
        <w:rPr>
          <w:sz w:val="18"/>
          <w:szCs w:val="18"/>
        </w:rPr>
      </w:pPr>
      <w:r>
        <w:rPr>
          <w:noProof/>
          <w:lang w:eastAsia="en-AU"/>
        </w:rPr>
        <w:drawing>
          <wp:inline distT="0" distB="0" distL="0" distR="0" wp14:anchorId="326139FC" wp14:editId="32E1F4DF">
            <wp:extent cx="2770053" cy="2314575"/>
            <wp:effectExtent l="0" t="0" r="0" b="0"/>
            <wp:docPr id="3" name="Picture 3" descr="Chart 3: Migration to higher speed plans&#10;&#10;Chart 3 shows trends in the percentage of subscriptions to services of at least 50 megabits per second over the period March 2018 to September 2020, in comparison to the trend in the percentage of subscriptions to services of 25 megabits per second or lower over the same period. Subscriptions to the higher speed plans have increased over time, surpassing subscriptions to the lower speed plans around lat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81429" cy="2324080"/>
                    </a:xfrm>
                    <a:prstGeom prst="rect">
                      <a:avLst/>
                    </a:prstGeom>
                  </pic:spPr>
                </pic:pic>
              </a:graphicData>
            </a:graphic>
          </wp:inline>
        </w:drawing>
      </w:r>
      <w:r w:rsidR="00FC0B63" w:rsidRPr="00B56CEB">
        <w:rPr>
          <w:sz w:val="18"/>
          <w:szCs w:val="18"/>
        </w:rPr>
        <w:t xml:space="preserve">Source: </w:t>
      </w:r>
      <w:r>
        <w:rPr>
          <w:sz w:val="18"/>
          <w:szCs w:val="18"/>
        </w:rPr>
        <w:t>NBN Co. Monthl</w:t>
      </w:r>
      <w:r w:rsidR="00813589">
        <w:rPr>
          <w:sz w:val="18"/>
          <w:szCs w:val="18"/>
        </w:rPr>
        <w:t>y progress reports</w:t>
      </w:r>
      <w:r w:rsidR="00B56CEB" w:rsidRPr="00B56CEB">
        <w:rPr>
          <w:sz w:val="18"/>
          <w:szCs w:val="18"/>
        </w:rPr>
        <w:t>.</w:t>
      </w:r>
    </w:p>
    <w:p w14:paraId="4715C05F" w14:textId="297D9148" w:rsidR="00813589" w:rsidRDefault="00813589" w:rsidP="008E4D24">
      <w:pPr>
        <w:keepNext/>
        <w:keepLines/>
      </w:pPr>
      <w:r>
        <w:t xml:space="preserve">This change has been in part due to NBN </w:t>
      </w:r>
      <w:proofErr w:type="spellStart"/>
      <w:r>
        <w:t>Co’s</w:t>
      </w:r>
      <w:proofErr w:type="spellEnd"/>
      <w:r>
        <w:t xml:space="preserve"> introduction of discounted bundled products which have allowed retailers to offer more affordable 50 Mbps and above products. </w:t>
      </w:r>
    </w:p>
    <w:p w14:paraId="2881D4DB" w14:textId="77777777" w:rsidR="00813589" w:rsidRDefault="00813589" w:rsidP="00813589">
      <w:pPr>
        <w:keepNext/>
      </w:pPr>
      <w:r>
        <w:t xml:space="preserve">Other factors include increased demand for higher speeds due to the increasing popularity of video streaming services, a greater number of internet-connected household devices and the increased importance of home internet due to the impact of the COVID-19 pandemic. </w:t>
      </w:r>
    </w:p>
    <w:p w14:paraId="17CF8EF5" w14:textId="77777777" w:rsidR="00813589" w:rsidRDefault="00813589" w:rsidP="00813589">
      <w:pPr>
        <w:keepNext/>
      </w:pPr>
      <w:r>
        <w:t>Australia ranks 6</w:t>
      </w:r>
      <w:r w:rsidRPr="00E90BDB">
        <w:rPr>
          <w:vertAlign w:val="superscript"/>
        </w:rPr>
        <w:t>th</w:t>
      </w:r>
      <w:r>
        <w:t xml:space="preserve"> amongst peer countries in terms of the proportion of households on speeds equal to or greater than 25 Mbps. Around 84 per cent of households have subscriptions that fall within this speed range in Australia (chart 4).</w:t>
      </w:r>
      <w:r>
        <w:rPr>
          <w:rStyle w:val="EndnoteReference"/>
        </w:rPr>
        <w:endnoteReference w:id="5"/>
      </w:r>
    </w:p>
    <w:p w14:paraId="10AC05BA" w14:textId="35B4D86F" w:rsidR="00813589" w:rsidRDefault="00D765A7" w:rsidP="00813589">
      <w:pPr>
        <w:keepNext/>
      </w:pPr>
      <w:r>
        <w:rPr>
          <w:noProof/>
          <w:lang w:eastAsia="en-AU"/>
        </w:rPr>
        <w:drawing>
          <wp:inline distT="0" distB="0" distL="0" distR="0" wp14:anchorId="308DFEC0" wp14:editId="57E8D52C">
            <wp:extent cx="2907030" cy="2775585"/>
            <wp:effectExtent l="0" t="0" r="7620" b="5715"/>
            <wp:docPr id="6" name="Picture 6" descr="Chart 4: Household subscriptions - percentage by speed tier&#10;&#10;This chart shows the percentage of fixed broadband subsciptions in each of three speed tiers for each of the countries indicated. The speed tiers are less than 25 megabits per second, 25 megabits per second or higher, and greater than 100 megabits per second. It indicates Australia has the highest share of subscriptions in the 25 megabits or greater category in comparison to the other countries listed , which include Belgium, New Zealand, Canada, Switzerland, Sweden, Ireland, the UK, the US, Norway, Denmark, Germany, Italy, Finland, Austria and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907030" cy="2775585"/>
                    </a:xfrm>
                    <a:prstGeom prst="rect">
                      <a:avLst/>
                    </a:prstGeom>
                  </pic:spPr>
                </pic:pic>
              </a:graphicData>
            </a:graphic>
          </wp:inline>
        </w:drawing>
      </w:r>
      <w:r>
        <w:rPr>
          <w:noProof/>
          <w:lang w:eastAsia="en-AU"/>
        </w:rPr>
        <w:t xml:space="preserve"> </w:t>
      </w:r>
    </w:p>
    <w:p w14:paraId="3264774E" w14:textId="77777777" w:rsidR="00E90BDB" w:rsidRDefault="00E90BDB" w:rsidP="00E90BDB">
      <w:pPr>
        <w:keepNext/>
        <w:rPr>
          <w:sz w:val="18"/>
          <w:szCs w:val="18"/>
        </w:rPr>
      </w:pPr>
      <w:r w:rsidRPr="00F20BD4">
        <w:rPr>
          <w:sz w:val="18"/>
          <w:szCs w:val="18"/>
        </w:rPr>
        <w:t xml:space="preserve">Source: </w:t>
      </w:r>
      <w:r w:rsidRPr="00FE2D4B">
        <w:rPr>
          <w:sz w:val="18"/>
          <w:szCs w:val="18"/>
        </w:rPr>
        <w:t>ACCC, OECD (2019 data) PwC analysis. Australia’s data is based on speed tiers using NBN services only, using the ACCC’s NBN Services in Operation RKR data (June 2020)</w:t>
      </w:r>
      <w:r>
        <w:rPr>
          <w:sz w:val="18"/>
          <w:szCs w:val="18"/>
        </w:rPr>
        <w:t>.</w:t>
      </w:r>
    </w:p>
    <w:sectPr w:rsidR="00E90BDB" w:rsidSect="00E038FE">
      <w:endnotePr>
        <w:numFmt w:val="decimal"/>
      </w:endnotePr>
      <w:type w:val="continuous"/>
      <w:pgSz w:w="11906" w:h="16838" w:code="9"/>
      <w:pgMar w:top="1021" w:right="1021" w:bottom="1021" w:left="1021" w:header="510" w:footer="0" w:gutter="0"/>
      <w:cols w:num="2" w:space="708"/>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58F20" w14:textId="77777777" w:rsidR="00CA3648" w:rsidRDefault="00CA3648" w:rsidP="008456D5">
      <w:pPr>
        <w:spacing w:before="0" w:after="0"/>
      </w:pPr>
      <w:r>
        <w:separator/>
      </w:r>
    </w:p>
  </w:endnote>
  <w:endnote w:type="continuationSeparator" w:id="0">
    <w:p w14:paraId="742B1C1C" w14:textId="77777777" w:rsidR="00CA3648" w:rsidRDefault="00CA3648" w:rsidP="008456D5">
      <w:pPr>
        <w:spacing w:before="0" w:after="0"/>
      </w:pPr>
      <w:r>
        <w:continuationSeparator/>
      </w:r>
    </w:p>
  </w:endnote>
  <w:endnote w:id="1">
    <w:p w14:paraId="14BCF2E0" w14:textId="77777777" w:rsidR="00F94A87" w:rsidRDefault="00F94A87">
      <w:pPr>
        <w:pStyle w:val="EndnoteText"/>
      </w:pPr>
      <w:r>
        <w:rPr>
          <w:rStyle w:val="EndnoteReference"/>
        </w:rPr>
        <w:endnoteRef/>
      </w:r>
      <w:r>
        <w:t xml:space="preserve"> </w:t>
      </w:r>
      <w:r w:rsidRPr="00F94A87">
        <w:rPr>
          <w:sz w:val="18"/>
          <w:szCs w:val="18"/>
        </w:rPr>
        <w:t>Information in this fact sheet draws on data available as at September 2020 for countries analysed, and may not always relate to the same period. ‘Speeds’ refer to wholesale speeds.</w:t>
      </w:r>
    </w:p>
  </w:endnote>
  <w:endnote w:id="2">
    <w:p w14:paraId="2FBE43C2" w14:textId="77777777" w:rsidR="00E90BDB" w:rsidRDefault="00E90BDB">
      <w:pPr>
        <w:pStyle w:val="EndnoteText"/>
      </w:pPr>
      <w:r>
        <w:rPr>
          <w:rStyle w:val="EndnoteReference"/>
        </w:rPr>
        <w:endnoteRef/>
      </w:r>
      <w:r>
        <w:t xml:space="preserve"> </w:t>
      </w:r>
      <w:r w:rsidRPr="00F94A87">
        <w:rPr>
          <w:sz w:val="18"/>
          <w:szCs w:val="18"/>
        </w:rPr>
        <w:t>Limitations on the availability of appropriate data means that for some measures, analysis of different subsets of countries from the list of identified peer countries was required</w:t>
      </w:r>
      <w:r>
        <w:rPr>
          <w:sz w:val="18"/>
          <w:szCs w:val="18"/>
        </w:rPr>
        <w:t>.</w:t>
      </w:r>
    </w:p>
  </w:endnote>
  <w:endnote w:id="3">
    <w:p w14:paraId="313A2EC9" w14:textId="77777777" w:rsidR="00F94A87" w:rsidRDefault="00F94A87">
      <w:pPr>
        <w:pStyle w:val="EndnoteText"/>
      </w:pPr>
      <w:r>
        <w:rPr>
          <w:rStyle w:val="EndnoteReference"/>
        </w:rPr>
        <w:endnoteRef/>
      </w:r>
      <w:r w:rsidR="00E90BDB" w:rsidRPr="00F94A87">
        <w:rPr>
          <w:sz w:val="18"/>
          <w:szCs w:val="18"/>
        </w:rPr>
        <w:t>Based on data available to the Department, NBN Co</w:t>
      </w:r>
      <w:r w:rsidRPr="00F94A87">
        <w:rPr>
          <w:sz w:val="18"/>
          <w:szCs w:val="18"/>
        </w:rPr>
        <w:t>.</w:t>
      </w:r>
    </w:p>
  </w:endnote>
  <w:endnote w:id="4">
    <w:p w14:paraId="2021AF89" w14:textId="77777777" w:rsidR="00F94A87" w:rsidRPr="00F94A87" w:rsidRDefault="00F94A87">
      <w:pPr>
        <w:pStyle w:val="EndnoteText"/>
        <w:rPr>
          <w:sz w:val="18"/>
          <w:szCs w:val="18"/>
        </w:rPr>
      </w:pPr>
      <w:r>
        <w:rPr>
          <w:rStyle w:val="EndnoteReference"/>
        </w:rPr>
        <w:endnoteRef/>
      </w:r>
      <w:r w:rsidR="00E90BDB" w:rsidRPr="00813589">
        <w:rPr>
          <w:sz w:val="18"/>
          <w:szCs w:val="18"/>
        </w:rPr>
        <w:t>Note this captures NBN wholesale plans only and includes both fixed and wireless connections</w:t>
      </w:r>
      <w:r w:rsidRPr="00F94A87">
        <w:rPr>
          <w:sz w:val="18"/>
          <w:szCs w:val="18"/>
        </w:rPr>
        <w:t>.</w:t>
      </w:r>
    </w:p>
  </w:endnote>
  <w:endnote w:id="5">
    <w:p w14:paraId="4757DE6E" w14:textId="77777777" w:rsidR="00813589" w:rsidRDefault="00813589">
      <w:pPr>
        <w:pStyle w:val="EndnoteText"/>
      </w:pPr>
      <w:r>
        <w:rPr>
          <w:rStyle w:val="EndnoteReference"/>
        </w:rPr>
        <w:endnoteRef/>
      </w:r>
      <w:r w:rsidR="00E90BDB">
        <w:rPr>
          <w:sz w:val="18"/>
          <w:szCs w:val="18"/>
        </w:rPr>
        <w:t>Refers to NBN subscriptions only</w:t>
      </w:r>
      <w:r w:rsidRPr="00813589">
        <w:rPr>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3A0EF" w14:textId="1559F0D6" w:rsidR="00E038FE" w:rsidRDefault="00E038FE" w:rsidP="008E4D24">
    <w:pPr>
      <w:pStyle w:val="Footer"/>
      <w:tabs>
        <w:tab w:val="clear" w:pos="9026"/>
        <w:tab w:val="right" w:pos="9781"/>
      </w:tabs>
      <w:spacing w:before="360" w:after="120"/>
    </w:pPr>
    <w:r w:rsidRPr="00E038FE">
      <w:t>Fact sheet—</w:t>
    </w:r>
    <w:r w:rsidR="008E4D24" w:rsidRPr="008E4D24">
      <w:t xml:space="preserve"> International comparison of fixed broadband performance—Migration to higher speed plans—December 2020</w:t>
    </w:r>
    <w:r w:rsidRPr="00E038FE">
      <w:tab/>
    </w:r>
    <w:sdt>
      <w:sdtPr>
        <w:id w:val="-1069572547"/>
        <w:docPartObj>
          <w:docPartGallery w:val="Page Numbers (Bottom of Page)"/>
          <w:docPartUnique/>
        </w:docPartObj>
      </w:sdtPr>
      <w:sdtEndPr/>
      <w:sdtContent>
        <w:r w:rsidRPr="00E038FE">
          <w:fldChar w:fldCharType="begin"/>
        </w:r>
        <w:r w:rsidRPr="00E038FE">
          <w:instrText xml:space="preserve"> PAGE   \* MERGEFORMAT </w:instrText>
        </w:r>
        <w:r w:rsidRPr="00E038FE">
          <w:fldChar w:fldCharType="separate"/>
        </w:r>
        <w:r w:rsidR="006C7A57">
          <w:rPr>
            <w:noProof/>
          </w:rPr>
          <w:t>2</w:t>
        </w:r>
        <w:r w:rsidRPr="00E038FE">
          <w:fldChar w:fldCharType="end"/>
        </w:r>
      </w:sdtContent>
    </w:sdt>
  </w:p>
  <w:p w14:paraId="1B41E591" w14:textId="77777777" w:rsidR="00E038FE" w:rsidRDefault="00E038FE" w:rsidP="00E038FE">
    <w:pPr>
      <w:pStyle w:val="Footer"/>
      <w:spacing w:before="120"/>
      <w:ind w:left="-993"/>
    </w:pPr>
    <w:r>
      <w:rPr>
        <w:noProof/>
        <w:lang w:eastAsia="en-AU"/>
      </w:rPr>
      <w:drawing>
        <wp:inline distT="0" distB="0" distL="0" distR="0" wp14:anchorId="25685A01" wp14:editId="2F519342">
          <wp:extent cx="7596000" cy="129912"/>
          <wp:effectExtent l="0" t="0" r="0" b="3810"/>
          <wp:docPr id="8" name="Picture 8"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6000" cy="12991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66CD6" w14:textId="2A1B7526" w:rsidR="00E038FE" w:rsidRDefault="00E038FE" w:rsidP="008E4D24">
    <w:pPr>
      <w:pStyle w:val="Footer"/>
      <w:tabs>
        <w:tab w:val="clear" w:pos="9026"/>
        <w:tab w:val="right" w:pos="9781"/>
      </w:tabs>
      <w:spacing w:before="360" w:after="120"/>
    </w:pPr>
    <w:r w:rsidRPr="00E038FE">
      <w:t>Fact sheet—</w:t>
    </w:r>
    <w:r w:rsidR="008E4D24" w:rsidRPr="008E4D24">
      <w:t xml:space="preserve"> International comparison of fixed broadband performance—Migration to higher speed plans—December 2020</w:t>
    </w:r>
    <w:r w:rsidRPr="00E038FE">
      <w:tab/>
    </w:r>
    <w:sdt>
      <w:sdtPr>
        <w:id w:val="-846480834"/>
        <w:docPartObj>
          <w:docPartGallery w:val="Page Numbers (Bottom of Page)"/>
          <w:docPartUnique/>
        </w:docPartObj>
      </w:sdtPr>
      <w:sdtEndPr/>
      <w:sdtContent>
        <w:r w:rsidRPr="00E038FE">
          <w:fldChar w:fldCharType="begin"/>
        </w:r>
        <w:r w:rsidRPr="00E038FE">
          <w:instrText xml:space="preserve"> PAGE   \* MERGEFORMAT </w:instrText>
        </w:r>
        <w:r w:rsidRPr="00E038FE">
          <w:fldChar w:fldCharType="separate"/>
        </w:r>
        <w:r w:rsidR="006C7A57">
          <w:rPr>
            <w:noProof/>
          </w:rPr>
          <w:t>1</w:t>
        </w:r>
        <w:r w:rsidRPr="00E038FE">
          <w:fldChar w:fldCharType="end"/>
        </w:r>
      </w:sdtContent>
    </w:sdt>
  </w:p>
  <w:p w14:paraId="437A4D7F" w14:textId="77777777" w:rsidR="00E038FE" w:rsidRDefault="00E038FE" w:rsidP="00E038FE">
    <w:pPr>
      <w:pStyle w:val="Footer"/>
      <w:spacing w:before="120"/>
      <w:ind w:left="-993"/>
    </w:pPr>
    <w:r>
      <w:rPr>
        <w:noProof/>
        <w:lang w:eastAsia="en-AU"/>
      </w:rPr>
      <w:drawing>
        <wp:inline distT="0" distB="0" distL="0" distR="0" wp14:anchorId="678B1BF9" wp14:editId="5EBD06DB">
          <wp:extent cx="7596000" cy="129912"/>
          <wp:effectExtent l="0" t="0" r="0" b="3810"/>
          <wp:docPr id="10" name="Picture 10"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6000" cy="12991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CC2DC" w14:textId="77777777" w:rsidR="00CA3648" w:rsidRPr="005912BE" w:rsidRDefault="00CA3648" w:rsidP="005912BE">
      <w:pPr>
        <w:spacing w:before="300"/>
        <w:rPr>
          <w:color w:val="4BB3B5" w:themeColor="accent2"/>
        </w:rPr>
      </w:pPr>
      <w:r>
        <w:rPr>
          <w:color w:val="4BB3B5" w:themeColor="accent2"/>
        </w:rPr>
        <w:t>----------</w:t>
      </w:r>
    </w:p>
  </w:footnote>
  <w:footnote w:type="continuationSeparator" w:id="0">
    <w:p w14:paraId="29CF5C14" w14:textId="77777777" w:rsidR="00CA3648" w:rsidRDefault="00CA3648" w:rsidP="008456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2749E" w14:textId="77777777" w:rsidR="007A05BE" w:rsidRDefault="007A05BE" w:rsidP="000C1781">
    <w:pPr>
      <w:pStyle w:val="Header"/>
      <w:spacing w:after="132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A51938"/>
    <w:multiLevelType w:val="multilevel"/>
    <w:tmpl w:val="298C34E4"/>
    <w:numStyleLink w:val="AppendixNumbers"/>
  </w:abstractNum>
  <w:abstractNum w:abstractNumId="14"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1"/>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648"/>
    <w:rsid w:val="0001430B"/>
    <w:rsid w:val="00096BFE"/>
    <w:rsid w:val="000C1781"/>
    <w:rsid w:val="000D1409"/>
    <w:rsid w:val="000E24BA"/>
    <w:rsid w:val="000E5674"/>
    <w:rsid w:val="001349C6"/>
    <w:rsid w:val="00151119"/>
    <w:rsid w:val="001556B6"/>
    <w:rsid w:val="001B7645"/>
    <w:rsid w:val="0021444E"/>
    <w:rsid w:val="002254D5"/>
    <w:rsid w:val="0022611D"/>
    <w:rsid w:val="0026422D"/>
    <w:rsid w:val="00277F48"/>
    <w:rsid w:val="00284164"/>
    <w:rsid w:val="002B3569"/>
    <w:rsid w:val="002B7197"/>
    <w:rsid w:val="002C4F6B"/>
    <w:rsid w:val="002E1ADA"/>
    <w:rsid w:val="002E6A18"/>
    <w:rsid w:val="003720E9"/>
    <w:rsid w:val="003A6F30"/>
    <w:rsid w:val="003A7ECB"/>
    <w:rsid w:val="003C625A"/>
    <w:rsid w:val="003E0406"/>
    <w:rsid w:val="003F775D"/>
    <w:rsid w:val="00420F04"/>
    <w:rsid w:val="00450D0E"/>
    <w:rsid w:val="004741BC"/>
    <w:rsid w:val="00474414"/>
    <w:rsid w:val="00477E77"/>
    <w:rsid w:val="004A095C"/>
    <w:rsid w:val="004C1A52"/>
    <w:rsid w:val="004D4E30"/>
    <w:rsid w:val="00501D48"/>
    <w:rsid w:val="00541213"/>
    <w:rsid w:val="00546218"/>
    <w:rsid w:val="005912BE"/>
    <w:rsid w:val="005C0101"/>
    <w:rsid w:val="005D49C0"/>
    <w:rsid w:val="005F794B"/>
    <w:rsid w:val="0061394F"/>
    <w:rsid w:val="00617611"/>
    <w:rsid w:val="00686A7B"/>
    <w:rsid w:val="006A266A"/>
    <w:rsid w:val="006A5F22"/>
    <w:rsid w:val="006C0309"/>
    <w:rsid w:val="006C2AFD"/>
    <w:rsid w:val="006C7A57"/>
    <w:rsid w:val="006E1ECA"/>
    <w:rsid w:val="006F3FD2"/>
    <w:rsid w:val="00756C9D"/>
    <w:rsid w:val="00794349"/>
    <w:rsid w:val="007A05BE"/>
    <w:rsid w:val="007B304B"/>
    <w:rsid w:val="00804FD3"/>
    <w:rsid w:val="008067A1"/>
    <w:rsid w:val="00812503"/>
    <w:rsid w:val="00813589"/>
    <w:rsid w:val="008456D5"/>
    <w:rsid w:val="0084634B"/>
    <w:rsid w:val="00854B98"/>
    <w:rsid w:val="008A1887"/>
    <w:rsid w:val="008B5AD0"/>
    <w:rsid w:val="008B6A81"/>
    <w:rsid w:val="008E2A0D"/>
    <w:rsid w:val="008E4D24"/>
    <w:rsid w:val="0093419E"/>
    <w:rsid w:val="00995CA6"/>
    <w:rsid w:val="009B00F2"/>
    <w:rsid w:val="009B68A2"/>
    <w:rsid w:val="009D02D4"/>
    <w:rsid w:val="00A070A2"/>
    <w:rsid w:val="00A95970"/>
    <w:rsid w:val="00A96DA6"/>
    <w:rsid w:val="00AA208E"/>
    <w:rsid w:val="00AD7703"/>
    <w:rsid w:val="00B04483"/>
    <w:rsid w:val="00B15410"/>
    <w:rsid w:val="00B24B23"/>
    <w:rsid w:val="00B26742"/>
    <w:rsid w:val="00B36EB7"/>
    <w:rsid w:val="00B42AC2"/>
    <w:rsid w:val="00B56CEB"/>
    <w:rsid w:val="00BA6587"/>
    <w:rsid w:val="00BB3AAC"/>
    <w:rsid w:val="00BE3AD8"/>
    <w:rsid w:val="00C20976"/>
    <w:rsid w:val="00C43CEC"/>
    <w:rsid w:val="00CA3648"/>
    <w:rsid w:val="00CD233E"/>
    <w:rsid w:val="00CE3E87"/>
    <w:rsid w:val="00CF6CFD"/>
    <w:rsid w:val="00D02062"/>
    <w:rsid w:val="00D37779"/>
    <w:rsid w:val="00D5655E"/>
    <w:rsid w:val="00D765A7"/>
    <w:rsid w:val="00DA17D2"/>
    <w:rsid w:val="00DE4362"/>
    <w:rsid w:val="00DE4FE2"/>
    <w:rsid w:val="00E038FE"/>
    <w:rsid w:val="00E04908"/>
    <w:rsid w:val="00E90BDB"/>
    <w:rsid w:val="00E94FDD"/>
    <w:rsid w:val="00E95BA5"/>
    <w:rsid w:val="00F11869"/>
    <w:rsid w:val="00F1428D"/>
    <w:rsid w:val="00F20BD4"/>
    <w:rsid w:val="00F67CDB"/>
    <w:rsid w:val="00F759EA"/>
    <w:rsid w:val="00F94A87"/>
    <w:rsid w:val="00FC0B63"/>
    <w:rsid w:val="00FC32B2"/>
    <w:rsid w:val="00FC34AF"/>
    <w:rsid w:val="00FF56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7CA7F3"/>
  <w15:chartTrackingRefBased/>
  <w15:docId w15:val="{149C5F1A-E82E-445A-A2F2-364CFF35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6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ECA"/>
    <w:pPr>
      <w:suppressAutoHyphens/>
    </w:pPr>
    <w:rPr>
      <w:kern w:val="12"/>
    </w:rPr>
  </w:style>
  <w:style w:type="paragraph" w:styleId="Heading1">
    <w:name w:val="heading 1"/>
    <w:basedOn w:val="Title"/>
    <w:next w:val="Normal"/>
    <w:link w:val="Heading1Char"/>
    <w:uiPriority w:val="9"/>
    <w:qFormat/>
    <w:rsid w:val="006C7A57"/>
    <w:pPr>
      <w:spacing w:before="840"/>
      <w:outlineLvl w:val="0"/>
    </w:pPr>
    <w:rPr>
      <w:sz w:val="52"/>
      <w:szCs w:val="52"/>
    </w:rPr>
  </w:style>
  <w:style w:type="paragraph" w:styleId="Heading2">
    <w:name w:val="heading 2"/>
    <w:basedOn w:val="Heading1"/>
    <w:next w:val="Normal"/>
    <w:link w:val="Heading2Char"/>
    <w:uiPriority w:val="9"/>
    <w:unhideWhenUsed/>
    <w:qFormat/>
    <w:rsid w:val="00E038FE"/>
    <w:pPr>
      <w:spacing w:before="120"/>
      <w:outlineLvl w:val="1"/>
    </w:pPr>
  </w:style>
  <w:style w:type="paragraph" w:styleId="Heading3">
    <w:name w:val="heading 3"/>
    <w:basedOn w:val="Heading4"/>
    <w:next w:val="Normal"/>
    <w:link w:val="Heading3Char"/>
    <w:uiPriority w:val="9"/>
    <w:unhideWhenUsed/>
    <w:qFormat/>
    <w:rsid w:val="00E038FE"/>
    <w:pPr>
      <w:spacing w:before="120" w:after="0"/>
      <w:outlineLvl w:val="2"/>
    </w:pPr>
    <w:rPr>
      <w:color w:val="64646A"/>
    </w:rPr>
  </w:style>
  <w:style w:type="paragraph" w:styleId="Heading4">
    <w:name w:val="heading 4"/>
    <w:basedOn w:val="Normal"/>
    <w:next w:val="Normal"/>
    <w:link w:val="Heading4Char"/>
    <w:uiPriority w:val="9"/>
    <w:unhideWhenUsed/>
    <w:rsid w:val="005F794B"/>
    <w:pPr>
      <w:keepNext/>
      <w:keepLines/>
      <w:spacing w:before="240" w:after="160"/>
      <w:outlineLvl w:val="3"/>
    </w:pPr>
    <w:rPr>
      <w:rFonts w:asciiTheme="majorHAnsi" w:eastAsiaTheme="majorEastAsia" w:hAnsiTheme="majorHAnsi" w:cstheme="majorBidi"/>
      <w:b/>
      <w:iCs/>
      <w:color w:val="9AA3AF" w:themeColor="accent4"/>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sz w:val="2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BE3AD8"/>
    <w:pPr>
      <w:numPr>
        <w:ilvl w:val="1"/>
      </w:numPr>
      <w:spacing w:before="240" w:after="160"/>
    </w:pPr>
    <w:rPr>
      <w:rFonts w:asciiTheme="majorHAnsi" w:eastAsiaTheme="minorEastAsia" w:hAnsiTheme="majorHAnsi"/>
      <w:color w:val="4BB3B5" w:themeColor="accent2"/>
      <w:sz w:val="44"/>
      <w:szCs w:val="22"/>
    </w:rPr>
  </w:style>
  <w:style w:type="character" w:customStyle="1" w:styleId="SubtitleChar">
    <w:name w:val="Subtitle Char"/>
    <w:basedOn w:val="DefaultParagraphFont"/>
    <w:link w:val="Subtitle"/>
    <w:uiPriority w:val="18"/>
    <w:rsid w:val="00BE3AD8"/>
    <w:rPr>
      <w:rFonts w:asciiTheme="majorHAnsi" w:eastAsiaTheme="minorEastAsia" w:hAnsiTheme="majorHAnsi"/>
      <w:color w:val="4BB3B5" w:themeColor="accent2"/>
      <w:kern w:val="12"/>
      <w:sz w:val="44"/>
      <w:szCs w:val="22"/>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sz w:val="22"/>
      <w:szCs w:val="22"/>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6C7A57"/>
    <w:rPr>
      <w:rFonts w:asciiTheme="majorHAnsi" w:eastAsiaTheme="majorEastAsia" w:hAnsiTheme="majorHAnsi" w:cstheme="majorBidi"/>
      <w:b/>
      <w:color w:val="081E3E" w:themeColor="text2"/>
      <w:kern w:val="12"/>
      <w:sz w:val="52"/>
      <w:szCs w:val="52"/>
    </w:rPr>
  </w:style>
  <w:style w:type="character" w:customStyle="1" w:styleId="Heading2Char">
    <w:name w:val="Heading 2 Char"/>
    <w:basedOn w:val="DefaultParagraphFont"/>
    <w:link w:val="Heading2"/>
    <w:uiPriority w:val="9"/>
    <w:rsid w:val="00E038FE"/>
    <w:rPr>
      <w:rFonts w:asciiTheme="majorHAnsi" w:eastAsiaTheme="majorEastAsia" w:hAnsiTheme="majorHAnsi" w:cstheme="majorBidi"/>
      <w:color w:val="081E3E" w:themeColor="text2"/>
      <w:kern w:val="12"/>
      <w:sz w:val="44"/>
      <w:szCs w:val="32"/>
    </w:rPr>
  </w:style>
  <w:style w:type="paragraph" w:customStyle="1" w:styleId="Introduction">
    <w:name w:val="Introduction"/>
    <w:basedOn w:val="Normal"/>
    <w:uiPriority w:val="2"/>
    <w:qFormat/>
    <w:rsid w:val="005F794B"/>
    <w:pPr>
      <w:spacing w:before="240" w:after="240"/>
    </w:pPr>
    <w:rPr>
      <w:color w:val="4BB3B5" w:themeColor="accent2"/>
      <w:sz w:val="26"/>
      <w:lang w:val="x-none"/>
    </w:rPr>
  </w:style>
  <w:style w:type="character" w:customStyle="1" w:styleId="Heading3Char">
    <w:name w:val="Heading 3 Char"/>
    <w:basedOn w:val="DefaultParagraphFont"/>
    <w:link w:val="Heading3"/>
    <w:uiPriority w:val="9"/>
    <w:rsid w:val="00E038FE"/>
    <w:rPr>
      <w:rFonts w:asciiTheme="majorHAnsi" w:eastAsiaTheme="majorEastAsia" w:hAnsiTheme="majorHAnsi" w:cstheme="majorBidi"/>
      <w:b/>
      <w:iCs/>
      <w:color w:val="64646A"/>
      <w:kern w:val="12"/>
      <w:sz w:val="26"/>
    </w:rPr>
  </w:style>
  <w:style w:type="character" w:customStyle="1" w:styleId="Heading4Char">
    <w:name w:val="Heading 4 Char"/>
    <w:basedOn w:val="DefaultParagraphFont"/>
    <w:link w:val="Heading4"/>
    <w:uiPriority w:val="9"/>
    <w:rsid w:val="005F794B"/>
    <w:rPr>
      <w:rFonts w:asciiTheme="majorHAnsi" w:eastAsiaTheme="majorEastAsia" w:hAnsiTheme="majorHAnsi" w:cstheme="majorBidi"/>
      <w:b/>
      <w:iCs/>
      <w:color w:val="9AA3AF" w:themeColor="accent4"/>
      <w:kern w:val="12"/>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4BB3B5" w:themeColor="accent2"/>
        <w:bottom w:val="single" w:sz="4" w:space="0" w:color="4BB3B5" w:themeColor="accent2"/>
        <w:insideH w:val="single" w:sz="4" w:space="0" w:color="4BB3B5"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4BB3B5" w:themeColor="accent2"/>
        <w:left w:val="single" w:sz="4" w:space="14" w:color="4BB3B5" w:themeColor="accent2"/>
        <w:bottom w:val="single" w:sz="4" w:space="14" w:color="4BB3B5" w:themeColor="accent2"/>
        <w:right w:val="single" w:sz="4" w:space="14" w:color="4BB3B5" w:themeColor="accent2"/>
      </w:pBdr>
      <w:ind w:left="284" w:right="284"/>
    </w:pPr>
    <w:rPr>
      <w:lang w:val="x-none"/>
    </w:rPr>
  </w:style>
  <w:style w:type="paragraph" w:customStyle="1" w:styleId="Box1Heading">
    <w:name w:val="Box 1 Heading"/>
    <w:basedOn w:val="Box1Text"/>
    <w:uiPriority w:val="23"/>
    <w:qFormat/>
    <w:rsid w:val="00CF6CFD"/>
    <w:rPr>
      <w:b/>
      <w:sz w:val="22"/>
      <w:szCs w:val="22"/>
    </w:rPr>
  </w:style>
  <w:style w:type="paragraph" w:customStyle="1" w:styleId="Box1Bullet1">
    <w:name w:val="Box 1 Bullet 1"/>
    <w:basedOn w:val="Box1Text"/>
    <w:uiPriority w:val="24"/>
    <w:qFormat/>
    <w:rsid w:val="00CF6CFD"/>
    <w:pPr>
      <w:spacing w:before="80"/>
    </w:pPr>
  </w:style>
  <w:style w:type="paragraph" w:customStyle="1" w:styleId="Box2Text">
    <w:name w:val="Box 2 Text"/>
    <w:basedOn w:val="Normal"/>
    <w:uiPriority w:val="24"/>
    <w:qFormat/>
    <w:rsid w:val="00CF6CFD"/>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3" w:right="283"/>
    </w:pPr>
    <w:rPr>
      <w:lang w:val="x-none"/>
    </w:rPr>
  </w:style>
  <w:style w:type="paragraph" w:customStyle="1" w:styleId="Box2Heading">
    <w:name w:val="Box 2 Heading"/>
    <w:basedOn w:val="Box2Text"/>
    <w:uiPriority w:val="24"/>
    <w:qFormat/>
    <w:rsid w:val="00541213"/>
    <w:rPr>
      <w:b/>
      <w:sz w:val="22"/>
    </w:rPr>
  </w:style>
  <w:style w:type="paragraph" w:customStyle="1" w:styleId="Box2Bullet1">
    <w:name w:val="Box 2 Bullet 1"/>
    <w:basedOn w:val="Box2Text"/>
    <w:uiPriority w:val="25"/>
    <w:qFormat/>
    <w:rsid w:val="00CF6CFD"/>
    <w:pPr>
      <w:spacing w:before="80"/>
    </w:p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E04908"/>
    <w:pPr>
      <w:pBdr>
        <w:left w:val="single" w:sz="48" w:space="22" w:color="4BB3B5" w:themeColor="accent2"/>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E04908"/>
    <w:rPr>
      <w:b/>
      <w:iCs/>
      <w:color w:val="404040" w:themeColor="text1" w:themeTint="BF"/>
      <w:kern w:val="12"/>
    </w:rPr>
  </w:style>
  <w:style w:type="paragraph" w:styleId="TOC1">
    <w:name w:val="toc 1"/>
    <w:basedOn w:val="Normal"/>
    <w:next w:val="Normal"/>
    <w:autoRedefine/>
    <w:uiPriority w:val="39"/>
    <w:rsid w:val="00A95970"/>
    <w:pPr>
      <w:keepLines/>
      <w:tabs>
        <w:tab w:val="right" w:pos="9854"/>
      </w:tabs>
      <w:ind w:left="567" w:hanging="567"/>
    </w:pPr>
    <w:rPr>
      <w:b/>
      <w:sz w:val="24"/>
      <w:u w:val="single" w:color="4BB3B5"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styleId="EndnoteText">
    <w:name w:val="endnote text"/>
    <w:basedOn w:val="Normal"/>
    <w:link w:val="EndnoteTextChar"/>
    <w:uiPriority w:val="99"/>
    <w:semiHidden/>
    <w:unhideWhenUsed/>
    <w:rsid w:val="00804FD3"/>
    <w:pPr>
      <w:spacing w:before="0" w:after="0"/>
    </w:pPr>
  </w:style>
  <w:style w:type="character" w:customStyle="1" w:styleId="EndnoteTextChar">
    <w:name w:val="Endnote Text Char"/>
    <w:basedOn w:val="DefaultParagraphFont"/>
    <w:link w:val="EndnoteText"/>
    <w:uiPriority w:val="99"/>
    <w:semiHidden/>
    <w:rsid w:val="00804FD3"/>
    <w:rPr>
      <w:kern w:val="12"/>
    </w:rPr>
  </w:style>
  <w:style w:type="character" w:styleId="EndnoteReference">
    <w:name w:val="endnote reference"/>
    <w:basedOn w:val="DefaultParagraphFont"/>
    <w:uiPriority w:val="99"/>
    <w:semiHidden/>
    <w:unhideWhenUsed/>
    <w:rsid w:val="00804FD3"/>
    <w:rPr>
      <w:vertAlign w:val="superscript"/>
    </w:rPr>
  </w:style>
  <w:style w:type="paragraph" w:styleId="BalloonText">
    <w:name w:val="Balloon Text"/>
    <w:basedOn w:val="Normal"/>
    <w:link w:val="BalloonTextChar"/>
    <w:uiPriority w:val="99"/>
    <w:semiHidden/>
    <w:unhideWhenUsed/>
    <w:rsid w:val="00995CA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CA6"/>
    <w:rPr>
      <w:rFonts w:ascii="Segoe UI" w:hAnsi="Segoe UI" w:cs="Segoe UI"/>
      <w:kern w:val="12"/>
      <w:sz w:val="18"/>
      <w:szCs w:val="18"/>
    </w:rPr>
  </w:style>
  <w:style w:type="character" w:styleId="CommentReference">
    <w:name w:val="annotation reference"/>
    <w:basedOn w:val="DefaultParagraphFont"/>
    <w:uiPriority w:val="99"/>
    <w:semiHidden/>
    <w:unhideWhenUsed/>
    <w:rsid w:val="00995CA6"/>
    <w:rPr>
      <w:sz w:val="16"/>
      <w:szCs w:val="16"/>
    </w:rPr>
  </w:style>
  <w:style w:type="paragraph" w:styleId="CommentText">
    <w:name w:val="annotation text"/>
    <w:basedOn w:val="Normal"/>
    <w:link w:val="CommentTextChar"/>
    <w:uiPriority w:val="99"/>
    <w:semiHidden/>
    <w:unhideWhenUsed/>
    <w:rsid w:val="00995CA6"/>
  </w:style>
  <w:style w:type="character" w:customStyle="1" w:styleId="CommentTextChar">
    <w:name w:val="Comment Text Char"/>
    <w:basedOn w:val="DefaultParagraphFont"/>
    <w:link w:val="CommentText"/>
    <w:uiPriority w:val="99"/>
    <w:semiHidden/>
    <w:rsid w:val="00995CA6"/>
    <w:rPr>
      <w:kern w:val="12"/>
    </w:rPr>
  </w:style>
  <w:style w:type="paragraph" w:styleId="CommentSubject">
    <w:name w:val="annotation subject"/>
    <w:basedOn w:val="CommentText"/>
    <w:next w:val="CommentText"/>
    <w:link w:val="CommentSubjectChar"/>
    <w:uiPriority w:val="99"/>
    <w:semiHidden/>
    <w:unhideWhenUsed/>
    <w:rsid w:val="00995CA6"/>
    <w:rPr>
      <w:b/>
      <w:bCs/>
    </w:rPr>
  </w:style>
  <w:style w:type="character" w:customStyle="1" w:styleId="CommentSubjectChar">
    <w:name w:val="Comment Subject Char"/>
    <w:basedOn w:val="CommentTextChar"/>
    <w:link w:val="CommentSubject"/>
    <w:uiPriority w:val="99"/>
    <w:semiHidden/>
    <w:rsid w:val="00995CA6"/>
    <w:rPr>
      <w:b/>
      <w:bCs/>
      <w:kern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2.png@01D6B821.D72228E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ay\AppData\Local\Microsoft\Windows\INetCache\Content.Outlook\GMOEWIKS\International%20comparison%20of%20fixed%20broadband%20performance%20coverage%20and%20minimum%20speeds%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32CD39AEB244D9A026AAECB7BB6233"/>
        <w:category>
          <w:name w:val="General"/>
          <w:gallery w:val="placeholder"/>
        </w:category>
        <w:types>
          <w:type w:val="bbPlcHdr"/>
        </w:types>
        <w:behaviors>
          <w:behavior w:val="content"/>
        </w:behaviors>
        <w:guid w:val="{BA84329B-F81C-4836-8A74-A1C39AF305D7}"/>
      </w:docPartPr>
      <w:docPartBody>
        <w:p w:rsidR="00C447C2" w:rsidRDefault="00C447C2">
          <w:pPr>
            <w:pStyle w:val="5D32CD39AEB244D9A026AAECB7BB6233"/>
          </w:pPr>
          <w:r w:rsidRPr="00EC51D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7C2"/>
    <w:rsid w:val="00C447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D32CD39AEB244D9A026AAECB7BB6233">
    <w:name w:val="5D32CD39AEB244D9A026AAECB7BB6233"/>
  </w:style>
  <w:style w:type="paragraph" w:customStyle="1" w:styleId="053038222B5B41ACB8BD749F63B80241">
    <w:name w:val="053038222B5B41ACB8BD749F63B802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DoITRDC Interim Branding 2020">
      <a:dk1>
        <a:srgbClr val="000000"/>
      </a:dk1>
      <a:lt1>
        <a:srgbClr val="FFFFFF"/>
      </a:lt1>
      <a:dk2>
        <a:srgbClr val="081E3E"/>
      </a:dk2>
      <a:lt2>
        <a:srgbClr val="E7E7E7"/>
      </a:lt2>
      <a:accent1>
        <a:srgbClr val="081E3E"/>
      </a:accent1>
      <a:accent2>
        <a:srgbClr val="4BB3B5"/>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714AC1684EAF4ABDF0C3D5363C46AE" ma:contentTypeVersion="0" ma:contentTypeDescription="Create a new document." ma:contentTypeScope="" ma:versionID="dcc2a480f5e2c5b404ec63509e073c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992321-89A2-43C8-A92D-A5C63A937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D4F74BD-B062-44EE-B36E-B2F9A897C8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B302F89-4D24-4615-9653-AC56FA8EF839}">
  <ds:schemaRefs>
    <ds:schemaRef ds:uri="http://schemas.microsoft.com/sharepoint/v3/contenttype/forms"/>
  </ds:schemaRefs>
</ds:datastoreItem>
</file>

<file path=customXml/itemProps5.xml><?xml version="1.0" encoding="utf-8"?>
<ds:datastoreItem xmlns:ds="http://schemas.openxmlformats.org/officeDocument/2006/customXml" ds:itemID="{7099E88D-A689-4483-A478-BA74FFF39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International comparison of fixed broadband performance coverage and minimum speeds (002).dotx</Template>
  <TotalTime>7</TotalTime>
  <Pages>2</Pages>
  <Words>560</Words>
  <Characters>3052</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International comparison of fixed broadband performance—Migration to higher speed plans—December 2020</vt:lpstr>
    </vt:vector>
  </TitlesOfParts>
  <Company>Department of Infrastructure, Transport, Regional Development and Communications</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comparison of fixed broadband performance—Migration to higher speed plans—December 2020</dc:title>
  <dc:subject/>
  <dc:creator>Department of Infrastructure, Transport, Regional Development and Communications</dc:creator>
  <cp:keywords/>
  <dc:description/>
  <cp:lastModifiedBy>Hall, Theresa</cp:lastModifiedBy>
  <cp:revision>5</cp:revision>
  <cp:lastPrinted>2020-11-10T06:04:00Z</cp:lastPrinted>
  <dcterms:created xsi:type="dcterms:W3CDTF">2020-12-09T02:37:00Z</dcterms:created>
  <dcterms:modified xsi:type="dcterms:W3CDTF">2020-12-09T03:08:00Z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0x01010078714AC1684EAF4ABDF0C3D5363C46AE</vt:lpwstr>
  </property>
  <property fmtid="{D5CDD505-2E9C-101B-9397-08002B2CF9AE}" pid="3" name="TrimRevisionNumber">
    <vt:i4>2</vt:i4>
  </property>
</Properties>
</file>