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9CED2" w14:textId="77777777" w:rsidR="00CC25B2" w:rsidRPr="00B420EE" w:rsidRDefault="00CC25B2" w:rsidP="00B420EE">
      <w:pPr>
        <w:spacing w:before="0" w:after="0"/>
        <w:rPr>
          <w:sz w:val="2"/>
          <w:szCs w:val="2"/>
        </w:rPr>
      </w:pPr>
    </w:p>
    <w:p w14:paraId="4B403038" w14:textId="19770DED" w:rsidR="00A20A3B" w:rsidRPr="00D13AE0" w:rsidRDefault="00A15E86" w:rsidP="00D13AE0">
      <w:pPr>
        <w:pStyle w:val="AreaHeading"/>
      </w:pPr>
      <w:r w:rsidRPr="00A15E86">
        <w:t>BUREAU OF COMMUNICATIONS, ARTS AND REGIONAL RESEARCH</w:t>
      </w:r>
    </w:p>
    <w:p w14:paraId="5858145C" w14:textId="60BCF6B0" w:rsidR="00DE4FE2" w:rsidRDefault="00497EE4" w:rsidP="00497EE4">
      <w:pPr>
        <w:pStyle w:val="Heading1"/>
      </w:pPr>
      <w:r>
        <w:t xml:space="preserve">At a glance: </w:t>
      </w:r>
      <w:r w:rsidR="002B1E92" w:rsidRPr="002B1E92">
        <w:t>Measuring Australia’s Cultural and Creative Workforce, 2008–09 to 2023–24</w:t>
      </w:r>
      <w:r w:rsidR="00CB2F18">
        <w:t xml:space="preserve"> (Interim Estimates)</w:t>
      </w:r>
    </w:p>
    <w:p w14:paraId="3E2DE6F4" w14:textId="450604AC" w:rsidR="00497EE4" w:rsidRPr="00B041CB" w:rsidRDefault="002B1E92" w:rsidP="00497EE4">
      <w:pPr>
        <w:rPr>
          <w:rFonts w:eastAsia="Calibri" w:cs="Times New Roman"/>
          <w:b/>
          <w:color w:val="081E3E" w:themeColor="accent1"/>
        </w:rPr>
      </w:pPr>
      <w:bookmarkStart w:id="0" w:name="_GoBack"/>
      <w:bookmarkEnd w:id="0"/>
      <w:r>
        <w:rPr>
          <w:rFonts w:eastAsia="Calibri" w:cs="Times New Roman"/>
          <w:b/>
          <w:color w:val="081E3E"/>
          <w:kern w:val="12"/>
          <w:szCs w:val="20"/>
        </w:rPr>
        <w:t>December</w:t>
      </w:r>
      <w:r w:rsidR="00497EE4" w:rsidRPr="4AE67189">
        <w:rPr>
          <w:rFonts w:eastAsia="Calibri" w:cs="Times New Roman"/>
          <w:b/>
          <w:color w:val="081E3E"/>
          <w:kern w:val="12"/>
        </w:rPr>
        <w:t xml:space="preserve"> 2025</w:t>
      </w:r>
    </w:p>
    <w:p w14:paraId="31AE5988" w14:textId="77777777" w:rsidR="00497EE4" w:rsidRDefault="00497EE4" w:rsidP="005947F4"/>
    <w:p w14:paraId="2D2B5B61" w14:textId="77777777" w:rsidR="00CC25B2" w:rsidRDefault="00CC25B2" w:rsidP="005947F4">
      <w:pPr>
        <w:sectPr w:rsidR="00CC25B2" w:rsidSect="005B23E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 w:code="9"/>
          <w:pgMar w:top="340" w:right="1021" w:bottom="1021" w:left="1021" w:header="0" w:footer="0" w:gutter="0"/>
          <w:cols w:space="708"/>
          <w:titlePg/>
          <w:docGrid w:linePitch="360"/>
        </w:sectPr>
      </w:pPr>
    </w:p>
    <w:p w14:paraId="604F6CAA" w14:textId="0AB97F06" w:rsidR="00C77382" w:rsidRPr="00AF613D" w:rsidRDefault="00C45E17" w:rsidP="000651EB">
      <w:pPr>
        <w:pStyle w:val="Heading2"/>
        <w:rPr>
          <w:b w:val="0"/>
        </w:rPr>
      </w:pPr>
      <w:r w:rsidRPr="00C45E17">
        <w:lastRenderedPageBreak/>
        <w:t>Cultural and creative employment is significant</w:t>
      </w:r>
    </w:p>
    <w:p w14:paraId="48D3FEC3" w14:textId="77777777" w:rsidR="00AF613D" w:rsidRPr="00AF613D" w:rsidRDefault="00AF613D" w:rsidP="00AF613D"/>
    <w:tbl>
      <w:tblPr>
        <w:tblStyle w:val="TableGrid"/>
        <w:tblW w:w="14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9188"/>
      </w:tblGrid>
      <w:tr w:rsidR="008A7FE4" w14:paraId="2997EEAA" w14:textId="77777777" w:rsidTr="00CB2F18">
        <w:trPr>
          <w:trHeight w:val="8019"/>
        </w:trPr>
        <w:tc>
          <w:tcPr>
            <w:tcW w:w="5387" w:type="dxa"/>
            <w:tcBorders>
              <w:right w:val="single" w:sz="4" w:space="0" w:color="auto"/>
            </w:tcBorders>
          </w:tcPr>
          <w:p w14:paraId="06E3B39D" w14:textId="1C007CC9" w:rsidR="008A7FE4" w:rsidRPr="00754773" w:rsidRDefault="00CB2F18" w:rsidP="00CB2F18">
            <w:pPr>
              <w:pStyle w:val="Introduction"/>
              <w:spacing w:before="0" w:after="0"/>
              <w:rPr>
                <w:color w:val="auto"/>
                <w:sz w:val="30"/>
                <w:szCs w:val="30"/>
              </w:rPr>
            </w:pPr>
            <w:r w:rsidRPr="00754773">
              <w:rPr>
                <w:color w:val="auto"/>
                <w:sz w:val="30"/>
                <w:szCs w:val="30"/>
              </w:rPr>
              <w:t>An estimated 591,302 people were employed in a cultural and creative industry or occupation as their main job in 2023–24. Of this total:</w:t>
            </w:r>
          </w:p>
          <w:p w14:paraId="0F255FBD" w14:textId="7742F4CA" w:rsidR="00CB2F18" w:rsidRPr="00754773" w:rsidRDefault="00CB2F18" w:rsidP="00CB2F18">
            <w:pPr>
              <w:pStyle w:val="Introduction"/>
              <w:numPr>
                <w:ilvl w:val="0"/>
                <w:numId w:val="34"/>
              </w:numPr>
              <w:spacing w:before="60" w:after="60"/>
              <w:ind w:left="714" w:hanging="357"/>
              <w:rPr>
                <w:color w:val="auto"/>
              </w:rPr>
            </w:pPr>
            <w:r w:rsidRPr="00754773">
              <w:rPr>
                <w:color w:val="auto"/>
              </w:rPr>
              <w:t>252,506 (42.7%) were in cultural and creative occupations within cultural and creative industries (specialised workers)</w:t>
            </w:r>
          </w:p>
          <w:p w14:paraId="27D67F3F" w14:textId="5EB5E217" w:rsidR="00CB2F18" w:rsidRPr="00754773" w:rsidRDefault="00CB2F18" w:rsidP="00CB2F18">
            <w:pPr>
              <w:pStyle w:val="Introduction"/>
              <w:numPr>
                <w:ilvl w:val="0"/>
                <w:numId w:val="34"/>
              </w:numPr>
              <w:spacing w:before="60" w:after="60"/>
              <w:ind w:left="714" w:hanging="357"/>
              <w:rPr>
                <w:color w:val="auto"/>
              </w:rPr>
            </w:pPr>
            <w:r w:rsidRPr="00754773">
              <w:rPr>
                <w:color w:val="auto"/>
              </w:rPr>
              <w:t>107,341 (18.2%) were in other occupations within cultural and creative industries (support workers)</w:t>
            </w:r>
          </w:p>
          <w:p w14:paraId="6ADC6675" w14:textId="77777777" w:rsidR="00CB2F18" w:rsidRPr="00754773" w:rsidRDefault="00CB2F18" w:rsidP="00CB2F18">
            <w:pPr>
              <w:pStyle w:val="Introduction"/>
              <w:numPr>
                <w:ilvl w:val="0"/>
                <w:numId w:val="34"/>
              </w:numPr>
              <w:spacing w:before="60" w:after="60"/>
              <w:ind w:left="714" w:hanging="357"/>
              <w:rPr>
                <w:color w:val="auto"/>
              </w:rPr>
            </w:pPr>
            <w:r w:rsidRPr="00754773">
              <w:rPr>
                <w:color w:val="auto"/>
              </w:rPr>
              <w:t>231,455 (39.1%) were in cultural and creative occupations in other industries (embedded workers).</w:t>
            </w:r>
          </w:p>
          <w:p w14:paraId="3AAEB642" w14:textId="44EA5F0A" w:rsidR="008A7FE4" w:rsidRPr="00CB2F18" w:rsidRDefault="00CB2F18" w:rsidP="00CB2F18">
            <w:pPr>
              <w:pStyle w:val="Introduction"/>
              <w:spacing w:before="0"/>
              <w:rPr>
                <w:sz w:val="30"/>
                <w:szCs w:val="30"/>
              </w:rPr>
            </w:pPr>
            <w:r w:rsidRPr="00754773">
              <w:rPr>
                <w:color w:val="auto"/>
                <w:sz w:val="30"/>
                <w:szCs w:val="30"/>
                <w:lang w:val="en-AU"/>
              </w:rPr>
              <w:t>While</w:t>
            </w:r>
            <w:r w:rsidRPr="00754773">
              <w:rPr>
                <w:color w:val="auto"/>
                <w:sz w:val="30"/>
                <w:szCs w:val="30"/>
              </w:rPr>
              <w:t xml:space="preserve"> much cultural and creative talent is concentrated within the sector – a significant share of cultural and creative workers </w:t>
            </w:r>
            <w:r w:rsidR="00A050CB" w:rsidRPr="00754773">
              <w:rPr>
                <w:color w:val="auto"/>
                <w:sz w:val="30"/>
                <w:szCs w:val="30"/>
              </w:rPr>
              <w:t>is</w:t>
            </w:r>
            <w:r w:rsidRPr="00754773">
              <w:rPr>
                <w:color w:val="auto"/>
                <w:sz w:val="30"/>
                <w:szCs w:val="30"/>
              </w:rPr>
              <w:t xml:space="preserve"> employed in other industries. These embedded workers </w:t>
            </w:r>
            <w:r w:rsidR="00DF62B4" w:rsidRPr="00754773">
              <w:rPr>
                <w:color w:val="auto"/>
                <w:sz w:val="30"/>
                <w:szCs w:val="30"/>
              </w:rPr>
              <w:t xml:space="preserve">contribute </w:t>
            </w:r>
            <w:r w:rsidRPr="00754773">
              <w:rPr>
                <w:color w:val="auto"/>
                <w:sz w:val="30"/>
                <w:szCs w:val="30"/>
              </w:rPr>
              <w:t xml:space="preserve">cultural and creative skills and innovation </w:t>
            </w:r>
            <w:r w:rsidR="0006190A" w:rsidRPr="00754773">
              <w:rPr>
                <w:color w:val="auto"/>
                <w:sz w:val="30"/>
                <w:szCs w:val="30"/>
              </w:rPr>
              <w:t xml:space="preserve">across </w:t>
            </w:r>
            <w:r w:rsidRPr="00754773">
              <w:rPr>
                <w:color w:val="auto"/>
                <w:sz w:val="30"/>
                <w:szCs w:val="30"/>
              </w:rPr>
              <w:t>the broader labour market.</w:t>
            </w:r>
          </w:p>
        </w:tc>
        <w:tc>
          <w:tcPr>
            <w:tcW w:w="9188" w:type="dxa"/>
            <w:tcBorders>
              <w:left w:val="single" w:sz="4" w:space="0" w:color="auto"/>
            </w:tcBorders>
          </w:tcPr>
          <w:p w14:paraId="2F1EF3B9" w14:textId="77777777" w:rsidR="008A7FE4" w:rsidRPr="005F794B" w:rsidRDefault="008A7FE4" w:rsidP="00CB2F18">
            <w:pPr>
              <w:pStyle w:val="Heading3"/>
              <w:spacing w:before="0"/>
              <w:ind w:left="318"/>
              <w:outlineLvl w:val="2"/>
            </w:pPr>
            <w:r>
              <w:t>Key changes</w:t>
            </w:r>
          </w:p>
          <w:p w14:paraId="1A3C6BB1" w14:textId="33DE49B7" w:rsidR="008A7FE4" w:rsidRPr="000E0956" w:rsidRDefault="005F7FCB" w:rsidP="00E04A90">
            <w:pPr>
              <w:suppressAutoHyphens w:val="0"/>
              <w:spacing w:after="240"/>
              <w:ind w:left="323"/>
              <w:rPr>
                <w:sz w:val="26"/>
                <w:szCs w:val="26"/>
              </w:rPr>
            </w:pPr>
            <w:r w:rsidRPr="4AE67189">
              <w:rPr>
                <w:sz w:val="26"/>
                <w:szCs w:val="26"/>
              </w:rPr>
              <w:t xml:space="preserve">Cultural and creative employment increased by 33% </w:t>
            </w:r>
            <w:r w:rsidR="00DF62B4">
              <w:rPr>
                <w:sz w:val="26"/>
                <w:szCs w:val="26"/>
              </w:rPr>
              <w:t xml:space="preserve">between </w:t>
            </w:r>
            <w:r w:rsidRPr="4AE67189">
              <w:rPr>
                <w:sz w:val="26"/>
                <w:szCs w:val="26"/>
              </w:rPr>
              <w:t>2008–09</w:t>
            </w:r>
            <w:r w:rsidR="00DF62B4">
              <w:rPr>
                <w:sz w:val="26"/>
                <w:szCs w:val="26"/>
              </w:rPr>
              <w:t xml:space="preserve"> and 2023</w:t>
            </w:r>
            <w:r w:rsidR="00CF753B" w:rsidRPr="4AE67189">
              <w:rPr>
                <w:sz w:val="26"/>
                <w:szCs w:val="26"/>
              </w:rPr>
              <w:t>–</w:t>
            </w:r>
            <w:r w:rsidR="00DF62B4">
              <w:rPr>
                <w:sz w:val="26"/>
                <w:szCs w:val="26"/>
              </w:rPr>
              <w:t>24</w:t>
            </w:r>
            <w:r w:rsidRPr="4AE67189">
              <w:rPr>
                <w:sz w:val="26"/>
                <w:szCs w:val="26"/>
              </w:rPr>
              <w:t xml:space="preserve">, mainly due to growth in architecture services, events (arts) and advertising and promotion. Most domains, including literature, creative and performing arts, experienced strong recovery after </w:t>
            </w:r>
            <w:proofErr w:type="spellStart"/>
            <w:r w:rsidRPr="4AE67189">
              <w:rPr>
                <w:sz w:val="26"/>
                <w:szCs w:val="26"/>
              </w:rPr>
              <w:t>COVID</w:t>
            </w:r>
            <w:proofErr w:type="spellEnd"/>
            <w:r w:rsidR="008A7FE4" w:rsidRPr="4AE67189">
              <w:rPr>
                <w:sz w:val="26"/>
                <w:szCs w:val="26"/>
              </w:rPr>
              <w:t>.</w:t>
            </w:r>
          </w:p>
          <w:p w14:paraId="7CA200FD" w14:textId="2A05B4E4" w:rsidR="008E1B2C" w:rsidRPr="000E0956" w:rsidRDefault="000E0956" w:rsidP="00E04A90">
            <w:pPr>
              <w:suppressAutoHyphens w:val="0"/>
              <w:ind w:left="-103" w:firstLine="425"/>
              <w:rPr>
                <w:szCs w:val="18"/>
              </w:rPr>
            </w:pPr>
            <w:r w:rsidRPr="00E04A90">
              <w:rPr>
                <w:b/>
                <w:bCs/>
                <w:noProof/>
                <w:sz w:val="24"/>
                <w:szCs w:val="24"/>
              </w:rPr>
              <w:t>Figure</w:t>
            </w:r>
            <w:r w:rsidRPr="00E04A90">
              <w:rPr>
                <w:b/>
                <w:sz w:val="24"/>
                <w:szCs w:val="24"/>
              </w:rPr>
              <w:t xml:space="preserve"> </w:t>
            </w:r>
            <w:r w:rsidRPr="4AE67189">
              <w:fldChar w:fldCharType="begin"/>
            </w:r>
            <w:r w:rsidRPr="00E04A90">
              <w:rPr>
                <w:b/>
                <w:sz w:val="24"/>
                <w:szCs w:val="24"/>
              </w:rPr>
              <w:instrText xml:space="preserve"> SEQ Figure \* ARABIC </w:instrText>
            </w:r>
            <w:r w:rsidRPr="4AE67189">
              <w:rPr>
                <w:b/>
                <w:sz w:val="24"/>
                <w:szCs w:val="24"/>
              </w:rPr>
              <w:fldChar w:fldCharType="separate"/>
            </w:r>
            <w:r w:rsidR="00AE7A59">
              <w:rPr>
                <w:b/>
                <w:noProof/>
                <w:sz w:val="24"/>
                <w:szCs w:val="24"/>
              </w:rPr>
              <w:t>1</w:t>
            </w:r>
            <w:r w:rsidRPr="4AE67189">
              <w:fldChar w:fldCharType="end"/>
            </w:r>
            <w:r w:rsidRPr="00E04A90">
              <w:rPr>
                <w:b/>
                <w:sz w:val="24"/>
                <w:szCs w:val="24"/>
              </w:rPr>
              <w:t>.</w:t>
            </w:r>
            <w:r w:rsidRPr="000E0956">
              <w:rPr>
                <w:sz w:val="24"/>
                <w:szCs w:val="24"/>
              </w:rPr>
              <w:t xml:space="preserve"> </w:t>
            </w:r>
            <w:r w:rsidR="00CB2F18" w:rsidRPr="000E0956">
              <w:rPr>
                <w:b/>
                <w:bCs/>
                <w:sz w:val="24"/>
                <w:szCs w:val="24"/>
              </w:rPr>
              <w:t>Total</w:t>
            </w:r>
            <w:r w:rsidR="00CB2F18" w:rsidRPr="00CB2F18">
              <w:rPr>
                <w:b/>
                <w:bCs/>
                <w:sz w:val="24"/>
                <w:szCs w:val="24"/>
              </w:rPr>
              <w:t xml:space="preserve"> cultural and creative employment by trident types, 2008–09 to 2023–24</w:t>
            </w:r>
          </w:p>
          <w:p w14:paraId="3EDB1917" w14:textId="5B4A53D0" w:rsidR="008E1B2C" w:rsidRDefault="00CB2F18" w:rsidP="00CB0FDE">
            <w:pPr>
              <w:suppressAutoHyphens w:val="0"/>
              <w:ind w:firstLine="322"/>
              <w:rPr>
                <w:lang w:val="x-none"/>
              </w:rPr>
            </w:pPr>
            <w:r w:rsidRPr="000A1463">
              <w:rPr>
                <w:noProof/>
              </w:rPr>
              <w:drawing>
                <wp:inline distT="0" distB="0" distL="0" distR="0" wp14:anchorId="4D7E2A4E" wp14:editId="5BECA3CE">
                  <wp:extent cx="5462546" cy="2583232"/>
                  <wp:effectExtent l="0" t="0" r="5080" b="7620"/>
                  <wp:docPr id="2137027873" name="Picture 1" descr="A stacked column chart showing total cultural and creative employment by trident types from 2008–09 to 2023–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027873" name="Picture 1" descr="A stacked column chart showing total cultural and creative employment by trident types from 2008–09 to 2023–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875" cy="259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71B63" w14:textId="77777777" w:rsidR="000E0956" w:rsidRDefault="000E0956" w:rsidP="00A30B12">
            <w:pPr>
              <w:suppressAutoHyphens w:val="0"/>
              <w:ind w:left="605"/>
              <w:rPr>
                <w:sz w:val="18"/>
                <w:szCs w:val="18"/>
              </w:rPr>
            </w:pPr>
          </w:p>
          <w:p w14:paraId="5B92CB8E" w14:textId="2AC9B8E6" w:rsidR="00A365ED" w:rsidRPr="00A365ED" w:rsidRDefault="00A365ED" w:rsidP="000E0956">
            <w:pPr>
              <w:keepNext/>
              <w:suppressAutoHyphens w:val="0"/>
              <w:ind w:left="605"/>
            </w:pPr>
            <w:r w:rsidRPr="00A365ED">
              <w:rPr>
                <w:sz w:val="18"/>
                <w:szCs w:val="18"/>
              </w:rPr>
              <w:t xml:space="preserve">Source: </w:t>
            </w:r>
            <w:r w:rsidR="00CB2F18" w:rsidRPr="00CB2F18">
              <w:rPr>
                <w:sz w:val="18"/>
                <w:szCs w:val="18"/>
              </w:rPr>
              <w:t>ABS Labour Account Australia, Labour Force, Australia, Detailed, Quarterly; Jobs in Australia; Census of Population and Housing; BCARR calculations.</w:t>
            </w:r>
          </w:p>
        </w:tc>
      </w:tr>
    </w:tbl>
    <w:p w14:paraId="749B4318" w14:textId="699054A7" w:rsidR="00511E5F" w:rsidRDefault="00403951" w:rsidP="00511E5F">
      <w:pPr>
        <w:pStyle w:val="Heading2"/>
      </w:pPr>
      <w:r>
        <w:br w:type="page"/>
      </w:r>
      <w:r w:rsidR="005F7FCB" w:rsidRPr="00A55B63">
        <w:lastRenderedPageBreak/>
        <w:t>Comparison with Australian industries</w:t>
      </w:r>
    </w:p>
    <w:p w14:paraId="64CAEFDD" w14:textId="77777777" w:rsidR="00511E5F" w:rsidRPr="00511E5F" w:rsidRDefault="00511E5F" w:rsidP="00511E5F"/>
    <w:tbl>
      <w:tblPr>
        <w:tblStyle w:val="TableGrid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0064"/>
      </w:tblGrid>
      <w:tr w:rsidR="005F7FCB" w14:paraId="67AB6E05" w14:textId="77777777" w:rsidTr="00F65381">
        <w:tc>
          <w:tcPr>
            <w:tcW w:w="4820" w:type="dxa"/>
            <w:tcBorders>
              <w:right w:val="single" w:sz="4" w:space="0" w:color="auto"/>
            </w:tcBorders>
          </w:tcPr>
          <w:p w14:paraId="5B66F0AF" w14:textId="50DB2825" w:rsidR="005F7FCB" w:rsidRDefault="005F7FCB" w:rsidP="0032212A">
            <w:pPr>
              <w:pStyle w:val="Introduction"/>
              <w:spacing w:before="0"/>
              <w:rPr>
                <w:bCs/>
                <w:color w:val="auto"/>
                <w:sz w:val="30"/>
                <w:szCs w:val="30"/>
              </w:rPr>
            </w:pPr>
            <w:r w:rsidRPr="005F7FCB">
              <w:rPr>
                <w:bCs/>
                <w:color w:val="auto"/>
                <w:sz w:val="30"/>
                <w:szCs w:val="30"/>
              </w:rPr>
              <w:t xml:space="preserve">As a share of total employment, cultural and creative employment has remained relatively stable over the analysis period. After peaking at 4.2% in 2019–20, the share decreased during the pandemic to 3.9% of total employment in 2022–23, </w:t>
            </w:r>
            <w:r w:rsidR="00DF62B4">
              <w:rPr>
                <w:bCs/>
                <w:color w:val="auto"/>
                <w:sz w:val="30"/>
                <w:szCs w:val="30"/>
              </w:rPr>
              <w:t xml:space="preserve">before </w:t>
            </w:r>
            <w:r w:rsidRPr="005F7FCB">
              <w:rPr>
                <w:bCs/>
                <w:color w:val="auto"/>
                <w:sz w:val="30"/>
                <w:szCs w:val="30"/>
              </w:rPr>
              <w:t xml:space="preserve">rebounding to 4.1% in 2023–24. </w:t>
            </w:r>
          </w:p>
          <w:p w14:paraId="03A13661" w14:textId="3E0A613C" w:rsidR="00511E5F" w:rsidRDefault="00F65381" w:rsidP="00582185">
            <w:pPr>
              <w:pStyle w:val="Introduction"/>
              <w:rPr>
                <w:bCs/>
                <w:color w:val="auto"/>
                <w:sz w:val="30"/>
                <w:szCs w:val="30"/>
              </w:rPr>
            </w:pPr>
            <w:proofErr w:type="spellStart"/>
            <w:r>
              <w:rPr>
                <w:bCs/>
                <w:color w:val="auto"/>
                <w:sz w:val="30"/>
                <w:szCs w:val="30"/>
                <w:lang w:val="en-AU"/>
              </w:rPr>
              <w:t>T</w:t>
            </w:r>
            <w:r w:rsidRPr="00511E5F">
              <w:rPr>
                <w:bCs/>
                <w:color w:val="auto"/>
                <w:sz w:val="30"/>
                <w:szCs w:val="30"/>
              </w:rPr>
              <w:t>he</w:t>
            </w:r>
            <w:proofErr w:type="spellEnd"/>
            <w:r w:rsidR="000A718A">
              <w:rPr>
                <w:bCs/>
                <w:color w:val="auto"/>
                <w:sz w:val="30"/>
                <w:szCs w:val="30"/>
                <w:lang w:val="en-AU"/>
              </w:rPr>
              <w:t xml:space="preserve"> share</w:t>
            </w:r>
            <w:r w:rsidR="00511E5F" w:rsidRPr="00511E5F">
              <w:rPr>
                <w:bCs/>
                <w:color w:val="auto"/>
                <w:sz w:val="30"/>
                <w:szCs w:val="30"/>
              </w:rPr>
              <w:t xml:space="preserve"> of cultural and creative employment in 2023–24 is comparable to the employment share of transport, postal and warehousing (4.6%), and wholesale trade (3.8%).</w:t>
            </w:r>
          </w:p>
          <w:p w14:paraId="044030D1" w14:textId="4EE297DC" w:rsidR="005F7FCB" w:rsidRPr="00032804" w:rsidRDefault="005F7FCB" w:rsidP="00582185">
            <w:pPr>
              <w:pStyle w:val="Introduction"/>
              <w:rPr>
                <w:color w:val="auto"/>
              </w:rPr>
            </w:pPr>
            <w:r w:rsidRPr="4AE67189">
              <w:rPr>
                <w:color w:val="auto"/>
              </w:rPr>
              <w:t xml:space="preserve">Note: </w:t>
            </w:r>
            <w:r w:rsidR="00DF62B4">
              <w:rPr>
                <w:color w:val="auto"/>
              </w:rPr>
              <w:t>The c</w:t>
            </w:r>
            <w:r w:rsidRPr="4AE67189">
              <w:rPr>
                <w:color w:val="auto"/>
              </w:rPr>
              <w:t xml:space="preserve">ultural and creative </w:t>
            </w:r>
            <w:r w:rsidR="00511E5F" w:rsidRPr="4AE67189">
              <w:rPr>
                <w:color w:val="auto"/>
                <w:lang w:val="en-AU"/>
              </w:rPr>
              <w:t>sector</w:t>
            </w:r>
            <w:r w:rsidRPr="4AE67189">
              <w:rPr>
                <w:color w:val="auto"/>
              </w:rPr>
              <w:t xml:space="preserve"> is not an industry division, but rather includes </w:t>
            </w:r>
            <w:r w:rsidR="00511E5F" w:rsidRPr="4AE67189">
              <w:rPr>
                <w:color w:val="auto"/>
                <w:lang w:val="en-AU"/>
              </w:rPr>
              <w:t>employment from</w:t>
            </w:r>
            <w:r w:rsidRPr="4AE67189">
              <w:rPr>
                <w:color w:val="auto"/>
              </w:rPr>
              <w:t xml:space="preserve"> industries across the economy.</w:t>
            </w:r>
          </w:p>
          <w:p w14:paraId="2D9D74BB" w14:textId="456A4D30" w:rsidR="005F7FCB" w:rsidRPr="001C5DBE" w:rsidRDefault="005F7FCB" w:rsidP="00582185">
            <w:pPr>
              <w:pStyle w:val="Introduction"/>
              <w:rPr>
                <w:bCs/>
                <w:color w:val="auto"/>
                <w:sz w:val="18"/>
                <w:szCs w:val="18"/>
                <w:lang w:val="en-AU"/>
              </w:rPr>
            </w:pPr>
          </w:p>
        </w:tc>
        <w:tc>
          <w:tcPr>
            <w:tcW w:w="10064" w:type="dxa"/>
            <w:tcBorders>
              <w:left w:val="single" w:sz="4" w:space="0" w:color="auto"/>
            </w:tcBorders>
          </w:tcPr>
          <w:p w14:paraId="382F2CCA" w14:textId="656DC6D2" w:rsidR="005F7FCB" w:rsidRPr="00BA5BC6" w:rsidRDefault="000E0956" w:rsidP="00BA5BC6">
            <w:pPr>
              <w:suppressAutoHyphens w:val="0"/>
              <w:ind w:left="322"/>
              <w:rPr>
                <w:b/>
                <w:sz w:val="26"/>
                <w:szCs w:val="26"/>
              </w:rPr>
            </w:pPr>
            <w:r w:rsidRPr="00BA5BC6">
              <w:rPr>
                <w:b/>
                <w:bCs/>
                <w:noProof/>
                <w:sz w:val="26"/>
                <w:szCs w:val="26"/>
              </w:rPr>
              <w:t>Figure</w:t>
            </w:r>
            <w:r w:rsidRPr="00BA5BC6">
              <w:rPr>
                <w:b/>
                <w:sz w:val="26"/>
                <w:szCs w:val="26"/>
              </w:rPr>
              <w:t xml:space="preserve"> </w:t>
            </w:r>
            <w:r w:rsidRPr="4AE67189">
              <w:fldChar w:fldCharType="begin"/>
            </w:r>
            <w:r w:rsidRPr="00BA5BC6">
              <w:rPr>
                <w:b/>
                <w:sz w:val="26"/>
                <w:szCs w:val="26"/>
              </w:rPr>
              <w:instrText xml:space="preserve"> SEQ Figure \* ARABIC </w:instrText>
            </w:r>
            <w:r w:rsidRPr="4AE67189">
              <w:rPr>
                <w:b/>
                <w:sz w:val="26"/>
                <w:szCs w:val="26"/>
              </w:rPr>
              <w:fldChar w:fldCharType="separate"/>
            </w:r>
            <w:r w:rsidR="00AE7A59">
              <w:rPr>
                <w:b/>
                <w:noProof/>
                <w:sz w:val="26"/>
                <w:szCs w:val="26"/>
              </w:rPr>
              <w:t>2</w:t>
            </w:r>
            <w:r w:rsidRPr="4AE67189">
              <w:fldChar w:fldCharType="end"/>
            </w:r>
            <w:r w:rsidRPr="00BA5BC6">
              <w:rPr>
                <w:b/>
                <w:sz w:val="26"/>
                <w:szCs w:val="26"/>
              </w:rPr>
              <w:t xml:space="preserve">. </w:t>
            </w:r>
            <w:r w:rsidR="00247E4D" w:rsidRPr="00247E4D">
              <w:rPr>
                <w:b/>
                <w:bCs/>
                <w:sz w:val="26"/>
                <w:szCs w:val="26"/>
              </w:rPr>
              <w:t>Cultural and creative employment and industry share of total employment, 2023–24</w:t>
            </w:r>
          </w:p>
          <w:p w14:paraId="04D60678" w14:textId="40BEB7DF" w:rsidR="005F7FCB" w:rsidRPr="00CB0FDE" w:rsidRDefault="00D7266B" w:rsidP="00582185">
            <w:pPr>
              <w:suppressAutoHyphens w:val="0"/>
              <w:ind w:left="-103" w:firstLine="425"/>
            </w:pPr>
            <w:r>
              <w:rPr>
                <w:noProof/>
              </w:rPr>
              <w:drawing>
                <wp:inline distT="0" distB="0" distL="0" distR="0" wp14:anchorId="6FA0B6C8" wp14:editId="45C3260F">
                  <wp:extent cx="5746826" cy="4007457"/>
                  <wp:effectExtent l="0" t="0" r="6350" b="0"/>
                  <wp:docPr id="1" name="Picture 1" descr="A bar chart showing cultural and creative employment compared with the traditional industry share of total employment in 2023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ar chart showing cultural and creative employment compared with the traditional industry share of total employment in 2023-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420" cy="401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2EF34" w14:textId="77777777" w:rsidR="005F7FCB" w:rsidRDefault="005F7FCB" w:rsidP="00582185">
            <w:pPr>
              <w:suppressAutoHyphens w:val="0"/>
              <w:rPr>
                <w:lang w:val="x-none"/>
              </w:rPr>
            </w:pPr>
          </w:p>
          <w:p w14:paraId="4E5F6DEA" w14:textId="77777777" w:rsidR="005F7FCB" w:rsidRPr="00A365ED" w:rsidRDefault="005F7FCB" w:rsidP="00582185">
            <w:pPr>
              <w:suppressAutoHyphens w:val="0"/>
              <w:ind w:left="322"/>
              <w:rPr>
                <w:sz w:val="18"/>
                <w:szCs w:val="18"/>
              </w:rPr>
            </w:pPr>
            <w:r w:rsidRPr="00A365ED">
              <w:rPr>
                <w:sz w:val="18"/>
                <w:szCs w:val="18"/>
              </w:rPr>
              <w:t>Source: ABS Australian System of National Accounts, Australian National Accounts: Input-Output Tables (Product Details); Australian National Accounts: Supply Use Tables; BCARR calculations.</w:t>
            </w:r>
          </w:p>
          <w:p w14:paraId="3E08838C" w14:textId="77777777" w:rsidR="005F7FCB" w:rsidRPr="00A365ED" w:rsidRDefault="005F7FCB" w:rsidP="000E0956">
            <w:pPr>
              <w:keepNext/>
              <w:suppressAutoHyphens w:val="0"/>
              <w:ind w:firstLine="322"/>
            </w:pPr>
          </w:p>
        </w:tc>
      </w:tr>
    </w:tbl>
    <w:p w14:paraId="46F5A851" w14:textId="21883474" w:rsidR="00D02062" w:rsidRDefault="00796AE6" w:rsidP="003A26B2">
      <w:pPr>
        <w:pStyle w:val="Heading2"/>
      </w:pPr>
      <w:r w:rsidRPr="00796AE6">
        <w:lastRenderedPageBreak/>
        <w:t xml:space="preserve">Cultural and creative employment </w:t>
      </w:r>
      <w:r w:rsidR="00175FFC">
        <w:t>varies</w:t>
      </w:r>
      <w:r w:rsidR="00175FFC" w:rsidRPr="00796AE6">
        <w:t xml:space="preserve"> </w:t>
      </w:r>
      <w:r w:rsidR="00175FFC">
        <w:t>by</w:t>
      </w:r>
      <w:r w:rsidRPr="00796AE6">
        <w:t xml:space="preserve"> states and territories</w:t>
      </w:r>
    </w:p>
    <w:p w14:paraId="2FFBA2E1" w14:textId="77777777" w:rsidR="009E481E" w:rsidRPr="009E481E" w:rsidRDefault="009E481E" w:rsidP="009E481E"/>
    <w:tbl>
      <w:tblPr>
        <w:tblStyle w:val="TableGrid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8363"/>
      </w:tblGrid>
      <w:tr w:rsidR="006D681A" w14:paraId="59F8EC22" w14:textId="77777777" w:rsidTr="00F65381">
        <w:tc>
          <w:tcPr>
            <w:tcW w:w="6379" w:type="dxa"/>
            <w:tcBorders>
              <w:right w:val="single" w:sz="4" w:space="0" w:color="auto"/>
            </w:tcBorders>
          </w:tcPr>
          <w:p w14:paraId="0589BCF0" w14:textId="61E903EE" w:rsidR="003C0359" w:rsidRPr="00F65381" w:rsidRDefault="0050319A" w:rsidP="00032804">
            <w:pPr>
              <w:pStyle w:val="Introduction"/>
              <w:spacing w:before="0"/>
              <w:rPr>
                <w:bCs/>
                <w:color w:val="auto"/>
                <w:sz w:val="28"/>
                <w:szCs w:val="28"/>
              </w:rPr>
            </w:pPr>
            <w:r w:rsidRPr="0050319A">
              <w:rPr>
                <w:bCs/>
                <w:color w:val="auto"/>
                <w:sz w:val="28"/>
                <w:szCs w:val="28"/>
              </w:rPr>
              <w:t>In relative terms, cultural and creative employment is higher in New South Wales and Victoria – with these states having higher shares of their respective total workforces in cultural and creative employment</w:t>
            </w:r>
            <w:r w:rsidR="00032804" w:rsidRPr="00F65381">
              <w:rPr>
                <w:bCs/>
                <w:color w:val="auto"/>
                <w:sz w:val="28"/>
                <w:szCs w:val="28"/>
              </w:rPr>
              <w:t>.</w:t>
            </w:r>
          </w:p>
          <w:p w14:paraId="77BDE828" w14:textId="08EDEC9B" w:rsidR="00A63D6C" w:rsidRPr="00F65381" w:rsidRDefault="00032804" w:rsidP="00032804">
            <w:pPr>
              <w:pStyle w:val="Introduction"/>
              <w:spacing w:before="0"/>
              <w:rPr>
                <w:b/>
                <w:bCs/>
                <w:color w:val="auto"/>
                <w:sz w:val="28"/>
                <w:szCs w:val="28"/>
              </w:rPr>
            </w:pPr>
            <w:r w:rsidRPr="00F65381">
              <w:rPr>
                <w:bCs/>
                <w:color w:val="auto"/>
                <w:sz w:val="28"/>
                <w:szCs w:val="28"/>
              </w:rPr>
              <w:t>Tasmania and the Australian Capital Territory show cultural and creative employment shares that are broadly consistent with their total employment shares.</w:t>
            </w:r>
            <w:r w:rsidRPr="00F65381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</w:p>
          <w:p w14:paraId="0B01D95B" w14:textId="29CB626E" w:rsidR="003C0359" w:rsidRPr="00F65381" w:rsidRDefault="00F30D98" w:rsidP="00032804">
            <w:pPr>
              <w:pStyle w:val="Introduction"/>
              <w:spacing w:befor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O</w:t>
            </w:r>
            <w:r w:rsidR="0050319A" w:rsidRPr="0050319A">
              <w:rPr>
                <w:bCs/>
                <w:color w:val="auto"/>
                <w:sz w:val="28"/>
                <w:szCs w:val="28"/>
              </w:rPr>
              <w:t>ther states and territories—particularly Queensland and Western Australia—recorded lower shares of cultural and creative employment relative to their total employment shares</w:t>
            </w:r>
            <w:r w:rsidR="003C0359" w:rsidRPr="00F65381">
              <w:rPr>
                <w:bCs/>
                <w:color w:val="auto"/>
                <w:sz w:val="28"/>
                <w:szCs w:val="28"/>
              </w:rPr>
              <w:t>.</w:t>
            </w:r>
          </w:p>
          <w:p w14:paraId="5320FB5F" w14:textId="7A8BE96E" w:rsidR="003C0359" w:rsidRDefault="003C0359" w:rsidP="00032804">
            <w:pPr>
              <w:pStyle w:val="Introduction"/>
              <w:spacing w:before="0"/>
            </w:pPr>
            <w:r w:rsidRPr="00F65381">
              <w:rPr>
                <w:bCs/>
                <w:color w:val="auto"/>
                <w:sz w:val="28"/>
                <w:szCs w:val="28"/>
              </w:rPr>
              <w:t xml:space="preserve">Between 2008–09 and 2023–24, cultural and creative employment </w:t>
            </w:r>
            <w:r w:rsidR="00F30D98">
              <w:rPr>
                <w:bCs/>
                <w:color w:val="auto"/>
                <w:sz w:val="28"/>
                <w:szCs w:val="28"/>
              </w:rPr>
              <w:t xml:space="preserve">growth was strongest </w:t>
            </w:r>
            <w:r w:rsidRPr="00F65381">
              <w:rPr>
                <w:bCs/>
                <w:color w:val="auto"/>
                <w:sz w:val="28"/>
                <w:szCs w:val="28"/>
              </w:rPr>
              <w:t>in Victoria, increasing by 49.4%, which equates to an additional 57,692 individuals employed in this sector.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7C9063DC" w14:textId="2FBE686B" w:rsidR="00FF3B5A" w:rsidRPr="000E0956" w:rsidRDefault="000E0956" w:rsidP="00C45E17">
            <w:pPr>
              <w:pStyle w:val="Caption"/>
              <w:spacing w:before="0"/>
              <w:ind w:left="323"/>
              <w:rPr>
                <w:sz w:val="24"/>
                <w:szCs w:val="24"/>
              </w:rPr>
            </w:pPr>
            <w:r w:rsidRPr="000E0956">
              <w:rPr>
                <w:sz w:val="24"/>
                <w:szCs w:val="24"/>
              </w:rPr>
              <w:t xml:space="preserve">Figure </w:t>
            </w:r>
            <w:r w:rsidRPr="4AE67189">
              <w:fldChar w:fldCharType="begin"/>
            </w:r>
            <w:r w:rsidRPr="000E0956">
              <w:rPr>
                <w:sz w:val="24"/>
                <w:szCs w:val="24"/>
              </w:rPr>
              <w:instrText xml:space="preserve"> SEQ Figure \* ARABIC </w:instrText>
            </w:r>
            <w:r w:rsidRPr="4AE67189">
              <w:rPr>
                <w:sz w:val="24"/>
                <w:szCs w:val="24"/>
              </w:rPr>
              <w:fldChar w:fldCharType="separate"/>
            </w:r>
            <w:r w:rsidR="00AE7A59">
              <w:rPr>
                <w:noProof/>
                <w:sz w:val="24"/>
                <w:szCs w:val="24"/>
              </w:rPr>
              <w:t>3</w:t>
            </w:r>
            <w:r w:rsidRPr="4AE67189">
              <w:fldChar w:fldCharType="end"/>
            </w:r>
            <w:r w:rsidRPr="000E0956">
              <w:rPr>
                <w:sz w:val="24"/>
                <w:szCs w:val="24"/>
              </w:rPr>
              <w:t xml:space="preserve">. </w:t>
            </w:r>
            <w:r w:rsidR="00032804" w:rsidRPr="000E0956">
              <w:rPr>
                <w:bCs/>
                <w:sz w:val="24"/>
                <w:szCs w:val="24"/>
              </w:rPr>
              <w:t>Cultural and creative employment shares by states and territories, 2023–24</w:t>
            </w:r>
          </w:p>
          <w:p w14:paraId="2753CAC0" w14:textId="12586F7E" w:rsidR="00032804" w:rsidRDefault="001D43C5" w:rsidP="00754773">
            <w:pPr>
              <w:suppressAutoHyphens w:val="0"/>
              <w:spacing w:after="80"/>
              <w:ind w:left="-102" w:firstLine="425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52727AC9" wp14:editId="0DDAB1AC">
                  <wp:extent cx="4657725" cy="2945452"/>
                  <wp:effectExtent l="0" t="0" r="0" b="7620"/>
                  <wp:docPr id="6" name="Picture 6" descr="A column chart that shows the Cultural and creative employment shares by states and territories compared to total employment distribution in 2023-2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741" cy="294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Del="00152D32">
              <w:rPr>
                <w:noProof/>
              </w:rPr>
              <w:t xml:space="preserve"> </w:t>
            </w:r>
          </w:p>
          <w:p w14:paraId="5479A698" w14:textId="5B0FA417" w:rsidR="00A63D6C" w:rsidRPr="00DD4919" w:rsidRDefault="00A63D6C" w:rsidP="000E0956">
            <w:pPr>
              <w:keepNext/>
              <w:suppressAutoHyphens w:val="0"/>
              <w:ind w:left="322"/>
              <w:rPr>
                <w:sz w:val="18"/>
                <w:szCs w:val="18"/>
              </w:rPr>
            </w:pPr>
            <w:r w:rsidRPr="00A365ED">
              <w:rPr>
                <w:sz w:val="18"/>
                <w:szCs w:val="18"/>
              </w:rPr>
              <w:t>Source: ABS Australian System of National Accounts, Australian National Accounts: Input-Output Tables (Product Details); Australian National Accounts: Supply Use Tables; BCARR calculations.</w:t>
            </w:r>
          </w:p>
        </w:tc>
      </w:tr>
    </w:tbl>
    <w:p w14:paraId="0B179AE1" w14:textId="77777777" w:rsidR="00F65381" w:rsidRDefault="00F65381">
      <w:pPr>
        <w:suppressAutoHyphens w:val="0"/>
        <w:rPr>
          <w:rFonts w:asciiTheme="majorHAnsi" w:eastAsiaTheme="majorEastAsia" w:hAnsiTheme="majorHAnsi" w:cstheme="majorBidi"/>
          <w:b/>
          <w:color w:val="081E3E" w:themeColor="text2"/>
          <w:sz w:val="36"/>
          <w:szCs w:val="26"/>
        </w:rPr>
      </w:pPr>
      <w:r>
        <w:br w:type="page"/>
      </w:r>
    </w:p>
    <w:p w14:paraId="26580927" w14:textId="32243EFE" w:rsidR="00A55B63" w:rsidRDefault="007D56BF" w:rsidP="003A26B2">
      <w:pPr>
        <w:pStyle w:val="Heading2"/>
      </w:pPr>
      <w:r w:rsidRPr="007D56BF">
        <w:lastRenderedPageBreak/>
        <w:t xml:space="preserve">Women </w:t>
      </w:r>
      <w:r w:rsidR="00A739FB">
        <w:t>are</w:t>
      </w:r>
      <w:r w:rsidR="00A739FB" w:rsidRPr="007D56BF">
        <w:t xml:space="preserve"> </w:t>
      </w:r>
      <w:r w:rsidR="00A739FB">
        <w:t xml:space="preserve">strongly represented </w:t>
      </w:r>
      <w:r w:rsidRPr="007D56BF">
        <w:t>in cultural and creative domains</w:t>
      </w:r>
    </w:p>
    <w:p w14:paraId="74A51768" w14:textId="77777777" w:rsidR="00465AE1" w:rsidRPr="00465AE1" w:rsidRDefault="00465AE1" w:rsidP="00465AE1"/>
    <w:tbl>
      <w:tblPr>
        <w:tblStyle w:val="TableGrid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9356"/>
      </w:tblGrid>
      <w:tr w:rsidR="00A55B63" w14:paraId="7E1B4C92" w14:textId="77777777" w:rsidTr="00465AE1">
        <w:tc>
          <w:tcPr>
            <w:tcW w:w="5245" w:type="dxa"/>
            <w:tcBorders>
              <w:right w:val="single" w:sz="4" w:space="0" w:color="auto"/>
            </w:tcBorders>
          </w:tcPr>
          <w:p w14:paraId="513F3D8B" w14:textId="65B9DD75" w:rsidR="00A55B63" w:rsidRPr="00796AE6" w:rsidRDefault="003C0359" w:rsidP="000A718A">
            <w:pPr>
              <w:pStyle w:val="Introduction"/>
              <w:spacing w:before="0"/>
              <w:rPr>
                <w:bCs/>
                <w:color w:val="auto"/>
                <w:sz w:val="29"/>
                <w:szCs w:val="29"/>
                <w:lang w:val="en-AU"/>
              </w:rPr>
            </w:pPr>
            <w:r w:rsidRPr="00796AE6">
              <w:rPr>
                <w:bCs/>
                <w:color w:val="auto"/>
                <w:sz w:val="29"/>
                <w:szCs w:val="29"/>
                <w:lang w:val="en-AU"/>
              </w:rPr>
              <w:t>In 2023–24, women made up 56% (331,130) of cultural and creative employment, while men accounted for 44% (260,172). This contrasts with overall employment, in which men accounted for 52.2% and women for 47.8%</w:t>
            </w:r>
            <w:r w:rsidR="001C5DBE" w:rsidRPr="00796AE6">
              <w:rPr>
                <w:bCs/>
                <w:color w:val="auto"/>
                <w:sz w:val="29"/>
                <w:szCs w:val="29"/>
                <w:lang w:val="en-AU"/>
              </w:rPr>
              <w:t>.</w:t>
            </w:r>
            <w:r w:rsidR="00A55B63" w:rsidRPr="00796AE6">
              <w:rPr>
                <w:bCs/>
                <w:color w:val="auto"/>
                <w:sz w:val="29"/>
                <w:szCs w:val="29"/>
                <w:lang w:val="en-AU"/>
              </w:rPr>
              <w:t xml:space="preserve"> </w:t>
            </w:r>
          </w:p>
          <w:p w14:paraId="26399C94" w14:textId="6A1D0185" w:rsidR="001E288E" w:rsidRDefault="003C0359" w:rsidP="008E2D20">
            <w:pPr>
              <w:pStyle w:val="Introduction"/>
              <w:rPr>
                <w:bCs/>
                <w:color w:val="auto"/>
                <w:sz w:val="29"/>
                <w:szCs w:val="29"/>
                <w:lang w:val="en-AU"/>
              </w:rPr>
            </w:pPr>
            <w:r w:rsidRPr="00796AE6">
              <w:rPr>
                <w:bCs/>
                <w:color w:val="auto"/>
                <w:sz w:val="29"/>
                <w:szCs w:val="29"/>
                <w:lang w:val="en-AU"/>
              </w:rPr>
              <w:t xml:space="preserve">Women </w:t>
            </w:r>
            <w:r w:rsidR="001E288E">
              <w:rPr>
                <w:bCs/>
                <w:color w:val="auto"/>
                <w:sz w:val="29"/>
                <w:szCs w:val="29"/>
                <w:lang w:val="en-AU"/>
              </w:rPr>
              <w:t>are strongly represented in</w:t>
            </w:r>
            <w:r w:rsidRPr="00796AE6">
              <w:rPr>
                <w:bCs/>
                <w:color w:val="auto"/>
                <w:sz w:val="29"/>
                <w:szCs w:val="29"/>
                <w:lang w:val="en-AU"/>
              </w:rPr>
              <w:t xml:space="preserve"> cultural and creative domains, particularly in libraries and archives, arts health and wellbeing, and arts education. </w:t>
            </w:r>
          </w:p>
          <w:p w14:paraId="7D938300" w14:textId="294CC133" w:rsidR="003C0359" w:rsidRPr="00796AE6" w:rsidRDefault="001E288E" w:rsidP="008E2D20">
            <w:pPr>
              <w:pStyle w:val="Introduction"/>
              <w:rPr>
                <w:bCs/>
                <w:color w:val="auto"/>
                <w:sz w:val="29"/>
                <w:szCs w:val="29"/>
                <w:lang w:val="en-AU"/>
              </w:rPr>
            </w:pPr>
            <w:r>
              <w:rPr>
                <w:bCs/>
                <w:color w:val="auto"/>
                <w:sz w:val="29"/>
                <w:szCs w:val="29"/>
                <w:lang w:val="en-AU"/>
              </w:rPr>
              <w:t>M</w:t>
            </w:r>
            <w:r w:rsidR="003C0359" w:rsidRPr="00796AE6">
              <w:rPr>
                <w:bCs/>
                <w:color w:val="auto"/>
                <w:sz w:val="29"/>
                <w:szCs w:val="29"/>
                <w:lang w:val="en-AU"/>
              </w:rPr>
              <w:t>en represent</w:t>
            </w:r>
            <w:r>
              <w:rPr>
                <w:bCs/>
                <w:color w:val="auto"/>
                <w:sz w:val="29"/>
                <w:szCs w:val="29"/>
                <w:lang w:val="en-AU"/>
              </w:rPr>
              <w:t>ed</w:t>
            </w:r>
            <w:r w:rsidR="003C0359" w:rsidRPr="00796AE6">
              <w:rPr>
                <w:bCs/>
                <w:color w:val="auto"/>
                <w:sz w:val="29"/>
                <w:szCs w:val="29"/>
                <w:lang w:val="en-AU"/>
              </w:rPr>
              <w:t xml:space="preserve"> a larger share of roles in music production and distribution, architecture services, digital games development, and film and television activities.</w:t>
            </w:r>
          </w:p>
          <w:p w14:paraId="0228CE76" w14:textId="77777777" w:rsidR="00A55B63" w:rsidRDefault="00A55B63" w:rsidP="00465AE1">
            <w:pPr>
              <w:pStyle w:val="Introduction"/>
            </w:pPr>
          </w:p>
        </w:tc>
        <w:tc>
          <w:tcPr>
            <w:tcW w:w="9356" w:type="dxa"/>
            <w:tcBorders>
              <w:left w:val="single" w:sz="4" w:space="0" w:color="auto"/>
            </w:tcBorders>
          </w:tcPr>
          <w:p w14:paraId="6DDDB2D8" w14:textId="2E968E14" w:rsidR="001C5DBE" w:rsidRDefault="000E0956" w:rsidP="00465AE1">
            <w:pPr>
              <w:suppressAutoHyphens w:val="0"/>
              <w:spacing w:after="240"/>
              <w:ind w:left="-102" w:firstLine="425"/>
              <w:rPr>
                <w:b/>
                <w:bCs/>
                <w:sz w:val="26"/>
                <w:szCs w:val="26"/>
              </w:rPr>
            </w:pPr>
            <w:r w:rsidRPr="000E0956">
              <w:rPr>
                <w:b/>
                <w:bCs/>
                <w:sz w:val="24"/>
                <w:szCs w:val="24"/>
              </w:rPr>
              <w:t xml:space="preserve">Figure </w:t>
            </w:r>
            <w:r w:rsidRPr="4AE67189">
              <w:fldChar w:fldCharType="begin"/>
            </w:r>
            <w:r w:rsidRPr="000E0956">
              <w:rPr>
                <w:b/>
                <w:bCs/>
                <w:sz w:val="24"/>
                <w:szCs w:val="24"/>
              </w:rPr>
              <w:instrText xml:space="preserve"> SEQ Figure \* ARABIC </w:instrText>
            </w:r>
            <w:r w:rsidRPr="4AE67189">
              <w:rPr>
                <w:b/>
                <w:bCs/>
                <w:sz w:val="24"/>
                <w:szCs w:val="24"/>
              </w:rPr>
              <w:fldChar w:fldCharType="separate"/>
            </w:r>
            <w:r w:rsidR="00AE7A59">
              <w:rPr>
                <w:b/>
                <w:bCs/>
                <w:noProof/>
                <w:sz w:val="24"/>
                <w:szCs w:val="24"/>
              </w:rPr>
              <w:t>4</w:t>
            </w:r>
            <w:r w:rsidRPr="4AE67189">
              <w:fldChar w:fldCharType="end"/>
            </w:r>
            <w:r w:rsidRPr="000E0956">
              <w:rPr>
                <w:b/>
                <w:bCs/>
                <w:sz w:val="24"/>
                <w:szCs w:val="24"/>
              </w:rPr>
              <w:t>.</w:t>
            </w:r>
            <w:r w:rsidRPr="000E0956">
              <w:rPr>
                <w:sz w:val="24"/>
                <w:szCs w:val="24"/>
              </w:rPr>
              <w:t xml:space="preserve"> </w:t>
            </w:r>
            <w:r w:rsidR="003C0359" w:rsidRPr="003C0359">
              <w:rPr>
                <w:b/>
                <w:bCs/>
                <w:sz w:val="26"/>
                <w:szCs w:val="26"/>
              </w:rPr>
              <w:t>Cultural and creative employment by domain and sex, 2023–24</w:t>
            </w:r>
          </w:p>
          <w:p w14:paraId="116DAC94" w14:textId="1CA37826" w:rsidR="006B1AD7" w:rsidRDefault="00465AE1" w:rsidP="000E0956">
            <w:pPr>
              <w:suppressAutoHyphens w:val="0"/>
              <w:ind w:left="-103" w:firstLine="425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6450D04" wp14:editId="7628CF9B">
                  <wp:extent cx="5494351" cy="3414395"/>
                  <wp:effectExtent l="0" t="0" r="0" b="0"/>
                  <wp:docPr id="2137027874" name="Picture 2137027874" descr="A bar chart showing cultural and creative employment by domain and sex in 2023–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027874" name="Picture 2137027874" descr="A bar chart showing cultural and creative employment by domain and sex in 2023–24"/>
                          <pic:cNvPicPr/>
                        </pic:nvPicPr>
                        <pic:blipFill rotWithShape="1">
                          <a:blip r:embed="rId20"/>
                          <a:srcRect r="2298"/>
                          <a:stretch/>
                        </pic:blipFill>
                        <pic:spPr bwMode="auto">
                          <a:xfrm>
                            <a:off x="0" y="0"/>
                            <a:ext cx="5494351" cy="341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B4A528" w14:textId="434C3A81" w:rsidR="00A55B63" w:rsidRPr="000E0956" w:rsidRDefault="00A55B63" w:rsidP="000E0956">
            <w:pPr>
              <w:suppressAutoHyphens w:val="0"/>
              <w:ind w:left="-103" w:firstLine="425"/>
              <w:rPr>
                <w:b/>
                <w:bCs/>
                <w:sz w:val="26"/>
                <w:szCs w:val="26"/>
              </w:rPr>
            </w:pPr>
          </w:p>
          <w:p w14:paraId="47B4CCA2" w14:textId="0D819CCC" w:rsidR="00A55B63" w:rsidRPr="00F65381" w:rsidRDefault="00A55B63" w:rsidP="00F65381">
            <w:pPr>
              <w:suppressAutoHyphens w:val="0"/>
              <w:ind w:left="323"/>
              <w:rPr>
                <w:sz w:val="18"/>
                <w:szCs w:val="18"/>
              </w:rPr>
            </w:pPr>
            <w:r w:rsidRPr="00A365ED">
              <w:rPr>
                <w:sz w:val="18"/>
                <w:szCs w:val="18"/>
              </w:rPr>
              <w:t>Source: ABS Australian System of National Accounts, Australian National Accounts: Input-Output Tables (Product Details); Australian National Accounts: Supply Use Tables; BCARR calculations.</w:t>
            </w:r>
          </w:p>
        </w:tc>
      </w:tr>
    </w:tbl>
    <w:p w14:paraId="2EE19309" w14:textId="77777777" w:rsidR="00465AE1" w:rsidRDefault="00465AE1" w:rsidP="00465AE1"/>
    <w:p w14:paraId="0EF0A70C" w14:textId="77777777" w:rsidR="00465AE1" w:rsidRDefault="00465AE1">
      <w:pPr>
        <w:suppressAutoHyphens w:val="0"/>
        <w:rPr>
          <w:rFonts w:asciiTheme="majorHAnsi" w:eastAsiaTheme="majorEastAsia" w:hAnsiTheme="majorHAnsi" w:cstheme="majorBidi"/>
          <w:b/>
          <w:color w:val="081E3E" w:themeColor="text2"/>
          <w:sz w:val="36"/>
          <w:szCs w:val="26"/>
        </w:rPr>
      </w:pPr>
      <w:r>
        <w:br w:type="page"/>
      </w:r>
    </w:p>
    <w:p w14:paraId="4931D4A4" w14:textId="363B2646" w:rsidR="007D56BF" w:rsidRDefault="005C3561" w:rsidP="007D56BF">
      <w:pPr>
        <w:pStyle w:val="Heading2"/>
      </w:pPr>
      <w:r>
        <w:lastRenderedPageBreak/>
        <w:t xml:space="preserve">Age </w:t>
      </w:r>
      <w:r w:rsidR="4AE67189">
        <w:t xml:space="preserve">profile </w:t>
      </w:r>
      <w:r>
        <w:t xml:space="preserve">of </w:t>
      </w:r>
      <w:r w:rsidR="009156C5">
        <w:t xml:space="preserve">Australia’s </w:t>
      </w:r>
      <w:r>
        <w:t>cultural and creative workforce</w:t>
      </w:r>
    </w:p>
    <w:p w14:paraId="6082F671" w14:textId="77777777" w:rsidR="00465AE1" w:rsidRPr="00465AE1" w:rsidRDefault="00465AE1" w:rsidP="00465AE1"/>
    <w:tbl>
      <w:tblPr>
        <w:tblStyle w:val="TableGrid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9072"/>
      </w:tblGrid>
      <w:tr w:rsidR="007D56BF" w14:paraId="02B57015" w14:textId="77777777" w:rsidTr="007E41C6">
        <w:tc>
          <w:tcPr>
            <w:tcW w:w="5529" w:type="dxa"/>
            <w:tcBorders>
              <w:right w:val="single" w:sz="4" w:space="0" w:color="auto"/>
            </w:tcBorders>
          </w:tcPr>
          <w:p w14:paraId="07DAC6E7" w14:textId="2213A7A7" w:rsidR="00465AE1" w:rsidRDefault="00465AE1" w:rsidP="00465AE1">
            <w:pPr>
              <w:pStyle w:val="Introduction"/>
              <w:spacing w:before="0"/>
              <w:rPr>
                <w:bCs/>
                <w:color w:val="auto"/>
                <w:sz w:val="29"/>
                <w:szCs w:val="29"/>
                <w:lang w:val="en-AU"/>
              </w:rPr>
            </w:pPr>
            <w:r>
              <w:rPr>
                <w:bCs/>
                <w:color w:val="auto"/>
                <w:sz w:val="29"/>
                <w:szCs w:val="29"/>
                <w:lang w:val="en-AU"/>
              </w:rPr>
              <w:t>I</w:t>
            </w:r>
            <w:r w:rsidRPr="00465AE1">
              <w:rPr>
                <w:bCs/>
                <w:color w:val="auto"/>
                <w:sz w:val="29"/>
                <w:szCs w:val="29"/>
                <w:lang w:val="en-AU"/>
              </w:rPr>
              <w:t xml:space="preserve">ndividuals working in cultural and creative </w:t>
            </w:r>
            <w:r w:rsidR="00CF753B">
              <w:rPr>
                <w:bCs/>
                <w:color w:val="auto"/>
                <w:sz w:val="29"/>
                <w:szCs w:val="29"/>
                <w:lang w:val="en-AU"/>
              </w:rPr>
              <w:t>domains</w:t>
            </w:r>
            <w:r w:rsidR="00CF753B" w:rsidRPr="00465AE1">
              <w:rPr>
                <w:bCs/>
                <w:color w:val="auto"/>
                <w:sz w:val="29"/>
                <w:szCs w:val="29"/>
                <w:lang w:val="en-AU"/>
              </w:rPr>
              <w:t xml:space="preserve"> </w:t>
            </w:r>
            <w:r w:rsidR="00926C7D">
              <w:rPr>
                <w:bCs/>
                <w:color w:val="auto"/>
                <w:sz w:val="29"/>
                <w:szCs w:val="29"/>
                <w:lang w:val="en-AU"/>
              </w:rPr>
              <w:t>we</w:t>
            </w:r>
            <w:r w:rsidR="00926C7D" w:rsidRPr="00465AE1">
              <w:rPr>
                <w:bCs/>
                <w:color w:val="auto"/>
                <w:sz w:val="29"/>
                <w:szCs w:val="29"/>
                <w:lang w:val="en-AU"/>
              </w:rPr>
              <w:t xml:space="preserve">re </w:t>
            </w:r>
            <w:r w:rsidRPr="00465AE1">
              <w:rPr>
                <w:bCs/>
                <w:color w:val="auto"/>
                <w:sz w:val="29"/>
                <w:szCs w:val="29"/>
                <w:lang w:val="en-AU"/>
              </w:rPr>
              <w:t xml:space="preserve">predominantly between the ages of 20 and 49 years. </w:t>
            </w:r>
          </w:p>
          <w:p w14:paraId="53385FE9" w14:textId="7FA1FF47" w:rsidR="00465AE1" w:rsidRDefault="00465AE1" w:rsidP="00465AE1">
            <w:pPr>
              <w:pStyle w:val="Introduction"/>
              <w:spacing w:before="0"/>
              <w:rPr>
                <w:bCs/>
                <w:color w:val="auto"/>
                <w:sz w:val="29"/>
                <w:szCs w:val="29"/>
                <w:lang w:val="en-AU"/>
              </w:rPr>
            </w:pPr>
            <w:r w:rsidRPr="00465AE1">
              <w:rPr>
                <w:bCs/>
                <w:color w:val="auto"/>
                <w:sz w:val="29"/>
                <w:szCs w:val="29"/>
                <w:lang w:val="en-AU"/>
              </w:rPr>
              <w:t>The mean age of the cultural and creative workforce increased from 39.5 years in 2008–09 to 40.6 years in 2023–24, while the median age changed from 38 years to 39</w:t>
            </w:r>
            <w:r w:rsidR="009156C5">
              <w:rPr>
                <w:bCs/>
                <w:color w:val="auto"/>
                <w:sz w:val="29"/>
                <w:szCs w:val="29"/>
                <w:lang w:val="en-AU"/>
              </w:rPr>
              <w:t> </w:t>
            </w:r>
            <w:r w:rsidRPr="00465AE1">
              <w:rPr>
                <w:bCs/>
                <w:color w:val="auto"/>
                <w:sz w:val="29"/>
                <w:szCs w:val="29"/>
                <w:lang w:val="en-AU"/>
              </w:rPr>
              <w:t xml:space="preserve">years over the same period. </w:t>
            </w:r>
            <w:r w:rsidR="00CF753B" w:rsidRPr="00CF753B">
              <w:rPr>
                <w:bCs/>
                <w:color w:val="auto"/>
                <w:sz w:val="29"/>
                <w:szCs w:val="29"/>
                <w:lang w:val="en-AU"/>
              </w:rPr>
              <w:t xml:space="preserve">The median age of those employed within </w:t>
            </w:r>
            <w:r w:rsidR="00CF753B">
              <w:rPr>
                <w:bCs/>
                <w:color w:val="auto"/>
                <w:sz w:val="29"/>
                <w:szCs w:val="29"/>
                <w:lang w:val="en-AU"/>
              </w:rPr>
              <w:t xml:space="preserve">the </w:t>
            </w:r>
            <w:r w:rsidR="00CF753B" w:rsidRPr="00CF753B">
              <w:rPr>
                <w:bCs/>
                <w:color w:val="auto"/>
                <w:sz w:val="29"/>
                <w:szCs w:val="29"/>
                <w:lang w:val="en-AU"/>
              </w:rPr>
              <w:t>cultural and creative sector was in line with total employment in Australia – also 39 years in 2023–24.</w:t>
            </w:r>
          </w:p>
          <w:p w14:paraId="26FC0F8C" w14:textId="1691337B" w:rsidR="007D56BF" w:rsidRPr="00796AE6" w:rsidRDefault="007D56BF" w:rsidP="00465AE1">
            <w:pPr>
              <w:pStyle w:val="Introduction"/>
              <w:spacing w:before="0"/>
              <w:rPr>
                <w:bCs/>
                <w:color w:val="auto"/>
                <w:sz w:val="29"/>
                <w:szCs w:val="29"/>
                <w:lang w:val="en-AU"/>
              </w:rPr>
            </w:pPr>
            <w:r w:rsidRPr="00796AE6">
              <w:rPr>
                <w:bCs/>
                <w:color w:val="auto"/>
                <w:sz w:val="29"/>
                <w:szCs w:val="29"/>
                <w:lang w:val="en-AU"/>
              </w:rPr>
              <w:t>The libraries and archives domain had the oldest workers on average, with a mean age of 48.6 years and a median age of 50 years</w:t>
            </w:r>
            <w:r w:rsidR="00A64914">
              <w:rPr>
                <w:bCs/>
                <w:color w:val="auto"/>
                <w:sz w:val="29"/>
                <w:szCs w:val="29"/>
                <w:lang w:val="en-AU"/>
              </w:rPr>
              <w:t xml:space="preserve"> in </w:t>
            </w:r>
            <w:r w:rsidR="00A64914" w:rsidRPr="00A64914">
              <w:rPr>
                <w:bCs/>
                <w:color w:val="auto"/>
                <w:sz w:val="29"/>
                <w:szCs w:val="29"/>
                <w:lang w:val="en-AU"/>
              </w:rPr>
              <w:t>2023–24</w:t>
            </w:r>
            <w:r w:rsidRPr="00796AE6">
              <w:rPr>
                <w:bCs/>
                <w:color w:val="auto"/>
                <w:sz w:val="29"/>
                <w:szCs w:val="29"/>
                <w:lang w:val="en-AU"/>
              </w:rPr>
              <w:t>. Conversely, the digital games development domain had the youngest workers on average, with a mean age of 36.9 years and a median age of 36 years.</w:t>
            </w:r>
          </w:p>
          <w:p w14:paraId="2EED4381" w14:textId="77777777" w:rsidR="007D56BF" w:rsidRDefault="007D56BF" w:rsidP="007E41C6">
            <w:pPr>
              <w:suppressAutoHyphens w:val="0"/>
              <w:rPr>
                <w:lang w:val="x-none"/>
              </w:rPr>
            </w:pPr>
          </w:p>
        </w:tc>
        <w:tc>
          <w:tcPr>
            <w:tcW w:w="9072" w:type="dxa"/>
            <w:tcBorders>
              <w:left w:val="single" w:sz="4" w:space="0" w:color="auto"/>
            </w:tcBorders>
          </w:tcPr>
          <w:p w14:paraId="64AAEEBD" w14:textId="1B2C7CA4" w:rsidR="007D56BF" w:rsidRDefault="007D56BF" w:rsidP="00465AE1">
            <w:pPr>
              <w:suppressAutoHyphens w:val="0"/>
              <w:spacing w:after="240"/>
              <w:ind w:left="323"/>
              <w:rPr>
                <w:b/>
                <w:bCs/>
                <w:sz w:val="26"/>
                <w:szCs w:val="26"/>
              </w:rPr>
            </w:pPr>
            <w:r w:rsidRPr="000E0956">
              <w:rPr>
                <w:b/>
                <w:bCs/>
                <w:sz w:val="24"/>
                <w:szCs w:val="24"/>
              </w:rPr>
              <w:t xml:space="preserve">Figure </w:t>
            </w:r>
            <w:r w:rsidRPr="4AE67189">
              <w:fldChar w:fldCharType="begin"/>
            </w:r>
            <w:r w:rsidRPr="000E0956">
              <w:rPr>
                <w:b/>
                <w:bCs/>
                <w:sz w:val="24"/>
                <w:szCs w:val="24"/>
              </w:rPr>
              <w:instrText xml:space="preserve"> SEQ Figure \* ARABIC </w:instrText>
            </w:r>
            <w:r w:rsidRPr="4AE67189">
              <w:rPr>
                <w:b/>
                <w:bCs/>
                <w:sz w:val="24"/>
                <w:szCs w:val="24"/>
              </w:rPr>
              <w:fldChar w:fldCharType="separate"/>
            </w:r>
            <w:r w:rsidR="00AE7A59">
              <w:rPr>
                <w:b/>
                <w:bCs/>
                <w:noProof/>
                <w:sz w:val="24"/>
                <w:szCs w:val="24"/>
              </w:rPr>
              <w:t>5</w:t>
            </w:r>
            <w:r w:rsidRPr="4AE67189">
              <w:fldChar w:fldCharType="end"/>
            </w:r>
            <w:r w:rsidRPr="000E0956">
              <w:rPr>
                <w:b/>
                <w:bCs/>
                <w:sz w:val="24"/>
                <w:szCs w:val="24"/>
              </w:rPr>
              <w:t>.</w:t>
            </w:r>
            <w:r w:rsidRPr="000E0956">
              <w:rPr>
                <w:sz w:val="24"/>
                <w:szCs w:val="24"/>
              </w:rPr>
              <w:t xml:space="preserve"> </w:t>
            </w:r>
            <w:r w:rsidRPr="000E0956">
              <w:rPr>
                <w:b/>
                <w:bCs/>
                <w:sz w:val="26"/>
                <w:szCs w:val="26"/>
              </w:rPr>
              <w:t xml:space="preserve">Mean and median age of cultural and creative </w:t>
            </w:r>
            <w:r>
              <w:rPr>
                <w:b/>
                <w:bCs/>
                <w:sz w:val="26"/>
                <w:szCs w:val="26"/>
              </w:rPr>
              <w:t>employment</w:t>
            </w:r>
            <w:r w:rsidRPr="000E0956">
              <w:rPr>
                <w:b/>
                <w:bCs/>
                <w:sz w:val="26"/>
                <w:szCs w:val="26"/>
              </w:rPr>
              <w:t>, 2023–24</w:t>
            </w:r>
          </w:p>
          <w:p w14:paraId="7426D56E" w14:textId="1B561971" w:rsidR="00465AE1" w:rsidRPr="000E0956" w:rsidRDefault="00465AE1" w:rsidP="00465AE1">
            <w:pPr>
              <w:suppressAutoHyphens w:val="0"/>
              <w:ind w:left="323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11AD319" wp14:editId="52743601">
                  <wp:extent cx="5589767" cy="3460750"/>
                  <wp:effectExtent l="0" t="0" r="0" b="6350"/>
                  <wp:docPr id="2137027875" name="Picture 2137027875" descr="Dot point chart showing mean and median age of cultural and creative employment by domain in 2023–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027875" name="Picture 2137027875" descr="Dot point chart showing mean and median age of cultural and creative employment by domain in 2023–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264" cy="346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5C02D" w14:textId="30EEC715" w:rsidR="007D56BF" w:rsidRPr="000E0956" w:rsidRDefault="007D56BF" w:rsidP="007E41C6">
            <w:pPr>
              <w:suppressAutoHyphens w:val="0"/>
              <w:ind w:left="-103" w:firstLine="425"/>
              <w:rPr>
                <w:b/>
                <w:bCs/>
                <w:sz w:val="26"/>
                <w:szCs w:val="26"/>
              </w:rPr>
            </w:pPr>
          </w:p>
          <w:p w14:paraId="67FA26F5" w14:textId="77777777" w:rsidR="007D56BF" w:rsidRPr="00F65381" w:rsidRDefault="007D56BF" w:rsidP="007E41C6">
            <w:pPr>
              <w:suppressAutoHyphens w:val="0"/>
              <w:ind w:left="323"/>
              <w:rPr>
                <w:sz w:val="18"/>
                <w:szCs w:val="18"/>
              </w:rPr>
            </w:pPr>
            <w:r w:rsidRPr="00A365ED">
              <w:rPr>
                <w:sz w:val="18"/>
                <w:szCs w:val="18"/>
              </w:rPr>
              <w:t>Source: ABS Australian System of National Accounts, Australian National Accounts: Input-Output Tables (Product Details); Australian National Accounts: Supply Use Tables; BCARR calculations.</w:t>
            </w:r>
          </w:p>
        </w:tc>
      </w:tr>
    </w:tbl>
    <w:p w14:paraId="14F4A6AA" w14:textId="77777777" w:rsidR="00465AE1" w:rsidRDefault="00465AE1">
      <w:pPr>
        <w:suppressAutoHyphens w:val="0"/>
        <w:rPr>
          <w:rFonts w:asciiTheme="majorHAnsi" w:eastAsiaTheme="majorEastAsia" w:hAnsiTheme="majorHAnsi" w:cstheme="majorBidi"/>
          <w:b/>
          <w:color w:val="081E3E" w:themeColor="text2"/>
          <w:sz w:val="36"/>
          <w:szCs w:val="26"/>
        </w:rPr>
      </w:pPr>
      <w:r>
        <w:br w:type="page"/>
      </w:r>
    </w:p>
    <w:p w14:paraId="6E5D2FFC" w14:textId="77777777" w:rsidR="00507E29" w:rsidRDefault="00507E29" w:rsidP="00507E29">
      <w:pPr>
        <w:pStyle w:val="Heading2"/>
      </w:pPr>
      <w:r w:rsidRPr="000A718A">
        <w:lastRenderedPageBreak/>
        <w:t>First Nations employ</w:t>
      </w:r>
      <w:r>
        <w:t>ment</w:t>
      </w:r>
      <w:r w:rsidRPr="000A718A">
        <w:t xml:space="preserve"> in the cultural and creative sector</w:t>
      </w:r>
    </w:p>
    <w:p w14:paraId="0806BC9A" w14:textId="77777777" w:rsidR="00507E29" w:rsidRPr="00767C87" w:rsidRDefault="00507E29" w:rsidP="00507E29"/>
    <w:tbl>
      <w:tblPr>
        <w:tblStyle w:val="TableGrid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9639"/>
      </w:tblGrid>
      <w:tr w:rsidR="00507E29" w14:paraId="07C3E595" w14:textId="77777777" w:rsidTr="00782EEE">
        <w:tc>
          <w:tcPr>
            <w:tcW w:w="5103" w:type="dxa"/>
            <w:tcBorders>
              <w:right w:val="single" w:sz="4" w:space="0" w:color="auto"/>
            </w:tcBorders>
          </w:tcPr>
          <w:p w14:paraId="057E22B6" w14:textId="77777777" w:rsidR="00507E29" w:rsidRPr="000A718A" w:rsidRDefault="00507E29" w:rsidP="00782EEE">
            <w:pPr>
              <w:suppressAutoHyphens w:val="0"/>
              <w:rPr>
                <w:color w:val="auto"/>
                <w:sz w:val="28"/>
                <w:szCs w:val="28"/>
              </w:rPr>
            </w:pPr>
            <w:r w:rsidRPr="4AE67189">
              <w:rPr>
                <w:color w:val="auto"/>
                <w:sz w:val="28"/>
                <w:szCs w:val="28"/>
              </w:rPr>
              <w:t xml:space="preserve">Although First Nations employment in the cultural and creative sector remains small compared to non-Indigenous employment, it has grown significantly. </w:t>
            </w:r>
          </w:p>
          <w:p w14:paraId="53064D86" w14:textId="0E701E60" w:rsidR="00507E29" w:rsidRPr="000A718A" w:rsidRDefault="00507E29" w:rsidP="00782EEE">
            <w:pPr>
              <w:suppressAutoHyphens w:val="0"/>
              <w:spacing w:before="240"/>
              <w:rPr>
                <w:color w:val="auto"/>
                <w:sz w:val="28"/>
                <w:szCs w:val="28"/>
              </w:rPr>
            </w:pPr>
            <w:r w:rsidRPr="4AE67189">
              <w:rPr>
                <w:color w:val="auto"/>
                <w:sz w:val="28"/>
                <w:szCs w:val="28"/>
              </w:rPr>
              <w:t>In 2023–24, an estimated 4,955 First Nations were employed</w:t>
            </w:r>
            <w:r>
              <w:rPr>
                <w:color w:val="auto"/>
                <w:sz w:val="28"/>
                <w:szCs w:val="28"/>
              </w:rPr>
              <w:t xml:space="preserve"> in the cultural and creative sector</w:t>
            </w:r>
            <w:r w:rsidRPr="4AE67189">
              <w:rPr>
                <w:color w:val="auto"/>
                <w:sz w:val="28"/>
                <w:szCs w:val="28"/>
              </w:rPr>
              <w:t>, an increase of 82.5% from 2,716. First Nations share of total cultural and creative employment rose from 0.6% to 0.8% during this period.</w:t>
            </w:r>
          </w:p>
          <w:p w14:paraId="33D8EA5E" w14:textId="77777777" w:rsidR="00507E29" w:rsidRDefault="00507E29" w:rsidP="00782EEE">
            <w:pPr>
              <w:suppressAutoHyphens w:val="0"/>
              <w:spacing w:before="240"/>
              <w:rPr>
                <w:lang w:val="x-none"/>
              </w:rPr>
            </w:pPr>
            <w:r w:rsidRPr="4AE67189">
              <w:rPr>
                <w:color w:val="auto"/>
                <w:sz w:val="28"/>
                <w:szCs w:val="28"/>
              </w:rPr>
              <w:t xml:space="preserve">Most First Nations workers </w:t>
            </w:r>
            <w:r>
              <w:rPr>
                <w:color w:val="auto"/>
                <w:sz w:val="28"/>
                <w:szCs w:val="28"/>
              </w:rPr>
              <w:t>we</w:t>
            </w:r>
            <w:r w:rsidRPr="4AE67189">
              <w:rPr>
                <w:color w:val="auto"/>
                <w:sz w:val="28"/>
                <w:szCs w:val="28"/>
              </w:rPr>
              <w:t>re employed in the domains of visual arts and crafts; events (arts); literature, creative and performing arts; and advertising and promotion. These four domains constituted approximately 52% of total First Nations employment within the cultural and creative sector in 2023–24.</w:t>
            </w:r>
          </w:p>
        </w:tc>
        <w:tc>
          <w:tcPr>
            <w:tcW w:w="9639" w:type="dxa"/>
            <w:tcBorders>
              <w:left w:val="single" w:sz="4" w:space="0" w:color="auto"/>
            </w:tcBorders>
          </w:tcPr>
          <w:p w14:paraId="23A3E613" w14:textId="584B817D" w:rsidR="00507E29" w:rsidRPr="00767C87" w:rsidRDefault="00507E29" w:rsidP="00782EEE">
            <w:pPr>
              <w:suppressAutoHyphens w:val="0"/>
              <w:spacing w:after="240"/>
              <w:ind w:left="-102" w:firstLine="425"/>
              <w:rPr>
                <w:b/>
                <w:bCs/>
                <w:sz w:val="24"/>
                <w:szCs w:val="24"/>
              </w:rPr>
            </w:pPr>
            <w:r w:rsidRPr="00767C87">
              <w:rPr>
                <w:b/>
                <w:bCs/>
                <w:sz w:val="24"/>
                <w:szCs w:val="24"/>
              </w:rPr>
              <w:t xml:space="preserve">Figure </w:t>
            </w:r>
            <w:r w:rsidRPr="4AE67189">
              <w:fldChar w:fldCharType="begin"/>
            </w:r>
            <w:r w:rsidRPr="00767C87">
              <w:rPr>
                <w:b/>
                <w:bCs/>
                <w:sz w:val="24"/>
                <w:szCs w:val="24"/>
              </w:rPr>
              <w:instrText xml:space="preserve"> SEQ Figure \* ARABIC </w:instrText>
            </w:r>
            <w:r w:rsidRPr="4AE67189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</w:rPr>
              <w:t>6</w:t>
            </w:r>
            <w:r w:rsidRPr="4AE67189">
              <w:fldChar w:fldCharType="end"/>
            </w:r>
            <w:r w:rsidRPr="00767C87">
              <w:rPr>
                <w:b/>
                <w:bCs/>
                <w:sz w:val="24"/>
                <w:szCs w:val="24"/>
              </w:rPr>
              <w:t>.</w:t>
            </w:r>
            <w:r w:rsidRPr="00767C87">
              <w:rPr>
                <w:sz w:val="24"/>
                <w:szCs w:val="24"/>
              </w:rPr>
              <w:t xml:space="preserve"> </w:t>
            </w:r>
            <w:r w:rsidRPr="00767C87">
              <w:rPr>
                <w:b/>
                <w:bCs/>
                <w:sz w:val="24"/>
                <w:szCs w:val="24"/>
              </w:rPr>
              <w:t>First Nations employ</w:t>
            </w:r>
            <w:r w:rsidR="00254E7E">
              <w:rPr>
                <w:b/>
                <w:bCs/>
                <w:sz w:val="24"/>
                <w:szCs w:val="24"/>
              </w:rPr>
              <w:t>ment</w:t>
            </w:r>
            <w:r w:rsidRPr="00767C87">
              <w:rPr>
                <w:b/>
                <w:bCs/>
                <w:sz w:val="24"/>
                <w:szCs w:val="24"/>
              </w:rPr>
              <w:t xml:space="preserve"> in </w:t>
            </w:r>
            <w:r w:rsidR="00254E7E">
              <w:rPr>
                <w:b/>
                <w:bCs/>
                <w:sz w:val="24"/>
                <w:szCs w:val="24"/>
              </w:rPr>
              <w:t>the</w:t>
            </w:r>
            <w:r w:rsidRPr="00767C87">
              <w:rPr>
                <w:b/>
                <w:bCs/>
                <w:sz w:val="24"/>
                <w:szCs w:val="24"/>
              </w:rPr>
              <w:t xml:space="preserve"> cultural and creative sector</w:t>
            </w:r>
          </w:p>
          <w:p w14:paraId="63B38A73" w14:textId="3BC09729" w:rsidR="00FF78AF" w:rsidRPr="00767C87" w:rsidRDefault="00B172C7" w:rsidP="00C367C8">
            <w:pPr>
              <w:suppressAutoHyphens w:val="0"/>
              <w:spacing w:after="240"/>
              <w:ind w:left="-102" w:firstLine="425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73DDED" wp14:editId="7CC5DAC3">
                  <wp:extent cx="5747657" cy="3141345"/>
                  <wp:effectExtent l="0" t="0" r="5715" b="1905"/>
                  <wp:docPr id="11" name="Picture 11" descr="A combo column and line chart showing the first nations employment in cultural and creative sector and as a share of total cultural and creative employ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568" cy="314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FCD4D" w14:textId="5CC5BF1E" w:rsidR="00507E29" w:rsidRPr="00A365ED" w:rsidRDefault="00507E29" w:rsidP="00782EEE">
            <w:pPr>
              <w:suppressAutoHyphens w:val="0"/>
              <w:ind w:left="322"/>
            </w:pPr>
            <w:r w:rsidRPr="00A365ED">
              <w:rPr>
                <w:sz w:val="18"/>
                <w:szCs w:val="18"/>
              </w:rPr>
              <w:t>Source: ABS Australian System of National Accounts, Australian National Accounts: Input-Output Tables (Product Details); Australian National Accounts: Supply Use Tables; BCARR calculations.</w:t>
            </w:r>
          </w:p>
        </w:tc>
      </w:tr>
    </w:tbl>
    <w:p w14:paraId="014B3A1B" w14:textId="77777777" w:rsidR="00507E29" w:rsidRDefault="00507E29" w:rsidP="00507E29">
      <w:pPr>
        <w:spacing w:before="120"/>
      </w:pPr>
    </w:p>
    <w:p w14:paraId="3E00E165" w14:textId="77777777" w:rsidR="00507E29" w:rsidRDefault="00507E29" w:rsidP="00507E29">
      <w:pPr>
        <w:suppressAutoHyphens w:val="0"/>
        <w:rPr>
          <w:rFonts w:asciiTheme="majorHAnsi" w:eastAsiaTheme="majorEastAsia" w:hAnsiTheme="majorHAnsi" w:cstheme="majorBidi"/>
          <w:b/>
          <w:color w:val="081E3E" w:themeColor="text2"/>
          <w:sz w:val="36"/>
          <w:szCs w:val="26"/>
        </w:rPr>
      </w:pPr>
      <w:r>
        <w:br w:type="page"/>
      </w:r>
    </w:p>
    <w:p w14:paraId="3DA1AC0F" w14:textId="1A7E3EF9" w:rsidR="000A718A" w:rsidRPr="00D0397A" w:rsidRDefault="00C45E17" w:rsidP="000A718A">
      <w:pPr>
        <w:pStyle w:val="Heading2"/>
      </w:pPr>
      <w:r w:rsidRPr="00C45E17">
        <w:lastRenderedPageBreak/>
        <w:t>Secondary jobs play an important role in the cultural and creative sector</w:t>
      </w:r>
    </w:p>
    <w:tbl>
      <w:tblPr>
        <w:tblStyle w:val="TableGrid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9781"/>
      </w:tblGrid>
      <w:tr w:rsidR="000A718A" w14:paraId="024A701F" w14:textId="77777777" w:rsidTr="00C45E17">
        <w:tc>
          <w:tcPr>
            <w:tcW w:w="5103" w:type="dxa"/>
            <w:tcBorders>
              <w:right w:val="single" w:sz="4" w:space="0" w:color="auto"/>
            </w:tcBorders>
          </w:tcPr>
          <w:p w14:paraId="1A8949CD" w14:textId="691BF38B" w:rsidR="00C45E17" w:rsidRPr="005E426E" w:rsidRDefault="00C45E17" w:rsidP="00D959EC">
            <w:pPr>
              <w:pStyle w:val="Introduction"/>
              <w:spacing w:before="0"/>
              <w:rPr>
                <w:bCs/>
                <w:color w:val="auto"/>
                <w:sz w:val="32"/>
                <w:szCs w:val="32"/>
              </w:rPr>
            </w:pPr>
            <w:r w:rsidRPr="005E426E">
              <w:rPr>
                <w:bCs/>
                <w:color w:val="auto"/>
                <w:sz w:val="32"/>
                <w:szCs w:val="32"/>
              </w:rPr>
              <w:t>Secondary jobs in the cultural and creative sector</w:t>
            </w:r>
            <w:r w:rsidR="005E426E" w:rsidRPr="00754773">
              <w:rPr>
                <w:bCs/>
                <w:color w:val="auto"/>
                <w:sz w:val="32"/>
                <w:szCs w:val="32"/>
              </w:rPr>
              <w:t xml:space="preserve"> can </w:t>
            </w:r>
            <w:r w:rsidRPr="005E426E">
              <w:rPr>
                <w:bCs/>
                <w:color w:val="auto"/>
                <w:sz w:val="32"/>
                <w:szCs w:val="32"/>
              </w:rPr>
              <w:t>supplement main jobs by offering additional income, opportunities for skill</w:t>
            </w:r>
            <w:r w:rsidR="00B24EC4" w:rsidRPr="005E426E">
              <w:rPr>
                <w:bCs/>
                <w:color w:val="auto"/>
                <w:sz w:val="32"/>
                <w:szCs w:val="32"/>
              </w:rPr>
              <w:t>s</w:t>
            </w:r>
            <w:r w:rsidRPr="005E426E">
              <w:rPr>
                <w:bCs/>
                <w:color w:val="auto"/>
                <w:sz w:val="32"/>
                <w:szCs w:val="32"/>
              </w:rPr>
              <w:t xml:space="preserve"> development, and networking options.</w:t>
            </w:r>
          </w:p>
          <w:p w14:paraId="1451A2E6" w14:textId="7C637200" w:rsidR="00C45E17" w:rsidRPr="005E426E" w:rsidRDefault="00C45E17" w:rsidP="00C45E17">
            <w:pPr>
              <w:pStyle w:val="Introduction"/>
              <w:rPr>
                <w:bCs/>
                <w:color w:val="auto"/>
                <w:sz w:val="32"/>
                <w:szCs w:val="32"/>
              </w:rPr>
            </w:pPr>
            <w:r w:rsidRPr="005E426E">
              <w:rPr>
                <w:bCs/>
                <w:color w:val="auto"/>
                <w:sz w:val="32"/>
                <w:szCs w:val="32"/>
              </w:rPr>
              <w:t xml:space="preserve">In 2023–24, an estimated 49,214 secondary jobs were related to the cultural and creative sector. The number of secondary jobs within the cultural and creative sector was 4.5% of all secondary jobs, higher than the sector’s share of main job employment in the economy (4.1%). </w:t>
            </w:r>
          </w:p>
          <w:p w14:paraId="3CAA8C34" w14:textId="6BC80CF4" w:rsidR="000A718A" w:rsidRDefault="000A718A" w:rsidP="00C45E17">
            <w:pPr>
              <w:suppressAutoHyphens w:val="0"/>
              <w:rPr>
                <w:lang w:val="x-none"/>
              </w:rPr>
            </w:pPr>
          </w:p>
        </w:tc>
        <w:tc>
          <w:tcPr>
            <w:tcW w:w="9781" w:type="dxa"/>
            <w:tcBorders>
              <w:left w:val="single" w:sz="4" w:space="0" w:color="auto"/>
            </w:tcBorders>
          </w:tcPr>
          <w:p w14:paraId="004BD13E" w14:textId="4C94FFB0" w:rsidR="00C45E17" w:rsidRPr="00C45E17" w:rsidRDefault="00C45E17" w:rsidP="00C45E17">
            <w:pPr>
              <w:suppressAutoHyphens w:val="0"/>
              <w:spacing w:after="240"/>
              <w:ind w:left="323"/>
              <w:rPr>
                <w:sz w:val="26"/>
                <w:szCs w:val="26"/>
              </w:rPr>
            </w:pPr>
            <w:r w:rsidRPr="4AE67189">
              <w:rPr>
                <w:sz w:val="26"/>
                <w:szCs w:val="26"/>
              </w:rPr>
              <w:t xml:space="preserve">Many individuals whose main jobs are in cultural and creative occupations often hold secondary jobs outside </w:t>
            </w:r>
            <w:r w:rsidR="00665671">
              <w:rPr>
                <w:sz w:val="26"/>
                <w:szCs w:val="26"/>
              </w:rPr>
              <w:t>of</w:t>
            </w:r>
            <w:r w:rsidR="00665671" w:rsidRPr="4AE67189">
              <w:rPr>
                <w:sz w:val="26"/>
                <w:szCs w:val="26"/>
              </w:rPr>
              <w:t xml:space="preserve"> </w:t>
            </w:r>
            <w:r w:rsidRPr="4AE67189">
              <w:rPr>
                <w:sz w:val="26"/>
                <w:szCs w:val="26"/>
              </w:rPr>
              <w:t>cultural and creative industries. These patterns highlight the diversity of work arrangements in the cultural and creative sector, with many creatives relying on holding multiple jobs</w:t>
            </w:r>
            <w:r>
              <w:rPr>
                <w:sz w:val="26"/>
                <w:szCs w:val="26"/>
              </w:rPr>
              <w:t>.</w:t>
            </w:r>
          </w:p>
          <w:p w14:paraId="4B77508D" w14:textId="2DE4DB41" w:rsidR="00C45E17" w:rsidRPr="00A632D5" w:rsidRDefault="00C45E17" w:rsidP="00C45E17">
            <w:pPr>
              <w:suppressAutoHyphens w:val="0"/>
              <w:spacing w:after="240"/>
              <w:ind w:left="-102" w:firstLine="425"/>
              <w:rPr>
                <w:b/>
                <w:bCs/>
              </w:rPr>
            </w:pPr>
            <w:r w:rsidRPr="00A632D5">
              <w:rPr>
                <w:b/>
                <w:bCs/>
              </w:rPr>
              <w:t xml:space="preserve">Figure </w:t>
            </w:r>
            <w:r w:rsidRPr="4AE67189">
              <w:fldChar w:fldCharType="begin"/>
            </w:r>
            <w:r w:rsidRPr="00A632D5">
              <w:rPr>
                <w:b/>
                <w:bCs/>
              </w:rPr>
              <w:instrText xml:space="preserve"> SEQ Figure \* ARABIC </w:instrText>
            </w:r>
            <w:r w:rsidRPr="4AE67189">
              <w:rPr>
                <w:b/>
                <w:bCs/>
              </w:rPr>
              <w:fldChar w:fldCharType="separate"/>
            </w:r>
            <w:r w:rsidR="00AE7A59">
              <w:rPr>
                <w:b/>
                <w:bCs/>
                <w:noProof/>
              </w:rPr>
              <w:t>7</w:t>
            </w:r>
            <w:r w:rsidRPr="4AE67189">
              <w:fldChar w:fldCharType="end"/>
            </w:r>
            <w:r w:rsidRPr="00A632D5">
              <w:rPr>
                <w:b/>
                <w:bCs/>
              </w:rPr>
              <w:t>.</w:t>
            </w:r>
            <w:r w:rsidRPr="00A632D5">
              <w:t xml:space="preserve"> </w:t>
            </w:r>
            <w:r w:rsidRPr="00C45E17">
              <w:rPr>
                <w:b/>
                <w:bCs/>
              </w:rPr>
              <w:t>Total cultural and creative secondary jobs by trident types, 2008–09 to 2023–24</w:t>
            </w:r>
          </w:p>
          <w:p w14:paraId="358F5F81" w14:textId="1E657343" w:rsidR="000A718A" w:rsidRPr="00C45E17" w:rsidRDefault="00C45E17" w:rsidP="00C45E17">
            <w:pPr>
              <w:suppressAutoHyphens w:val="0"/>
              <w:ind w:left="-103" w:firstLine="425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4BAEC05" wp14:editId="35A5D625">
                  <wp:extent cx="5884224" cy="2587770"/>
                  <wp:effectExtent l="0" t="0" r="2540" b="3175"/>
                  <wp:docPr id="1563918978" name="Picture 1563918978" descr="A stacked column chart showing the total cultural and creative secondary jobs by trident type from 2008-09 to 2023-2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918978" name="Picture 1563918978" descr="A stacked column chart showing the total cultural and creative secondary jobs by trident type from 2008-09 to 2023-24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029" cy="258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FA3C4" w14:textId="77777777" w:rsidR="000A718A" w:rsidRPr="00A365ED" w:rsidRDefault="000A718A" w:rsidP="007E41C6">
            <w:pPr>
              <w:suppressAutoHyphens w:val="0"/>
              <w:ind w:left="322"/>
            </w:pPr>
            <w:r w:rsidRPr="00A365ED">
              <w:rPr>
                <w:sz w:val="18"/>
                <w:szCs w:val="18"/>
              </w:rPr>
              <w:t>Source: ABS Australian System of National Accounts, Australian National Accounts: Input-Output Tables (Product Details); Australian National Accounts: Supply Use Tables; BCARR calculations.</w:t>
            </w:r>
          </w:p>
        </w:tc>
      </w:tr>
    </w:tbl>
    <w:p w14:paraId="7CBC0789" w14:textId="77777777" w:rsidR="000A718A" w:rsidRDefault="000A718A" w:rsidP="000A718A">
      <w:pPr>
        <w:pStyle w:val="Heading2"/>
        <w:spacing w:before="120"/>
      </w:pPr>
      <w:r>
        <w:t>About this document</w:t>
      </w:r>
    </w:p>
    <w:p w14:paraId="547A0E67" w14:textId="1FAC1A65" w:rsidR="000A718A" w:rsidRPr="00497EE4" w:rsidRDefault="000A718A" w:rsidP="000A718A">
      <w:pPr>
        <w:spacing w:before="120"/>
      </w:pPr>
      <w:r>
        <w:t xml:space="preserve">The Bureau of Communications, Arts and Regional Research (BCARR) within the Department of Infrastructure, Transport, Regional Development, Communications, Sport and the Arts has estimated the </w:t>
      </w:r>
      <w:r w:rsidRPr="00497EE4">
        <w:t xml:space="preserve">Cultural and Creative </w:t>
      </w:r>
      <w:r w:rsidR="00AB7257">
        <w:t>Workforce</w:t>
      </w:r>
      <w:r w:rsidRPr="00497EE4">
        <w:t xml:space="preserve"> in Australia from 20</w:t>
      </w:r>
      <w:r w:rsidR="00AB7257">
        <w:t>08</w:t>
      </w:r>
      <w:r w:rsidRPr="00497EE4">
        <w:t>–</w:t>
      </w:r>
      <w:r w:rsidR="00AB7257">
        <w:t>09</w:t>
      </w:r>
      <w:r w:rsidRPr="00497EE4">
        <w:t xml:space="preserve"> to 2023–24.</w:t>
      </w:r>
    </w:p>
    <w:p w14:paraId="69876B18" w14:textId="1C1AAB5A" w:rsidR="000A718A" w:rsidRDefault="000A718A" w:rsidP="000A718A">
      <w:pPr>
        <w:spacing w:before="120"/>
      </w:pPr>
      <w:r w:rsidRPr="00497EE4">
        <w:t xml:space="preserve">This document outlines the key findings shown in </w:t>
      </w:r>
      <w:proofErr w:type="spellStart"/>
      <w:r w:rsidRPr="00497EE4">
        <w:t>BCARR’s</w:t>
      </w:r>
      <w:proofErr w:type="spellEnd"/>
      <w:r w:rsidRPr="00497EE4">
        <w:t xml:space="preserve"> </w:t>
      </w:r>
      <w:r w:rsidR="00D959EC">
        <w:t>interim report</w:t>
      </w:r>
      <w:r w:rsidRPr="00AB7257">
        <w:rPr>
          <w:i/>
        </w:rPr>
        <w:t xml:space="preserve">: </w:t>
      </w:r>
      <w:r w:rsidR="006205BE" w:rsidRPr="006205BE">
        <w:rPr>
          <w:i/>
        </w:rPr>
        <w:t>Measuring Australia’s Cultural and Creative Workforce, 2008–09 to 2023–24</w:t>
      </w:r>
      <w:r w:rsidRPr="00497EE4">
        <w:t xml:space="preserve"> and is presented alongside a document of </w:t>
      </w:r>
      <w:r w:rsidRPr="0032212A">
        <w:rPr>
          <w:i/>
        </w:rPr>
        <w:t>Frequently Asked Questions</w:t>
      </w:r>
      <w:r>
        <w:rPr>
          <w:rFonts w:cs="Calibri"/>
        </w:rPr>
        <w:t xml:space="preserve">. </w:t>
      </w:r>
      <w:r>
        <w:t xml:space="preserve">Further information on the methods used in this research can be found in </w:t>
      </w:r>
      <w:proofErr w:type="spellStart"/>
      <w:r>
        <w:t>BCARR’s</w:t>
      </w:r>
      <w:proofErr w:type="spellEnd"/>
      <w:r>
        <w:t xml:space="preserve"> </w:t>
      </w:r>
      <w:r w:rsidR="00AB7257">
        <w:t>interim report</w:t>
      </w:r>
      <w:r w:rsidRPr="00D959EC">
        <w:t>.</w:t>
      </w:r>
    </w:p>
    <w:sectPr w:rsidR="000A718A" w:rsidSect="00F65381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6838" w:h="11906" w:orient="landscape" w:code="9"/>
      <w:pgMar w:top="1418" w:right="1021" w:bottom="851" w:left="1021" w:header="340" w:footer="39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EBB7FFD" w16cex:dateUtc="2025-12-10T23:5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D7548" w14:textId="77777777" w:rsidR="00855475" w:rsidRDefault="00855475" w:rsidP="008456D5">
      <w:pPr>
        <w:spacing w:before="0" w:after="0"/>
      </w:pPr>
      <w:r>
        <w:separator/>
      </w:r>
    </w:p>
  </w:endnote>
  <w:endnote w:type="continuationSeparator" w:id="0">
    <w:p w14:paraId="0C6E5563" w14:textId="77777777" w:rsidR="00855475" w:rsidRDefault="00855475" w:rsidP="008456D5">
      <w:pPr>
        <w:spacing w:before="0" w:after="0"/>
      </w:pPr>
      <w:r>
        <w:continuationSeparator/>
      </w:r>
    </w:p>
  </w:endnote>
  <w:endnote w:type="continuationNotice" w:id="1">
    <w:p w14:paraId="2ADC597C" w14:textId="77777777" w:rsidR="00841F6B" w:rsidRDefault="00841F6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C4CF5" w14:textId="00A52BCD" w:rsidR="002B4107" w:rsidRDefault="002B4107" w:rsidP="002B4107">
    <w:pPr>
      <w:pStyle w:val="Footer"/>
      <w:spacing w:before="72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EDA4C" w14:textId="07D68E54" w:rsidR="00B420EE" w:rsidRDefault="00B420EE" w:rsidP="00B420EE">
    <w:pPr>
      <w:framePr w:w="16840" w:h="284" w:hSpace="181" w:wrap="around" w:vAnchor="page" w:hAnchor="page" w:x="6" w:y="11620"/>
      <w:spacing w:before="0" w:after="0"/>
    </w:pPr>
    <w:r>
      <w:rPr>
        <w:noProof/>
        <w:lang w:eastAsia="en-AU"/>
      </w:rPr>
      <w:drawing>
        <wp:inline distT="0" distB="0" distL="0" distR="0" wp14:anchorId="79B2B8C6" wp14:editId="4D1EDEA4">
          <wp:extent cx="10693400" cy="182880"/>
          <wp:effectExtent l="0" t="0" r="0" b="762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D6717CD" w14:textId="38F5FCD6" w:rsidR="00B420EE" w:rsidRPr="00654E6E" w:rsidRDefault="00295714" w:rsidP="00B420EE">
    <w:pPr>
      <w:pStyle w:val="Footer"/>
      <w:tabs>
        <w:tab w:val="clear" w:pos="4513"/>
        <w:tab w:val="clear" w:pos="9026"/>
        <w:tab w:val="center" w:pos="7371"/>
        <w:tab w:val="right" w:pos="14742"/>
      </w:tabs>
      <w:spacing w:after="160"/>
      <w:rPr>
        <w:color w:val="auto"/>
      </w:rPr>
    </w:pPr>
    <w:sdt>
      <w:sdtPr>
        <w:rPr>
          <w:color w:val="auto"/>
          <w:sz w:val="18"/>
          <w:szCs w:val="18"/>
          <w:lang w:val="en-US"/>
        </w:rPr>
        <w:alias w:val="Title"/>
        <w:tag w:val=""/>
        <w:id w:val="87496247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C743F">
          <w:rPr>
            <w:color w:val="auto"/>
            <w:sz w:val="18"/>
            <w:szCs w:val="18"/>
            <w:lang w:val="en-US"/>
          </w:rPr>
          <w:t>At a glance: Cultural and Creative Activity in Australia, 2014–15 to 2023–24—December 2025</w:t>
        </w:r>
      </w:sdtContent>
    </w:sdt>
    <w:r w:rsidR="00B420EE" w:rsidRPr="00654E6E">
      <w:rPr>
        <w:color w:val="auto"/>
        <w:sz w:val="18"/>
        <w:szCs w:val="18"/>
        <w:lang w:val="en-US"/>
      </w:rPr>
      <w:tab/>
      <w:t xml:space="preserve">Page </w:t>
    </w:r>
    <w:r w:rsidR="00B420EE" w:rsidRPr="00654E6E">
      <w:rPr>
        <w:color w:val="auto"/>
        <w:sz w:val="18"/>
        <w:szCs w:val="18"/>
        <w:lang w:val="en-US"/>
      </w:rPr>
      <w:fldChar w:fldCharType="begin"/>
    </w:r>
    <w:r w:rsidR="00B420EE" w:rsidRPr="00654E6E">
      <w:rPr>
        <w:color w:val="auto"/>
        <w:sz w:val="18"/>
        <w:szCs w:val="18"/>
        <w:lang w:val="en-US"/>
      </w:rPr>
      <w:instrText xml:space="preserve"> PAGE   \* MERGEFORMAT </w:instrText>
    </w:r>
    <w:r w:rsidR="00B420EE" w:rsidRPr="00654E6E">
      <w:rPr>
        <w:color w:val="auto"/>
        <w:sz w:val="18"/>
        <w:szCs w:val="18"/>
        <w:lang w:val="en-US"/>
      </w:rPr>
      <w:fldChar w:fldCharType="separate"/>
    </w:r>
    <w:r w:rsidR="00B420EE">
      <w:rPr>
        <w:color w:val="auto"/>
        <w:sz w:val="18"/>
        <w:szCs w:val="18"/>
        <w:lang w:val="en-US"/>
      </w:rPr>
      <w:t>6</w:t>
    </w:r>
    <w:r w:rsidR="00B420EE" w:rsidRPr="00654E6E">
      <w:rPr>
        <w:noProof/>
        <w:color w:val="auto"/>
        <w:sz w:val="18"/>
        <w:szCs w:val="18"/>
        <w:lang w:val="en-US"/>
      </w:rPr>
      <w:fldChar w:fldCharType="end"/>
    </w:r>
    <w:r w:rsidR="00B420EE" w:rsidRPr="00654E6E">
      <w:rPr>
        <w:noProof/>
        <w:color w:val="auto"/>
        <w:sz w:val="18"/>
        <w:szCs w:val="18"/>
        <w:lang w:val="en-US"/>
      </w:rPr>
      <w:t xml:space="preserve"> of </w:t>
    </w:r>
    <w:r w:rsidR="00B420EE" w:rsidRPr="00654E6E">
      <w:rPr>
        <w:noProof/>
        <w:color w:val="auto"/>
        <w:sz w:val="18"/>
        <w:szCs w:val="18"/>
        <w:lang w:val="en-US"/>
      </w:rPr>
      <w:fldChar w:fldCharType="begin"/>
    </w:r>
    <w:r w:rsidR="00B420EE" w:rsidRPr="00654E6E">
      <w:rPr>
        <w:noProof/>
        <w:color w:val="auto"/>
        <w:sz w:val="18"/>
        <w:szCs w:val="18"/>
        <w:lang w:val="en-US"/>
      </w:rPr>
      <w:instrText xml:space="preserve"> NUMPAGES   \* MERGEFORMAT </w:instrText>
    </w:r>
    <w:r w:rsidR="00B420EE" w:rsidRPr="00654E6E">
      <w:rPr>
        <w:noProof/>
        <w:color w:val="auto"/>
        <w:sz w:val="18"/>
        <w:szCs w:val="18"/>
        <w:lang w:val="en-US"/>
      </w:rPr>
      <w:fldChar w:fldCharType="separate"/>
    </w:r>
    <w:r w:rsidR="00B420EE">
      <w:rPr>
        <w:noProof/>
        <w:color w:val="auto"/>
        <w:sz w:val="18"/>
        <w:szCs w:val="18"/>
        <w:lang w:val="en-US"/>
      </w:rPr>
      <w:t>12</w:t>
    </w:r>
    <w:r w:rsidR="00B420EE" w:rsidRPr="00654E6E">
      <w:rPr>
        <w:noProof/>
        <w:color w:val="auto"/>
        <w:sz w:val="18"/>
        <w:szCs w:val="18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D2C5A" w14:textId="1A802AC8" w:rsidR="00B420EE" w:rsidRPr="005B23E1" w:rsidRDefault="005B23E1" w:rsidP="005B23E1">
    <w:pPr>
      <w:pStyle w:val="Footer"/>
      <w:ind w:left="-993"/>
    </w:pPr>
    <w:r>
      <w:rPr>
        <w:noProof/>
        <w:lang w:eastAsia="en-AU"/>
      </w:rPr>
      <w:drawing>
        <wp:inline distT="0" distB="0" distL="0" distR="0" wp14:anchorId="36B3DC7F" wp14:editId="41F5FBB2">
          <wp:extent cx="10692757" cy="3594583"/>
          <wp:effectExtent l="0" t="0" r="0" b="6350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726" cy="36090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6C904" w14:textId="1E87F9EF" w:rsidR="005B23E1" w:rsidRDefault="005B23E1" w:rsidP="00B420EE">
    <w:pPr>
      <w:framePr w:w="16840" w:h="284" w:hSpace="181" w:wrap="around" w:vAnchor="page" w:hAnchor="page" w:x="6" w:y="11620"/>
      <w:spacing w:before="0" w:after="0"/>
    </w:pPr>
    <w:r>
      <w:rPr>
        <w:noProof/>
        <w:lang w:eastAsia="en-AU"/>
      </w:rPr>
      <w:drawing>
        <wp:inline distT="0" distB="0" distL="0" distR="0" wp14:anchorId="590332DF" wp14:editId="6AC37BD0">
          <wp:extent cx="10693400" cy="182880"/>
          <wp:effectExtent l="0" t="0" r="0" b="7620"/>
          <wp:docPr id="30" name="Picture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2E70A3F" w14:textId="2FF19DCB" w:rsidR="005B23E1" w:rsidRDefault="005B23E1" w:rsidP="005B23E1">
    <w:pPr>
      <w:pStyle w:val="Footer"/>
      <w:tabs>
        <w:tab w:val="clear" w:pos="4513"/>
        <w:tab w:val="clear" w:pos="9026"/>
        <w:tab w:val="right" w:pos="14742"/>
      </w:tabs>
      <w:spacing w:after="120"/>
      <w:rPr>
        <w:rFonts w:cs="Segoe UI"/>
        <w:noProof/>
        <w:szCs w:val="18"/>
      </w:rPr>
    </w:pPr>
    <w:r>
      <w:rPr>
        <w:rFonts w:cs="Segoe UI"/>
        <w:noProof/>
        <w:szCs w:val="18"/>
      </w:rPr>
      <w:fldChar w:fldCharType="begin"/>
    </w:r>
    <w:r>
      <w:rPr>
        <w:rFonts w:cs="Segoe UI"/>
        <w:noProof/>
        <w:szCs w:val="18"/>
      </w:rPr>
      <w:instrText xml:space="preserve"> STYLEREF  "Heading 1"  \* MERGEFORMAT </w:instrText>
    </w:r>
    <w:r>
      <w:rPr>
        <w:rFonts w:cs="Segoe UI"/>
        <w:noProof/>
        <w:szCs w:val="18"/>
      </w:rPr>
      <w:fldChar w:fldCharType="separate"/>
    </w:r>
    <w:r w:rsidR="00295714">
      <w:rPr>
        <w:rFonts w:cs="Segoe UI"/>
        <w:noProof/>
        <w:szCs w:val="18"/>
      </w:rPr>
      <w:t>At a glance: Measuring Australia’s Cultural and Creative Workforce, 2008–09 to 2023–24 (Interim Estimates)</w:t>
    </w:r>
    <w:r>
      <w:rPr>
        <w:rFonts w:cs="Segoe UI"/>
        <w:noProof/>
        <w:szCs w:val="18"/>
      </w:rPr>
      <w:fldChar w:fldCharType="end"/>
    </w:r>
    <w:r>
      <w:rPr>
        <w:rFonts w:cs="Segoe UI"/>
        <w:szCs w:val="18"/>
      </w:rPr>
      <w:tab/>
    </w:r>
    <w:r>
      <w:rPr>
        <w:rFonts w:cs="Segoe UI"/>
        <w:szCs w:val="18"/>
      </w:rPr>
      <w:fldChar w:fldCharType="begin"/>
    </w:r>
    <w:r>
      <w:rPr>
        <w:rFonts w:cs="Segoe UI"/>
        <w:szCs w:val="18"/>
      </w:rPr>
      <w:instrText xml:space="preserve"> PAGE  \* Arabic  \* MERGEFORMAT </w:instrText>
    </w:r>
    <w:r>
      <w:rPr>
        <w:rFonts w:cs="Segoe UI"/>
        <w:szCs w:val="18"/>
      </w:rPr>
      <w:fldChar w:fldCharType="separate"/>
    </w:r>
    <w:r>
      <w:rPr>
        <w:rFonts w:cs="Segoe UI"/>
        <w:szCs w:val="18"/>
      </w:rPr>
      <w:t>3</w:t>
    </w:r>
    <w:r>
      <w:rPr>
        <w:rFonts w:cs="Segoe UI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4FB6B" w14:textId="63CFE700" w:rsidR="005B23E1" w:rsidRPr="005B23E1" w:rsidRDefault="005B23E1" w:rsidP="005B23E1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545C6" w14:textId="77777777" w:rsidR="00855475" w:rsidRPr="005912BE" w:rsidRDefault="00855475" w:rsidP="005912BE">
      <w:pPr>
        <w:spacing w:before="300"/>
        <w:rPr>
          <w:color w:val="008089" w:themeColor="accent2"/>
        </w:rPr>
      </w:pPr>
      <w:r w:rsidRPr="00BB0CD1">
        <w:rPr>
          <w:color w:val="004044" w:themeColor="accent2" w:themeShade="80"/>
        </w:rPr>
        <w:t>----------</w:t>
      </w:r>
    </w:p>
  </w:footnote>
  <w:footnote w:type="continuationSeparator" w:id="0">
    <w:p w14:paraId="1A8C8CB5" w14:textId="77777777" w:rsidR="00855475" w:rsidRDefault="00855475" w:rsidP="008456D5">
      <w:pPr>
        <w:spacing w:before="0" w:after="0"/>
      </w:pPr>
      <w:r>
        <w:continuationSeparator/>
      </w:r>
    </w:p>
  </w:footnote>
  <w:footnote w:type="continuationNotice" w:id="1">
    <w:p w14:paraId="70FFC2D4" w14:textId="77777777" w:rsidR="00841F6B" w:rsidRDefault="00841F6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4245A" w14:textId="578D9833" w:rsidR="002B4107" w:rsidRDefault="002C743F" w:rsidP="002B4107">
    <w:pPr>
      <w:pStyle w:val="Header"/>
      <w:spacing w:after="1320"/>
    </w:pPr>
    <w:fldSimple w:instr=" STYLEREF  &quot;Heading 1&quot; \l  \* MERGEFORMAT ">
      <w:r w:rsidR="00E452B2">
        <w:rPr>
          <w:noProof/>
        </w:rPr>
        <w:t>At a glance: Measuring Australia’s Cultural and Creative Workforce, 2008–09 to 2023–24 (Interim Estimates)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F02CD" w14:textId="34502746" w:rsidR="005C3561" w:rsidRDefault="005C35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12A11" w14:textId="43EF2949" w:rsidR="00E95663" w:rsidRDefault="00E95663" w:rsidP="00D13AE0">
    <w:pPr>
      <w:framePr w:w="16786" w:h="3062" w:wrap="around" w:vAnchor="page" w:hAnchor="page" w:x="12" w:yAlign="top" w:anchorLock="1"/>
      <w:spacing w:before="0" w:after="400"/>
    </w:pPr>
    <w:bookmarkStart w:id="1" w:name="_Hlk148680551"/>
    <w:r>
      <w:rPr>
        <w:noProof/>
        <w:lang w:eastAsia="en-AU"/>
      </w:rPr>
      <w:drawing>
        <wp:inline distT="0" distB="0" distL="0" distR="0" wp14:anchorId="79B2B8C8" wp14:editId="490FA89D">
          <wp:extent cx="10696575" cy="1943100"/>
          <wp:effectExtent l="0" t="0" r="9525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14:paraId="20C77EA8" w14:textId="77777777" w:rsidR="00610861" w:rsidRDefault="00610861" w:rsidP="00610861">
    <w:pPr>
      <w:framePr w:w="6521" w:h="1134" w:hSpace="181" w:wrap="around" w:vAnchor="page" w:hAnchor="page" w:x="1022" w:y="852" w:anchorLock="1"/>
      <w:spacing w:after="0"/>
      <w:rPr>
        <w:noProof/>
      </w:rPr>
    </w:pPr>
    <w:r>
      <w:rPr>
        <w:noProof/>
      </w:rPr>
      <w:drawing>
        <wp:inline distT="0" distB="0" distL="0" distR="0" wp14:anchorId="6F33FB55" wp14:editId="383DD59B">
          <wp:extent cx="4068000" cy="669600"/>
          <wp:effectExtent l="0" t="0" r="0" b="0"/>
          <wp:docPr id="4" name="Picture 4" descr="Australian Government&#10;Department of Infrastructure, Transport, Regional Development, Communications, Sport and the A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68000" cy="66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52BA84" w14:textId="77777777" w:rsidR="008456D5" w:rsidRPr="00D13AE0" w:rsidRDefault="008456D5" w:rsidP="00D13AE0">
    <w:pPr>
      <w:pStyle w:val="Header"/>
      <w:jc w:val="left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B5B5F" w14:textId="473402E1" w:rsidR="00497EE4" w:rsidRPr="00305CB1" w:rsidRDefault="00497EE4" w:rsidP="00497EE4">
    <w:pPr>
      <w:pStyle w:val="Header"/>
      <w:rPr>
        <w:rFonts w:cs="Segoe UI Light"/>
        <w:color w:val="001C40"/>
        <w:sz w:val="20"/>
        <w:szCs w:val="20"/>
      </w:rPr>
    </w:pPr>
    <w:r w:rsidRPr="00305CB1">
      <w:rPr>
        <w:rFonts w:cs="Segoe UI Light"/>
        <w:color w:val="001C40"/>
        <w:sz w:val="20"/>
        <w:szCs w:val="20"/>
      </w:rPr>
      <w:fldChar w:fldCharType="begin"/>
    </w:r>
    <w:r w:rsidRPr="00305CB1">
      <w:rPr>
        <w:rFonts w:cs="Segoe UI Light"/>
        <w:color w:val="001C40"/>
        <w:sz w:val="20"/>
        <w:szCs w:val="20"/>
      </w:rPr>
      <w:instrText xml:space="preserve"> STYLEREF  "Heading 2"  \* MERGEFORMAT </w:instrText>
    </w:r>
    <w:r w:rsidRPr="00305CB1">
      <w:rPr>
        <w:rFonts w:cs="Segoe UI Light"/>
        <w:color w:val="001C40"/>
        <w:sz w:val="20"/>
        <w:szCs w:val="20"/>
      </w:rPr>
      <w:fldChar w:fldCharType="separate"/>
    </w:r>
    <w:r w:rsidR="00295714">
      <w:rPr>
        <w:rFonts w:cs="Segoe UI Light"/>
        <w:noProof/>
        <w:color w:val="001C40"/>
        <w:sz w:val="20"/>
        <w:szCs w:val="20"/>
      </w:rPr>
      <w:t>Secondary jobs play an important role in the cultural and creative sector</w:t>
    </w:r>
    <w:r w:rsidRPr="00305CB1">
      <w:rPr>
        <w:rFonts w:cs="Segoe UI Light"/>
        <w:color w:val="001C40"/>
        <w:sz w:val="20"/>
        <w:szCs w:val="20"/>
      </w:rPr>
      <w:fldChar w:fldCharType="end"/>
    </w:r>
  </w:p>
  <w:p w14:paraId="2594C5FD" w14:textId="77777777" w:rsidR="00722990" w:rsidRPr="00174E13" w:rsidRDefault="00722990" w:rsidP="00174E1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BCE6B" w14:textId="15711FB9" w:rsidR="00722990" w:rsidRDefault="002C743F" w:rsidP="00F82CA0">
    <w:pPr>
      <w:pStyle w:val="Header"/>
      <w:spacing w:after="720"/>
    </w:pPr>
    <w:fldSimple w:instr=" STYLEREF  &quot;Heading 1&quot; \l  \* MERGEFORMAT ">
      <w:r w:rsidR="00295714">
        <w:rPr>
          <w:noProof/>
        </w:rPr>
        <w:t>At a glance: Measuring Australia’s Cultural and Creative Workforce, 2008–09 to 2023–24 (Interim Estimates)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CC5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3263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AEC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F80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8AC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CAF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FEFE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A64F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1C3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DC0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71F4A"/>
    <w:multiLevelType w:val="hybridMultilevel"/>
    <w:tmpl w:val="00F892D4"/>
    <w:lvl w:ilvl="0" w:tplc="403CB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F552B9"/>
    <w:multiLevelType w:val="multilevel"/>
    <w:tmpl w:val="9E1E9102"/>
    <w:styleLink w:val="ListNumbered"/>
    <w:lvl w:ilvl="0">
      <w:start w:val="1"/>
      <w:numFmt w:val="decimal"/>
      <w:pStyle w:val="Lis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ed21"/>
      <w:lvlText w:val="%1.%2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ListNumbered311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CD1564D"/>
    <w:multiLevelType w:val="hybridMultilevel"/>
    <w:tmpl w:val="7DCEC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621AED"/>
    <w:multiLevelType w:val="multilevel"/>
    <w:tmpl w:val="C2EED61A"/>
    <w:numStyleLink w:val="NumberedHeadings"/>
  </w:abstractNum>
  <w:abstractNum w:abstractNumId="14" w15:restartNumberingAfterBreak="0">
    <w:nsid w:val="20546BD3"/>
    <w:multiLevelType w:val="hybridMultilevel"/>
    <w:tmpl w:val="A22869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60C5E"/>
    <w:multiLevelType w:val="multilevel"/>
    <w:tmpl w:val="298C34E4"/>
    <w:styleLink w:val="AppendixNumbers"/>
    <w:lvl w:ilvl="0">
      <w:start w:val="1"/>
      <w:numFmt w:val="upperLetter"/>
      <w:pStyle w:val="AppendixHeading1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AA51938"/>
    <w:multiLevelType w:val="multilevel"/>
    <w:tmpl w:val="298C34E4"/>
    <w:numStyleLink w:val="AppendixNumbers"/>
  </w:abstractNum>
  <w:abstractNum w:abstractNumId="17" w15:restartNumberingAfterBreak="0">
    <w:nsid w:val="3F166873"/>
    <w:multiLevelType w:val="multilevel"/>
    <w:tmpl w:val="C2EED61A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173295E"/>
    <w:multiLevelType w:val="multilevel"/>
    <w:tmpl w:val="5B2C35CE"/>
    <w:styleLink w:val="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Bullet3"/>
      <w:lvlText w:val="›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▫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545B01A1"/>
    <w:multiLevelType w:val="hybridMultilevel"/>
    <w:tmpl w:val="4AEEF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7C5C3D"/>
    <w:multiLevelType w:val="multilevel"/>
    <w:tmpl w:val="4B5A47B2"/>
    <w:styleLink w:val="AttachmentNumbers"/>
    <w:lvl w:ilvl="0">
      <w:start w:val="1"/>
      <w:numFmt w:val="upperLetter"/>
      <w:pStyle w:val="AttachmentHeading1"/>
      <w:suff w:val="space"/>
      <w:lvlText w:val="Attachment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ttachment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0E7485E"/>
    <w:multiLevelType w:val="multilevel"/>
    <w:tmpl w:val="D69832D4"/>
    <w:styleLink w:val="BoxedBullets"/>
    <w:lvl w:ilvl="0">
      <w:start w:val="1"/>
      <w:numFmt w:val="bullet"/>
      <w:pStyle w:val="Box1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2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ox2Checklist"/>
      <w:lvlText w:val="□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FEB4F57"/>
    <w:multiLevelType w:val="hybridMultilevel"/>
    <w:tmpl w:val="111EFF56"/>
    <w:lvl w:ilvl="0" w:tplc="401A8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2CF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B29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902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6D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826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62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1E1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C49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D9D353F"/>
    <w:multiLevelType w:val="hybridMultilevel"/>
    <w:tmpl w:val="ECDAF6DA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E554E84"/>
    <w:multiLevelType w:val="multilevel"/>
    <w:tmpl w:val="8FCE6D18"/>
    <w:styleLink w:val="ListLegal"/>
    <w:lvl w:ilvl="0">
      <w:start w:val="1"/>
      <w:numFmt w:val="decimal"/>
      <w:pStyle w:val="ListLega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Legal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Legal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2556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15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1"/>
  </w:num>
  <w:num w:numId="26">
    <w:abstractNumId w:val="21"/>
  </w:num>
  <w:num w:numId="27">
    <w:abstractNumId w:val="21"/>
  </w:num>
  <w:num w:numId="28">
    <w:abstractNumId w:val="19"/>
  </w:num>
  <w:num w:numId="29">
    <w:abstractNumId w:val="2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12"/>
  </w:num>
  <w:num w:numId="32">
    <w:abstractNumId w:val="23"/>
  </w:num>
  <w:num w:numId="33">
    <w:abstractNumId w:val="10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593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ACB"/>
    <w:rsid w:val="00002C49"/>
    <w:rsid w:val="0000505E"/>
    <w:rsid w:val="00012B85"/>
    <w:rsid w:val="0001430B"/>
    <w:rsid w:val="0001625B"/>
    <w:rsid w:val="00017A31"/>
    <w:rsid w:val="00025531"/>
    <w:rsid w:val="00032804"/>
    <w:rsid w:val="00036364"/>
    <w:rsid w:val="00043F85"/>
    <w:rsid w:val="00051A2A"/>
    <w:rsid w:val="0006190A"/>
    <w:rsid w:val="000651EB"/>
    <w:rsid w:val="000909CB"/>
    <w:rsid w:val="00096359"/>
    <w:rsid w:val="00097E63"/>
    <w:rsid w:val="000A4A6C"/>
    <w:rsid w:val="000A51A6"/>
    <w:rsid w:val="000A5EE0"/>
    <w:rsid w:val="000A718A"/>
    <w:rsid w:val="000C5020"/>
    <w:rsid w:val="000D0CE7"/>
    <w:rsid w:val="000D2BB0"/>
    <w:rsid w:val="000D6660"/>
    <w:rsid w:val="000E0956"/>
    <w:rsid w:val="000E24BA"/>
    <w:rsid w:val="000E5674"/>
    <w:rsid w:val="000F732D"/>
    <w:rsid w:val="000F75C0"/>
    <w:rsid w:val="0011047D"/>
    <w:rsid w:val="00124000"/>
    <w:rsid w:val="0012799B"/>
    <w:rsid w:val="001349C6"/>
    <w:rsid w:val="001352B5"/>
    <w:rsid w:val="0015153B"/>
    <w:rsid w:val="00152D32"/>
    <w:rsid w:val="00174E13"/>
    <w:rsid w:val="00175FFC"/>
    <w:rsid w:val="00181F8F"/>
    <w:rsid w:val="001856A9"/>
    <w:rsid w:val="001A20E3"/>
    <w:rsid w:val="001A6783"/>
    <w:rsid w:val="001A7DA6"/>
    <w:rsid w:val="001B1842"/>
    <w:rsid w:val="001B36B6"/>
    <w:rsid w:val="001C5DBE"/>
    <w:rsid w:val="001D43C5"/>
    <w:rsid w:val="001D46E1"/>
    <w:rsid w:val="001E288E"/>
    <w:rsid w:val="001F03F1"/>
    <w:rsid w:val="001F1D25"/>
    <w:rsid w:val="001F39F3"/>
    <w:rsid w:val="002254D5"/>
    <w:rsid w:val="0022611D"/>
    <w:rsid w:val="00226FEE"/>
    <w:rsid w:val="002424F9"/>
    <w:rsid w:val="00247E4D"/>
    <w:rsid w:val="002508EC"/>
    <w:rsid w:val="00254E7E"/>
    <w:rsid w:val="002566B3"/>
    <w:rsid w:val="0026422D"/>
    <w:rsid w:val="00270070"/>
    <w:rsid w:val="00271087"/>
    <w:rsid w:val="00284164"/>
    <w:rsid w:val="002919A6"/>
    <w:rsid w:val="00291A32"/>
    <w:rsid w:val="002938E6"/>
    <w:rsid w:val="00294593"/>
    <w:rsid w:val="00295714"/>
    <w:rsid w:val="002B1E92"/>
    <w:rsid w:val="002B3569"/>
    <w:rsid w:val="002B4107"/>
    <w:rsid w:val="002B7197"/>
    <w:rsid w:val="002C098A"/>
    <w:rsid w:val="002C4F3F"/>
    <w:rsid w:val="002C743F"/>
    <w:rsid w:val="002C7AAF"/>
    <w:rsid w:val="002E1ADA"/>
    <w:rsid w:val="003021E5"/>
    <w:rsid w:val="0032212A"/>
    <w:rsid w:val="00322B21"/>
    <w:rsid w:val="00330271"/>
    <w:rsid w:val="00342F53"/>
    <w:rsid w:val="00356DED"/>
    <w:rsid w:val="00357897"/>
    <w:rsid w:val="003720E9"/>
    <w:rsid w:val="003849B6"/>
    <w:rsid w:val="0039599F"/>
    <w:rsid w:val="00396904"/>
    <w:rsid w:val="003A26B2"/>
    <w:rsid w:val="003A75DC"/>
    <w:rsid w:val="003B59C5"/>
    <w:rsid w:val="003C0359"/>
    <w:rsid w:val="003C625A"/>
    <w:rsid w:val="003E2CB1"/>
    <w:rsid w:val="003E6980"/>
    <w:rsid w:val="003E6D6B"/>
    <w:rsid w:val="003F2F20"/>
    <w:rsid w:val="003F775D"/>
    <w:rsid w:val="00403951"/>
    <w:rsid w:val="004069F5"/>
    <w:rsid w:val="004204FC"/>
    <w:rsid w:val="00420F04"/>
    <w:rsid w:val="004243AE"/>
    <w:rsid w:val="00450D0E"/>
    <w:rsid w:val="00454E3B"/>
    <w:rsid w:val="0045541D"/>
    <w:rsid w:val="0046211E"/>
    <w:rsid w:val="00465AE1"/>
    <w:rsid w:val="00466371"/>
    <w:rsid w:val="00477E77"/>
    <w:rsid w:val="00477FA9"/>
    <w:rsid w:val="004824B6"/>
    <w:rsid w:val="00497EE4"/>
    <w:rsid w:val="004A4A63"/>
    <w:rsid w:val="004B581E"/>
    <w:rsid w:val="004D62D1"/>
    <w:rsid w:val="00501AA5"/>
    <w:rsid w:val="0050319A"/>
    <w:rsid w:val="00507E29"/>
    <w:rsid w:val="005102E5"/>
    <w:rsid w:val="00511E5F"/>
    <w:rsid w:val="00515210"/>
    <w:rsid w:val="00534FB7"/>
    <w:rsid w:val="00541213"/>
    <w:rsid w:val="00546218"/>
    <w:rsid w:val="00554518"/>
    <w:rsid w:val="005824B6"/>
    <w:rsid w:val="0058341D"/>
    <w:rsid w:val="005912BE"/>
    <w:rsid w:val="005947F4"/>
    <w:rsid w:val="00596B91"/>
    <w:rsid w:val="00597479"/>
    <w:rsid w:val="005A0210"/>
    <w:rsid w:val="005B23E1"/>
    <w:rsid w:val="005C3561"/>
    <w:rsid w:val="005C479A"/>
    <w:rsid w:val="005D21E2"/>
    <w:rsid w:val="005D2BED"/>
    <w:rsid w:val="005D6DA3"/>
    <w:rsid w:val="005E426E"/>
    <w:rsid w:val="005F794B"/>
    <w:rsid w:val="005F7FCB"/>
    <w:rsid w:val="00610861"/>
    <w:rsid w:val="006166A6"/>
    <w:rsid w:val="00617ECB"/>
    <w:rsid w:val="006205BE"/>
    <w:rsid w:val="0062395B"/>
    <w:rsid w:val="006335A6"/>
    <w:rsid w:val="00647439"/>
    <w:rsid w:val="0065439A"/>
    <w:rsid w:val="00665671"/>
    <w:rsid w:val="006746D9"/>
    <w:rsid w:val="00683E25"/>
    <w:rsid w:val="00695F30"/>
    <w:rsid w:val="006A266A"/>
    <w:rsid w:val="006A44DA"/>
    <w:rsid w:val="006B1AD7"/>
    <w:rsid w:val="006C0127"/>
    <w:rsid w:val="006C77B9"/>
    <w:rsid w:val="006D1AC8"/>
    <w:rsid w:val="006D1D54"/>
    <w:rsid w:val="006D2BB6"/>
    <w:rsid w:val="006D681A"/>
    <w:rsid w:val="006E1ECA"/>
    <w:rsid w:val="006E1F84"/>
    <w:rsid w:val="006E28B2"/>
    <w:rsid w:val="00722990"/>
    <w:rsid w:val="00754773"/>
    <w:rsid w:val="00762B7B"/>
    <w:rsid w:val="00767C87"/>
    <w:rsid w:val="007814C9"/>
    <w:rsid w:val="00792486"/>
    <w:rsid w:val="00792E43"/>
    <w:rsid w:val="007934AF"/>
    <w:rsid w:val="00795896"/>
    <w:rsid w:val="00796AE6"/>
    <w:rsid w:val="007A05BE"/>
    <w:rsid w:val="007A49DD"/>
    <w:rsid w:val="007B07FD"/>
    <w:rsid w:val="007C4225"/>
    <w:rsid w:val="007C53C4"/>
    <w:rsid w:val="007D56BF"/>
    <w:rsid w:val="007D74A5"/>
    <w:rsid w:val="007E259B"/>
    <w:rsid w:val="007E41F3"/>
    <w:rsid w:val="007F201D"/>
    <w:rsid w:val="008067A1"/>
    <w:rsid w:val="008108C6"/>
    <w:rsid w:val="00820382"/>
    <w:rsid w:val="00831DD8"/>
    <w:rsid w:val="00833F68"/>
    <w:rsid w:val="00841F6B"/>
    <w:rsid w:val="008456D5"/>
    <w:rsid w:val="0084634B"/>
    <w:rsid w:val="0084637E"/>
    <w:rsid w:val="008523EE"/>
    <w:rsid w:val="00855475"/>
    <w:rsid w:val="008633FE"/>
    <w:rsid w:val="008656DA"/>
    <w:rsid w:val="00871677"/>
    <w:rsid w:val="0089159B"/>
    <w:rsid w:val="00894E0D"/>
    <w:rsid w:val="008A1887"/>
    <w:rsid w:val="008A7FE4"/>
    <w:rsid w:val="008B4197"/>
    <w:rsid w:val="008B6A81"/>
    <w:rsid w:val="008B7F61"/>
    <w:rsid w:val="008C23E5"/>
    <w:rsid w:val="008C3033"/>
    <w:rsid w:val="008D014D"/>
    <w:rsid w:val="008D0D2A"/>
    <w:rsid w:val="008E1B2C"/>
    <w:rsid w:val="008E2A0D"/>
    <w:rsid w:val="008F0F7A"/>
    <w:rsid w:val="0091008B"/>
    <w:rsid w:val="009156C5"/>
    <w:rsid w:val="009256D9"/>
    <w:rsid w:val="00926C7D"/>
    <w:rsid w:val="009313B1"/>
    <w:rsid w:val="00952626"/>
    <w:rsid w:val="00960860"/>
    <w:rsid w:val="009777AD"/>
    <w:rsid w:val="00980AC5"/>
    <w:rsid w:val="00995ACF"/>
    <w:rsid w:val="00997682"/>
    <w:rsid w:val="009A618E"/>
    <w:rsid w:val="009B00F2"/>
    <w:rsid w:val="009D3378"/>
    <w:rsid w:val="009E15C7"/>
    <w:rsid w:val="009E410B"/>
    <w:rsid w:val="009E481E"/>
    <w:rsid w:val="009F70F6"/>
    <w:rsid w:val="00A0200F"/>
    <w:rsid w:val="00A050CB"/>
    <w:rsid w:val="00A070A2"/>
    <w:rsid w:val="00A15E86"/>
    <w:rsid w:val="00A17B2F"/>
    <w:rsid w:val="00A20A3B"/>
    <w:rsid w:val="00A241C3"/>
    <w:rsid w:val="00A30B12"/>
    <w:rsid w:val="00A3312D"/>
    <w:rsid w:val="00A365ED"/>
    <w:rsid w:val="00A4175F"/>
    <w:rsid w:val="00A41B46"/>
    <w:rsid w:val="00A55B63"/>
    <w:rsid w:val="00A632D5"/>
    <w:rsid w:val="00A63D6C"/>
    <w:rsid w:val="00A64914"/>
    <w:rsid w:val="00A65FED"/>
    <w:rsid w:val="00A739FB"/>
    <w:rsid w:val="00A92249"/>
    <w:rsid w:val="00A945F8"/>
    <w:rsid w:val="00A95970"/>
    <w:rsid w:val="00A96E38"/>
    <w:rsid w:val="00AA68DE"/>
    <w:rsid w:val="00AB4E7F"/>
    <w:rsid w:val="00AB7257"/>
    <w:rsid w:val="00AD0442"/>
    <w:rsid w:val="00AD06B4"/>
    <w:rsid w:val="00AD19D7"/>
    <w:rsid w:val="00AD6A18"/>
    <w:rsid w:val="00AD7703"/>
    <w:rsid w:val="00AE7A59"/>
    <w:rsid w:val="00AF613D"/>
    <w:rsid w:val="00B0783C"/>
    <w:rsid w:val="00B172C7"/>
    <w:rsid w:val="00B24EC4"/>
    <w:rsid w:val="00B40F82"/>
    <w:rsid w:val="00B420EE"/>
    <w:rsid w:val="00B42AC2"/>
    <w:rsid w:val="00B463BD"/>
    <w:rsid w:val="00B50241"/>
    <w:rsid w:val="00B74C14"/>
    <w:rsid w:val="00B74E41"/>
    <w:rsid w:val="00B80000"/>
    <w:rsid w:val="00B9592A"/>
    <w:rsid w:val="00BA5BC6"/>
    <w:rsid w:val="00BB0CD1"/>
    <w:rsid w:val="00BB3944"/>
    <w:rsid w:val="00BB3AAC"/>
    <w:rsid w:val="00BB6913"/>
    <w:rsid w:val="00BB793C"/>
    <w:rsid w:val="00BC5E87"/>
    <w:rsid w:val="00BE1C17"/>
    <w:rsid w:val="00BE6DB7"/>
    <w:rsid w:val="00BF42A3"/>
    <w:rsid w:val="00C022E3"/>
    <w:rsid w:val="00C3001C"/>
    <w:rsid w:val="00C30673"/>
    <w:rsid w:val="00C35955"/>
    <w:rsid w:val="00C367C8"/>
    <w:rsid w:val="00C41919"/>
    <w:rsid w:val="00C45E17"/>
    <w:rsid w:val="00C6646A"/>
    <w:rsid w:val="00C70B51"/>
    <w:rsid w:val="00C71D49"/>
    <w:rsid w:val="00C763A3"/>
    <w:rsid w:val="00C77382"/>
    <w:rsid w:val="00C9252E"/>
    <w:rsid w:val="00C96F09"/>
    <w:rsid w:val="00C975AF"/>
    <w:rsid w:val="00CA1960"/>
    <w:rsid w:val="00CA7FB1"/>
    <w:rsid w:val="00CB0FDE"/>
    <w:rsid w:val="00CB2F18"/>
    <w:rsid w:val="00CC25B2"/>
    <w:rsid w:val="00CD0846"/>
    <w:rsid w:val="00CD233E"/>
    <w:rsid w:val="00CE6ACB"/>
    <w:rsid w:val="00CE784D"/>
    <w:rsid w:val="00CF0DE2"/>
    <w:rsid w:val="00CF6CFD"/>
    <w:rsid w:val="00CF753B"/>
    <w:rsid w:val="00D004DD"/>
    <w:rsid w:val="00D02062"/>
    <w:rsid w:val="00D035D5"/>
    <w:rsid w:val="00D0397A"/>
    <w:rsid w:val="00D073F7"/>
    <w:rsid w:val="00D13AE0"/>
    <w:rsid w:val="00D43C92"/>
    <w:rsid w:val="00D5655E"/>
    <w:rsid w:val="00D57778"/>
    <w:rsid w:val="00D66255"/>
    <w:rsid w:val="00D71395"/>
    <w:rsid w:val="00D7266B"/>
    <w:rsid w:val="00D72746"/>
    <w:rsid w:val="00D7598C"/>
    <w:rsid w:val="00D85321"/>
    <w:rsid w:val="00D9437D"/>
    <w:rsid w:val="00D959EC"/>
    <w:rsid w:val="00D95B24"/>
    <w:rsid w:val="00DD2989"/>
    <w:rsid w:val="00DD4919"/>
    <w:rsid w:val="00DE114F"/>
    <w:rsid w:val="00DE4362"/>
    <w:rsid w:val="00DE4FE2"/>
    <w:rsid w:val="00DF62B4"/>
    <w:rsid w:val="00E04908"/>
    <w:rsid w:val="00E04A90"/>
    <w:rsid w:val="00E04D1D"/>
    <w:rsid w:val="00E065BB"/>
    <w:rsid w:val="00E17902"/>
    <w:rsid w:val="00E3470A"/>
    <w:rsid w:val="00E452B2"/>
    <w:rsid w:val="00E604A7"/>
    <w:rsid w:val="00E63037"/>
    <w:rsid w:val="00E65985"/>
    <w:rsid w:val="00E83A1A"/>
    <w:rsid w:val="00E92FE5"/>
    <w:rsid w:val="00E95663"/>
    <w:rsid w:val="00E95756"/>
    <w:rsid w:val="00EA51B8"/>
    <w:rsid w:val="00EC3543"/>
    <w:rsid w:val="00EE741C"/>
    <w:rsid w:val="00F0175F"/>
    <w:rsid w:val="00F11869"/>
    <w:rsid w:val="00F12182"/>
    <w:rsid w:val="00F13429"/>
    <w:rsid w:val="00F1428D"/>
    <w:rsid w:val="00F14F27"/>
    <w:rsid w:val="00F26462"/>
    <w:rsid w:val="00F30D98"/>
    <w:rsid w:val="00F337CD"/>
    <w:rsid w:val="00F51BF1"/>
    <w:rsid w:val="00F56169"/>
    <w:rsid w:val="00F5773F"/>
    <w:rsid w:val="00F63909"/>
    <w:rsid w:val="00F65381"/>
    <w:rsid w:val="00F67CDB"/>
    <w:rsid w:val="00F83CCB"/>
    <w:rsid w:val="00F929C5"/>
    <w:rsid w:val="00FB07AD"/>
    <w:rsid w:val="00FB3E2B"/>
    <w:rsid w:val="00FC0253"/>
    <w:rsid w:val="00FC2B04"/>
    <w:rsid w:val="00FC32B2"/>
    <w:rsid w:val="00FC34AF"/>
    <w:rsid w:val="00FD64E9"/>
    <w:rsid w:val="00FF1655"/>
    <w:rsid w:val="00FF3B5A"/>
    <w:rsid w:val="00FF4619"/>
    <w:rsid w:val="00FF78AF"/>
    <w:rsid w:val="4AE6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79B2B83F"/>
  <w15:chartTrackingRefBased/>
  <w15:docId w15:val="{09DF972E-508C-4320-B13E-5407960F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60"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4" w:unhideWhenUsed="1" w:qFormat="1"/>
    <w:lsdException w:name="table of figures" w:semiHidden="1" w:uiPriority="4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/>
    <w:lsdException w:name="Emphasis" w:uiPriority="2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8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26B2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DE4362"/>
    <w:pPr>
      <w:keepNext/>
      <w:keepLines/>
      <w:spacing w:before="480" w:after="160"/>
      <w:contextualSpacing/>
      <w:outlineLvl w:val="0"/>
    </w:pPr>
    <w:rPr>
      <w:rFonts w:asciiTheme="majorHAnsi" w:eastAsiaTheme="majorEastAsia" w:hAnsiTheme="majorHAnsi" w:cstheme="majorBidi"/>
      <w:color w:val="081E3E" w:themeColor="text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26B2"/>
    <w:pPr>
      <w:keepNext/>
      <w:keepLines/>
      <w:spacing w:before="320" w:after="160"/>
      <w:outlineLvl w:val="1"/>
    </w:pPr>
    <w:rPr>
      <w:rFonts w:asciiTheme="majorHAnsi" w:eastAsiaTheme="majorEastAsia" w:hAnsiTheme="majorHAnsi" w:cstheme="majorBidi"/>
      <w:b/>
      <w:color w:val="081E3E" w:themeColor="tex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26B2"/>
    <w:pPr>
      <w:keepNext/>
      <w:keepLines/>
      <w:tabs>
        <w:tab w:val="center" w:pos="4932"/>
      </w:tabs>
      <w:spacing w:before="240" w:after="160"/>
      <w:ind w:left="317"/>
      <w:outlineLvl w:val="2"/>
    </w:pPr>
    <w:rPr>
      <w:rFonts w:asciiTheme="majorHAnsi" w:eastAsiaTheme="majorEastAsia" w:hAnsiTheme="majorHAnsi" w:cstheme="majorBidi"/>
      <w:b/>
      <w:color w:val="49515C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A92249"/>
    <w:pPr>
      <w:keepNext/>
      <w:keepLines/>
      <w:spacing w:before="240" w:after="160"/>
      <w:outlineLvl w:val="3"/>
    </w:pPr>
    <w:rPr>
      <w:rFonts w:asciiTheme="majorHAnsi" w:eastAsiaTheme="majorEastAsia" w:hAnsiTheme="majorHAnsi" w:cstheme="majorBidi"/>
      <w:b/>
      <w:iCs/>
      <w:color w:val="49515C" w:themeColor="accent4" w:themeShade="80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F794B"/>
    <w:pPr>
      <w:keepNext/>
      <w:keepLines/>
      <w:spacing w:before="240" w:after="160"/>
      <w:outlineLvl w:val="4"/>
    </w:pPr>
    <w:rPr>
      <w:rFonts w:asciiTheme="majorHAnsi" w:eastAsiaTheme="majorEastAsia" w:hAnsiTheme="majorHAnsi" w:cstheme="majorBidi"/>
      <w:b/>
      <w:color w:val="081E3E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F794B"/>
    <w:pPr>
      <w:keepNext/>
      <w:keepLines/>
      <w:spacing w:before="240" w:after="160"/>
      <w:outlineLvl w:val="5"/>
    </w:pPr>
    <w:rPr>
      <w:rFonts w:asciiTheme="majorHAnsi" w:eastAsiaTheme="majorEastAsia" w:hAnsiTheme="majorHAnsi" w:cstheme="majorBidi"/>
      <w:i/>
      <w:color w:val="081E3E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FE2"/>
    <w:rPr>
      <w:color w:val="808080"/>
    </w:rPr>
  </w:style>
  <w:style w:type="paragraph" w:styleId="Title">
    <w:name w:val="Title"/>
    <w:basedOn w:val="Normal"/>
    <w:next w:val="Normal"/>
    <w:link w:val="TitleChar"/>
    <w:uiPriority w:val="17"/>
    <w:qFormat/>
    <w:rsid w:val="000651EB"/>
    <w:pPr>
      <w:spacing w:before="1680" w:after="240"/>
      <w:outlineLvl w:val="0"/>
    </w:pPr>
    <w:rPr>
      <w:rFonts w:asciiTheme="majorHAnsi" w:eastAsiaTheme="majorEastAsia" w:hAnsiTheme="majorHAnsi" w:cstheme="majorBidi"/>
      <w:b/>
      <w:color w:val="081E3E" w:themeColor="text2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7"/>
    <w:rsid w:val="000651EB"/>
    <w:rPr>
      <w:rFonts w:asciiTheme="majorHAnsi" w:eastAsiaTheme="majorEastAsia" w:hAnsiTheme="majorHAnsi" w:cstheme="majorBidi"/>
      <w:b/>
      <w:color w:val="081E3E" w:themeColor="text2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8"/>
    <w:qFormat/>
    <w:rsid w:val="00A20A3B"/>
    <w:pPr>
      <w:numPr>
        <w:ilvl w:val="1"/>
      </w:numPr>
      <w:spacing w:before="240" w:after="160"/>
    </w:pPr>
    <w:rPr>
      <w:rFonts w:asciiTheme="majorHAnsi" w:eastAsiaTheme="minorEastAsia" w:hAnsiTheme="majorHAnsi"/>
      <w:color w:val="377B88"/>
      <w:sz w:val="44"/>
    </w:rPr>
  </w:style>
  <w:style w:type="character" w:customStyle="1" w:styleId="SubtitleChar">
    <w:name w:val="Subtitle Char"/>
    <w:basedOn w:val="DefaultParagraphFont"/>
    <w:link w:val="Subtitle"/>
    <w:uiPriority w:val="18"/>
    <w:rsid w:val="00A20A3B"/>
    <w:rPr>
      <w:rFonts w:asciiTheme="majorHAnsi" w:eastAsiaTheme="minorEastAsia" w:hAnsiTheme="majorHAnsi"/>
      <w:color w:val="377B88"/>
      <w:kern w:val="12"/>
      <w:sz w:val="44"/>
      <w:szCs w:val="22"/>
    </w:rPr>
  </w:style>
  <w:style w:type="paragraph" w:customStyle="1" w:styleId="CoverDate">
    <w:name w:val="Cover Date"/>
    <w:basedOn w:val="Normal"/>
    <w:uiPriority w:val="19"/>
    <w:qFormat/>
    <w:rsid w:val="00D02062"/>
    <w:rPr>
      <w:b/>
      <w:color w:val="081E3E" w:themeColor="text2"/>
    </w:rPr>
  </w:style>
  <w:style w:type="paragraph" w:styleId="Header">
    <w:name w:val="header"/>
    <w:basedOn w:val="Normal"/>
    <w:link w:val="HeaderChar"/>
    <w:uiPriority w:val="99"/>
    <w:unhideWhenUsed/>
    <w:rsid w:val="005912BE"/>
    <w:pPr>
      <w:tabs>
        <w:tab w:val="center" w:pos="4513"/>
        <w:tab w:val="right" w:pos="9026"/>
      </w:tabs>
      <w:spacing w:before="0"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912BE"/>
    <w:rPr>
      <w:kern w:val="12"/>
      <w:sz w:val="16"/>
    </w:rPr>
  </w:style>
  <w:style w:type="paragraph" w:styleId="Footer">
    <w:name w:val="footer"/>
    <w:basedOn w:val="Normal"/>
    <w:link w:val="FooterChar"/>
    <w:uiPriority w:val="99"/>
    <w:unhideWhenUsed/>
    <w:rsid w:val="007A05BE"/>
    <w:pPr>
      <w:tabs>
        <w:tab w:val="center" w:pos="4513"/>
        <w:tab w:val="right" w:pos="9026"/>
      </w:tabs>
      <w:spacing w:before="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A05BE"/>
    <w:rPr>
      <w:kern w:val="12"/>
      <w:sz w:val="16"/>
    </w:rPr>
  </w:style>
  <w:style w:type="character" w:styleId="PageNumber">
    <w:name w:val="page number"/>
    <w:basedOn w:val="DefaultParagraphFont"/>
    <w:uiPriority w:val="99"/>
    <w:semiHidden/>
    <w:rsid w:val="007A05BE"/>
    <w:rPr>
      <w:b/>
      <w:sz w:val="20"/>
    </w:rPr>
  </w:style>
  <w:style w:type="paragraph" w:customStyle="1" w:styleId="CoverPhoto">
    <w:name w:val="Cover Photo"/>
    <w:basedOn w:val="Normal"/>
    <w:uiPriority w:val="19"/>
    <w:qFormat/>
    <w:rsid w:val="0022611D"/>
    <w:pPr>
      <w:spacing w:before="1240" w:after="160"/>
    </w:pPr>
  </w:style>
  <w:style w:type="paragraph" w:styleId="NoSpacing">
    <w:name w:val="No Spacing"/>
    <w:uiPriority w:val="1"/>
    <w:qFormat/>
    <w:rsid w:val="000E5674"/>
    <w:pPr>
      <w:suppressAutoHyphens/>
      <w:contextualSpacing/>
    </w:pPr>
    <w:rPr>
      <w:kern w:val="12"/>
    </w:rPr>
  </w:style>
  <w:style w:type="paragraph" w:customStyle="1" w:styleId="ImprintHeading">
    <w:name w:val="Imprint Heading"/>
    <w:basedOn w:val="Normal"/>
    <w:uiPriority w:val="12"/>
    <w:rsid w:val="000E5674"/>
    <w:pPr>
      <w:spacing w:before="240" w:after="160"/>
      <w:outlineLvl w:val="1"/>
    </w:pPr>
    <w:rPr>
      <w:b/>
      <w:lang w:val="x-none"/>
    </w:rPr>
  </w:style>
  <w:style w:type="character" w:styleId="Hyperlink">
    <w:name w:val="Hyperlink"/>
    <w:basedOn w:val="DefaultParagraphFont"/>
    <w:uiPriority w:val="99"/>
    <w:unhideWhenUsed/>
    <w:rsid w:val="000E5674"/>
    <w:rPr>
      <w:color w:val="0046FF" w:themeColor="hyperlink"/>
      <w:u w:val="single"/>
    </w:rPr>
  </w:style>
  <w:style w:type="table" w:styleId="TableGrid">
    <w:name w:val="Table Grid"/>
    <w:basedOn w:val="TableNormal"/>
    <w:uiPriority w:val="39"/>
    <w:rsid w:val="005F79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5912BE"/>
    <w:pPr>
      <w:spacing w:before="0" w:after="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12BE"/>
    <w:rPr>
      <w:kern w:val="12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F794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E4362"/>
    <w:rPr>
      <w:rFonts w:asciiTheme="majorHAnsi" w:eastAsiaTheme="majorEastAsia" w:hAnsiTheme="majorHAnsi" w:cstheme="majorBidi"/>
      <w:color w:val="081E3E" w:themeColor="text2"/>
      <w:kern w:val="12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26B2"/>
    <w:rPr>
      <w:rFonts w:asciiTheme="majorHAnsi" w:eastAsiaTheme="majorEastAsia" w:hAnsiTheme="majorHAnsi" w:cstheme="majorBidi"/>
      <w:b/>
      <w:color w:val="081E3E" w:themeColor="text2"/>
      <w:sz w:val="36"/>
      <w:szCs w:val="26"/>
    </w:rPr>
  </w:style>
  <w:style w:type="paragraph" w:customStyle="1" w:styleId="Introduction">
    <w:name w:val="Introduction"/>
    <w:basedOn w:val="Normal"/>
    <w:uiPriority w:val="2"/>
    <w:qFormat/>
    <w:rsid w:val="00A20A3B"/>
    <w:pPr>
      <w:spacing w:before="240" w:after="240"/>
    </w:pPr>
    <w:rPr>
      <w:color w:val="377B88"/>
      <w:sz w:val="26"/>
      <w:lang w:val="x-none"/>
    </w:rPr>
  </w:style>
  <w:style w:type="character" w:customStyle="1" w:styleId="Heading3Char">
    <w:name w:val="Heading 3 Char"/>
    <w:basedOn w:val="DefaultParagraphFont"/>
    <w:link w:val="Heading3"/>
    <w:uiPriority w:val="9"/>
    <w:rsid w:val="003A26B2"/>
    <w:rPr>
      <w:rFonts w:asciiTheme="majorHAnsi" w:eastAsiaTheme="majorEastAsia" w:hAnsiTheme="majorHAnsi" w:cstheme="majorBidi"/>
      <w:b/>
      <w:color w:val="49515C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A92249"/>
    <w:rPr>
      <w:rFonts w:asciiTheme="majorHAnsi" w:eastAsiaTheme="majorEastAsia" w:hAnsiTheme="majorHAnsi" w:cstheme="majorBidi"/>
      <w:b/>
      <w:iCs/>
      <w:color w:val="49515C" w:themeColor="accent4" w:themeShade="80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F794B"/>
    <w:rPr>
      <w:rFonts w:asciiTheme="majorHAnsi" w:eastAsiaTheme="majorEastAsia" w:hAnsiTheme="majorHAnsi" w:cstheme="majorBidi"/>
      <w:b/>
      <w:color w:val="081E3E" w:themeColor="text2"/>
      <w:kern w:val="1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94B"/>
    <w:rPr>
      <w:rFonts w:asciiTheme="majorHAnsi" w:eastAsiaTheme="majorEastAsia" w:hAnsiTheme="majorHAnsi" w:cstheme="majorBidi"/>
      <w:i/>
      <w:color w:val="081E3E" w:themeColor="text2"/>
      <w:kern w:val="12"/>
      <w:sz w:val="22"/>
    </w:rPr>
  </w:style>
  <w:style w:type="paragraph" w:styleId="Caption">
    <w:name w:val="caption"/>
    <w:basedOn w:val="Normal"/>
    <w:next w:val="Normal"/>
    <w:uiPriority w:val="14"/>
    <w:qFormat/>
    <w:rsid w:val="005F794B"/>
    <w:pPr>
      <w:spacing w:before="240" w:after="160"/>
    </w:pPr>
    <w:rPr>
      <w:b/>
      <w:iCs/>
      <w:szCs w:val="18"/>
    </w:rPr>
  </w:style>
  <w:style w:type="table" w:customStyle="1" w:styleId="DefaultTable1">
    <w:name w:val="Default Table 1"/>
    <w:basedOn w:val="TableNormal"/>
    <w:uiPriority w:val="99"/>
    <w:rsid w:val="00D5655E"/>
    <w:pPr>
      <w:spacing w:before="80"/>
    </w:pPr>
    <w:tblPr>
      <w:tblStyleRowBandSize w:val="1"/>
      <w:tblStyleColBandSize w:val="1"/>
      <w:tblBorders>
        <w:top w:val="single" w:sz="4" w:space="0" w:color="008089" w:themeColor="accent2"/>
        <w:bottom w:val="single" w:sz="4" w:space="0" w:color="008089" w:themeColor="accent2"/>
        <w:insideH w:val="single" w:sz="4" w:space="0" w:color="008089" w:themeColor="accent2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tcBorders>
          <w:top w:val="nil"/>
          <w:bottom w:val="nil"/>
        </w:tcBorders>
        <w:shd w:val="clear" w:color="auto" w:fill="081E3E" w:themeFill="accent1"/>
      </w:tcPr>
    </w:tblStylePr>
    <w:tblStylePr w:type="lastRow">
      <w:rPr>
        <w:b/>
      </w:rPr>
      <w:tblPr/>
      <w:tcPr>
        <w:shd w:val="clear" w:color="auto" w:fill="F2F6E8" w:themeFill="accent5" w:themeFillTint="33"/>
      </w:tc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ourcenotes">
    <w:name w:val="Source notes"/>
    <w:basedOn w:val="Normal"/>
    <w:uiPriority w:val="15"/>
    <w:qFormat/>
    <w:rsid w:val="001349C6"/>
    <w:pPr>
      <w:spacing w:before="120"/>
    </w:pPr>
    <w:rPr>
      <w:sz w:val="16"/>
      <w:lang w:val="x-none"/>
    </w:rPr>
  </w:style>
  <w:style w:type="paragraph" w:customStyle="1" w:styleId="Sourcenotesnumbered">
    <w:name w:val="Source notes numbered"/>
    <w:basedOn w:val="Sourcenotes"/>
    <w:uiPriority w:val="15"/>
    <w:qFormat/>
    <w:rsid w:val="001349C6"/>
    <w:pPr>
      <w:spacing w:before="80"/>
    </w:pPr>
  </w:style>
  <w:style w:type="paragraph" w:customStyle="1" w:styleId="ListLegal1">
    <w:name w:val="List Legal 1"/>
    <w:basedOn w:val="Normal"/>
    <w:uiPriority w:val="3"/>
    <w:qFormat/>
    <w:rsid w:val="00FC32B2"/>
    <w:pPr>
      <w:numPr>
        <w:numId w:val="13"/>
      </w:numPr>
      <w:spacing w:before="80"/>
    </w:pPr>
    <w:rPr>
      <w:lang w:val="x-none"/>
    </w:rPr>
  </w:style>
  <w:style w:type="paragraph" w:customStyle="1" w:styleId="ListLegal2">
    <w:name w:val="List Legal 2"/>
    <w:basedOn w:val="ListLegal1"/>
    <w:uiPriority w:val="3"/>
    <w:rsid w:val="00FC32B2"/>
    <w:pPr>
      <w:numPr>
        <w:ilvl w:val="1"/>
      </w:numPr>
    </w:pPr>
  </w:style>
  <w:style w:type="paragraph" w:customStyle="1" w:styleId="ListLegal3">
    <w:name w:val="List Legal 3"/>
    <w:basedOn w:val="ListLegal2"/>
    <w:uiPriority w:val="3"/>
    <w:rsid w:val="00FC32B2"/>
    <w:pPr>
      <w:numPr>
        <w:ilvl w:val="2"/>
      </w:numPr>
    </w:pPr>
  </w:style>
  <w:style w:type="paragraph" w:customStyle="1" w:styleId="ListNumbered1">
    <w:name w:val="List Numbered 1"/>
    <w:basedOn w:val="Normal"/>
    <w:uiPriority w:val="3"/>
    <w:qFormat/>
    <w:rsid w:val="00FC32B2"/>
    <w:pPr>
      <w:numPr>
        <w:numId w:val="15"/>
      </w:numPr>
      <w:spacing w:before="80"/>
    </w:pPr>
    <w:rPr>
      <w:lang w:val="x-none"/>
    </w:rPr>
  </w:style>
  <w:style w:type="paragraph" w:customStyle="1" w:styleId="ListNumbered21">
    <w:name w:val="List Numbered 2.1"/>
    <w:basedOn w:val="ListNumbered1"/>
    <w:uiPriority w:val="3"/>
    <w:rsid w:val="00FC32B2"/>
    <w:pPr>
      <w:numPr>
        <w:ilvl w:val="1"/>
      </w:numPr>
    </w:pPr>
  </w:style>
  <w:style w:type="paragraph" w:customStyle="1" w:styleId="ListNumbered311">
    <w:name w:val="List Numbered 3.1.1"/>
    <w:basedOn w:val="ListNumbered21"/>
    <w:uiPriority w:val="3"/>
    <w:rsid w:val="00FC32B2"/>
    <w:pPr>
      <w:numPr>
        <w:ilvl w:val="2"/>
      </w:numPr>
    </w:pPr>
  </w:style>
  <w:style w:type="paragraph" w:customStyle="1" w:styleId="Bullet1">
    <w:name w:val="Bullet 1"/>
    <w:basedOn w:val="Normal"/>
    <w:uiPriority w:val="3"/>
    <w:qFormat/>
    <w:rsid w:val="00CF6CFD"/>
    <w:pPr>
      <w:numPr>
        <w:numId w:val="11"/>
      </w:numPr>
      <w:spacing w:before="80"/>
    </w:pPr>
    <w:rPr>
      <w:lang w:val="x-none"/>
    </w:rPr>
  </w:style>
  <w:style w:type="paragraph" w:customStyle="1" w:styleId="Bullet2">
    <w:name w:val="Bullet 2"/>
    <w:basedOn w:val="Bullet1"/>
    <w:uiPriority w:val="3"/>
    <w:rsid w:val="00CF6CFD"/>
    <w:pPr>
      <w:numPr>
        <w:ilvl w:val="1"/>
      </w:numPr>
    </w:pPr>
  </w:style>
  <w:style w:type="paragraph" w:customStyle="1" w:styleId="Bullet3">
    <w:name w:val="Bullet 3"/>
    <w:basedOn w:val="Bullet2"/>
    <w:uiPriority w:val="3"/>
    <w:rsid w:val="00CF6CFD"/>
    <w:pPr>
      <w:numPr>
        <w:ilvl w:val="2"/>
      </w:numPr>
    </w:pPr>
  </w:style>
  <w:style w:type="paragraph" w:styleId="TOCHeading">
    <w:name w:val="TOC Heading"/>
    <w:basedOn w:val="Heading1"/>
    <w:next w:val="Normal"/>
    <w:uiPriority w:val="38"/>
    <w:rsid w:val="00CF6CFD"/>
    <w:pPr>
      <w:spacing w:before="0"/>
    </w:pPr>
  </w:style>
  <w:style w:type="paragraph" w:customStyle="1" w:styleId="Box1Text">
    <w:name w:val="Box 1 Text"/>
    <w:basedOn w:val="Normal"/>
    <w:uiPriority w:val="23"/>
    <w:qFormat/>
    <w:rsid w:val="00CF6CFD"/>
    <w:pPr>
      <w:pBdr>
        <w:top w:val="single" w:sz="4" w:space="14" w:color="008089" w:themeColor="accent2"/>
        <w:left w:val="single" w:sz="4" w:space="14" w:color="008089" w:themeColor="accent2"/>
        <w:bottom w:val="single" w:sz="4" w:space="14" w:color="008089" w:themeColor="accent2"/>
        <w:right w:val="single" w:sz="4" w:space="14" w:color="008089" w:themeColor="accent2"/>
      </w:pBdr>
      <w:ind w:left="284" w:right="284"/>
    </w:pPr>
    <w:rPr>
      <w:lang w:val="x-none"/>
    </w:rPr>
  </w:style>
  <w:style w:type="paragraph" w:customStyle="1" w:styleId="Box1Heading">
    <w:name w:val="Box 1 Heading"/>
    <w:basedOn w:val="Box1Text"/>
    <w:uiPriority w:val="23"/>
    <w:qFormat/>
    <w:rsid w:val="00CF6CFD"/>
    <w:rPr>
      <w:b/>
    </w:rPr>
  </w:style>
  <w:style w:type="paragraph" w:customStyle="1" w:styleId="Box1Bullet1">
    <w:name w:val="Box 1 Bullet 1"/>
    <w:basedOn w:val="Box1Text"/>
    <w:uiPriority w:val="24"/>
    <w:qFormat/>
    <w:rsid w:val="007C53C4"/>
    <w:pPr>
      <w:numPr>
        <w:numId w:val="27"/>
      </w:numPr>
      <w:spacing w:before="80"/>
    </w:pPr>
    <w:rPr>
      <w:kern w:val="12"/>
      <w:sz w:val="20"/>
      <w:szCs w:val="20"/>
    </w:rPr>
  </w:style>
  <w:style w:type="paragraph" w:customStyle="1" w:styleId="Box2Text">
    <w:name w:val="Box 2 Text"/>
    <w:basedOn w:val="Normal"/>
    <w:uiPriority w:val="24"/>
    <w:qFormat/>
    <w:rsid w:val="007C53C4"/>
    <w:pPr>
      <w:pBdr>
        <w:top w:val="single" w:sz="4" w:space="14" w:color="F2F6E8" w:themeColor="accent5" w:themeTint="33"/>
        <w:left w:val="single" w:sz="4" w:space="14" w:color="F2F6E8" w:themeColor="accent5" w:themeTint="33"/>
        <w:bottom w:val="single" w:sz="4" w:space="14" w:color="F2F6E8" w:themeColor="accent5" w:themeTint="33"/>
        <w:right w:val="single" w:sz="4" w:space="14" w:color="F2F6E8" w:themeColor="accent5" w:themeTint="33"/>
      </w:pBdr>
      <w:shd w:val="clear" w:color="auto" w:fill="F2F6E8" w:themeFill="accent5" w:themeFillTint="33"/>
      <w:ind w:left="284" w:right="284"/>
    </w:pPr>
    <w:rPr>
      <w:lang w:val="x-none"/>
    </w:rPr>
  </w:style>
  <w:style w:type="paragraph" w:customStyle="1" w:styleId="Box2Heading">
    <w:name w:val="Box 2 Heading"/>
    <w:basedOn w:val="Box2Text"/>
    <w:uiPriority w:val="24"/>
    <w:qFormat/>
    <w:rsid w:val="00541213"/>
    <w:rPr>
      <w:b/>
    </w:rPr>
  </w:style>
  <w:style w:type="paragraph" w:customStyle="1" w:styleId="Box2Bullet1">
    <w:name w:val="Box 2 Bullet 1"/>
    <w:basedOn w:val="Box2Text"/>
    <w:uiPriority w:val="25"/>
    <w:qFormat/>
    <w:rsid w:val="007C53C4"/>
    <w:pPr>
      <w:numPr>
        <w:ilvl w:val="1"/>
        <w:numId w:val="27"/>
      </w:numPr>
      <w:spacing w:before="80"/>
    </w:pPr>
    <w:rPr>
      <w:kern w:val="12"/>
      <w:sz w:val="20"/>
      <w:szCs w:val="20"/>
    </w:rPr>
  </w:style>
  <w:style w:type="table" w:customStyle="1" w:styleId="IconBoxTable">
    <w:name w:val="Icon Box Table"/>
    <w:basedOn w:val="TableNormal"/>
    <w:uiPriority w:val="99"/>
    <w:rsid w:val="00D5655E"/>
    <w:pPr>
      <w:spacing w:before="80"/>
    </w:pPr>
    <w:tblPr>
      <w:tblCellMar>
        <w:top w:w="57" w:type="dxa"/>
        <w:left w:w="170" w:type="dxa"/>
        <w:bottom w:w="57" w:type="dxa"/>
        <w:right w:w="170" w:type="dxa"/>
      </w:tblCellMar>
    </w:tblPr>
    <w:tcPr>
      <w:shd w:val="clear" w:color="auto" w:fill="F2F2F2" w:themeFill="background1" w:themeFillShade="F2"/>
    </w:tcPr>
    <w:tblStylePr w:type="firstRow">
      <w:tblPr/>
      <w:trPr>
        <w:tblHeader/>
      </w:trPr>
    </w:tblStylePr>
    <w:tblStylePr w:type="firstCol">
      <w:tblPr>
        <w:tblCellMar>
          <w:top w:w="57" w:type="dxa"/>
          <w:left w:w="170" w:type="dxa"/>
          <w:bottom w:w="57" w:type="dxa"/>
          <w:right w:w="6" w:type="dxa"/>
        </w:tblCellMar>
      </w:tblPr>
      <w:tcPr>
        <w:tcMar>
          <w:top w:w="0" w:type="nil"/>
          <w:left w:w="170" w:type="dxa"/>
          <w:bottom w:w="0" w:type="nil"/>
          <w:right w:w="6" w:type="dxa"/>
        </w:tcMar>
      </w:tcPr>
    </w:tblStylePr>
  </w:style>
  <w:style w:type="numbering" w:customStyle="1" w:styleId="Bullets">
    <w:name w:val="Bullets"/>
    <w:uiPriority w:val="99"/>
    <w:rsid w:val="009B00F2"/>
    <w:pPr>
      <w:numPr>
        <w:numId w:val="11"/>
      </w:numPr>
    </w:pPr>
  </w:style>
  <w:style w:type="numbering" w:customStyle="1" w:styleId="ListLegal">
    <w:name w:val="List Legal"/>
    <w:uiPriority w:val="99"/>
    <w:rsid w:val="00477E77"/>
    <w:pPr>
      <w:numPr>
        <w:numId w:val="13"/>
      </w:numPr>
    </w:pPr>
  </w:style>
  <w:style w:type="numbering" w:customStyle="1" w:styleId="ListNumbered">
    <w:name w:val="List Numbered"/>
    <w:uiPriority w:val="99"/>
    <w:rsid w:val="00477E77"/>
    <w:pPr>
      <w:numPr>
        <w:numId w:val="15"/>
      </w:numPr>
    </w:pPr>
  </w:style>
  <w:style w:type="paragraph" w:customStyle="1" w:styleId="Heading1Numbered">
    <w:name w:val="Heading 1 Numbered"/>
    <w:basedOn w:val="Heading1"/>
    <w:uiPriority w:val="10"/>
    <w:rsid w:val="003F775D"/>
    <w:pPr>
      <w:numPr>
        <w:numId w:val="18"/>
      </w:numPr>
    </w:pPr>
  </w:style>
  <w:style w:type="paragraph" w:customStyle="1" w:styleId="Heading2Numbered">
    <w:name w:val="Heading 2 Numbered"/>
    <w:basedOn w:val="Heading2"/>
    <w:uiPriority w:val="10"/>
    <w:rsid w:val="003F775D"/>
    <w:pPr>
      <w:numPr>
        <w:ilvl w:val="1"/>
        <w:numId w:val="18"/>
      </w:numPr>
    </w:pPr>
  </w:style>
  <w:style w:type="paragraph" w:customStyle="1" w:styleId="Heading3Numbered">
    <w:name w:val="Heading 3 Numbered"/>
    <w:basedOn w:val="Heading3"/>
    <w:uiPriority w:val="10"/>
    <w:rsid w:val="003F775D"/>
    <w:pPr>
      <w:numPr>
        <w:ilvl w:val="2"/>
        <w:numId w:val="18"/>
      </w:numPr>
    </w:pPr>
  </w:style>
  <w:style w:type="paragraph" w:customStyle="1" w:styleId="Heading4Numbered">
    <w:name w:val="Heading 4 Numbered"/>
    <w:basedOn w:val="Heading4"/>
    <w:uiPriority w:val="10"/>
    <w:rsid w:val="003F775D"/>
    <w:pPr>
      <w:numPr>
        <w:ilvl w:val="3"/>
        <w:numId w:val="18"/>
      </w:numPr>
    </w:pPr>
  </w:style>
  <w:style w:type="paragraph" w:customStyle="1" w:styleId="Heading5Numbered">
    <w:name w:val="Heading 5 Numbered"/>
    <w:basedOn w:val="Heading5"/>
    <w:uiPriority w:val="10"/>
    <w:rsid w:val="003F775D"/>
    <w:pPr>
      <w:numPr>
        <w:ilvl w:val="4"/>
        <w:numId w:val="18"/>
      </w:numPr>
    </w:pPr>
  </w:style>
  <w:style w:type="numbering" w:customStyle="1" w:styleId="NumberedHeadings">
    <w:name w:val="Numbered Headings"/>
    <w:uiPriority w:val="99"/>
    <w:rsid w:val="003F775D"/>
    <w:pPr>
      <w:numPr>
        <w:numId w:val="17"/>
      </w:numPr>
    </w:pPr>
  </w:style>
  <w:style w:type="paragraph" w:customStyle="1" w:styleId="AppendixHeading1">
    <w:name w:val="Appendix Heading 1"/>
    <w:basedOn w:val="Heading1"/>
    <w:uiPriority w:val="11"/>
    <w:qFormat/>
    <w:rsid w:val="0001430B"/>
    <w:pPr>
      <w:numPr>
        <w:numId w:val="21"/>
      </w:numPr>
    </w:pPr>
  </w:style>
  <w:style w:type="paragraph" w:customStyle="1" w:styleId="AppendixHeading2">
    <w:name w:val="Appendix Heading 2"/>
    <w:basedOn w:val="Heading2"/>
    <w:uiPriority w:val="11"/>
    <w:rsid w:val="0001430B"/>
    <w:pPr>
      <w:numPr>
        <w:ilvl w:val="1"/>
        <w:numId w:val="21"/>
      </w:numPr>
    </w:pPr>
  </w:style>
  <w:style w:type="paragraph" w:customStyle="1" w:styleId="AttachmentHeading1">
    <w:name w:val="Attachment Heading 1"/>
    <w:basedOn w:val="Heading1"/>
    <w:uiPriority w:val="11"/>
    <w:qFormat/>
    <w:rsid w:val="0001430B"/>
    <w:pPr>
      <w:numPr>
        <w:numId w:val="22"/>
      </w:numPr>
    </w:pPr>
  </w:style>
  <w:style w:type="paragraph" w:customStyle="1" w:styleId="AttachmentHeading2">
    <w:name w:val="Attachment Heading 2"/>
    <w:basedOn w:val="Heading2"/>
    <w:uiPriority w:val="11"/>
    <w:rsid w:val="0001430B"/>
    <w:pPr>
      <w:numPr>
        <w:ilvl w:val="1"/>
        <w:numId w:val="22"/>
      </w:numPr>
    </w:pPr>
  </w:style>
  <w:style w:type="numbering" w:customStyle="1" w:styleId="AppendixNumbers">
    <w:name w:val="Appendix Numbers"/>
    <w:uiPriority w:val="99"/>
    <w:rsid w:val="0001430B"/>
    <w:pPr>
      <w:numPr>
        <w:numId w:val="19"/>
      </w:numPr>
    </w:pPr>
  </w:style>
  <w:style w:type="numbering" w:customStyle="1" w:styleId="AttachmentNumbers">
    <w:name w:val="Attachment Numbers"/>
    <w:uiPriority w:val="99"/>
    <w:rsid w:val="0001430B"/>
    <w:pPr>
      <w:numPr>
        <w:numId w:val="2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012B85"/>
    <w:pPr>
      <w:pBdr>
        <w:left w:val="single" w:sz="48" w:space="22" w:color="4BB3B5"/>
      </w:pBdr>
      <w:spacing w:after="160"/>
      <w:ind w:left="567" w:right="567"/>
    </w:pPr>
    <w:rPr>
      <w:b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B85"/>
    <w:rPr>
      <w:b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rsid w:val="00E3470A"/>
    <w:pPr>
      <w:keepLines/>
      <w:ind w:left="567" w:hanging="567"/>
    </w:pPr>
    <w:rPr>
      <w:b/>
      <w:sz w:val="24"/>
      <w:u w:val="single" w:color="008089" w:themeColor="accent2"/>
    </w:rPr>
  </w:style>
  <w:style w:type="paragraph" w:styleId="TOC2">
    <w:name w:val="toc 2"/>
    <w:basedOn w:val="Normal"/>
    <w:next w:val="Normal"/>
    <w:autoRedefine/>
    <w:uiPriority w:val="39"/>
    <w:rsid w:val="00A95970"/>
    <w:pPr>
      <w:keepLines/>
      <w:spacing w:before="80"/>
      <w:ind w:left="567" w:hanging="567"/>
    </w:pPr>
  </w:style>
  <w:style w:type="paragraph" w:styleId="TOC3">
    <w:name w:val="toc 3"/>
    <w:basedOn w:val="Normal"/>
    <w:next w:val="Normal"/>
    <w:autoRedefine/>
    <w:uiPriority w:val="39"/>
    <w:rsid w:val="00DE4362"/>
    <w:pPr>
      <w:spacing w:before="80"/>
      <w:ind w:left="1134" w:hanging="567"/>
    </w:pPr>
  </w:style>
  <w:style w:type="paragraph" w:styleId="TableofFigures">
    <w:name w:val="table of figures"/>
    <w:basedOn w:val="Normal"/>
    <w:next w:val="Normal"/>
    <w:uiPriority w:val="40"/>
    <w:unhideWhenUsed/>
    <w:rsid w:val="006E1ECA"/>
    <w:pPr>
      <w:spacing w:before="80"/>
    </w:pPr>
  </w:style>
  <w:style w:type="paragraph" w:customStyle="1" w:styleId="AreaHeading">
    <w:name w:val="Area Heading"/>
    <w:basedOn w:val="Normal"/>
    <w:qFormat/>
    <w:rsid w:val="00D13AE0"/>
    <w:pPr>
      <w:spacing w:before="0" w:after="240"/>
      <w:ind w:left="-1021" w:firstLine="1021"/>
    </w:pPr>
    <w:rPr>
      <w:rFonts w:cs="Times New Roman (Body CS)"/>
      <w:caps/>
      <w:color w:val="49515C" w:themeColor="accent4" w:themeShade="80"/>
    </w:rPr>
  </w:style>
  <w:style w:type="paragraph" w:customStyle="1" w:styleId="Box2Checklist">
    <w:name w:val="Box 2 Checklist"/>
    <w:basedOn w:val="Box2Text"/>
    <w:uiPriority w:val="26"/>
    <w:qFormat/>
    <w:rsid w:val="007C53C4"/>
    <w:pPr>
      <w:numPr>
        <w:ilvl w:val="2"/>
        <w:numId w:val="27"/>
      </w:numPr>
    </w:pPr>
    <w:rPr>
      <w:kern w:val="12"/>
      <w:sz w:val="20"/>
      <w:szCs w:val="20"/>
    </w:rPr>
  </w:style>
  <w:style w:type="numbering" w:customStyle="1" w:styleId="BoxedBullets">
    <w:name w:val="Boxed Bullets"/>
    <w:uiPriority w:val="99"/>
    <w:rsid w:val="007C53C4"/>
    <w:pPr>
      <w:numPr>
        <w:numId w:val="2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CF0DE2"/>
    <w:rPr>
      <w:color w:val="0046FF" w:themeColor="followedHyperlink"/>
      <w:u w:val="single"/>
    </w:rPr>
  </w:style>
  <w:style w:type="paragraph" w:customStyle="1" w:styleId="SecurityMarker">
    <w:name w:val="Security Marker"/>
    <w:basedOn w:val="Normal"/>
    <w:qFormat/>
    <w:rsid w:val="00B420EE"/>
    <w:pPr>
      <w:spacing w:before="60" w:after="60"/>
      <w:jc w:val="center"/>
    </w:pPr>
    <w:rPr>
      <w:b/>
      <w:bCs/>
      <w:caps/>
      <w:noProof/>
      <w:color w:val="E10000"/>
      <w:sz w:val="28"/>
      <w:szCs w:val="28"/>
      <w:shd w:val="clear" w:color="auto" w:fill="FFFFFF" w:themeFill="background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19A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975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75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75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5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5A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5A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5A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rsid w:val="00722990"/>
    <w:pPr>
      <w:ind w:left="720"/>
      <w:contextualSpacing/>
    </w:pPr>
  </w:style>
  <w:style w:type="paragraph" w:customStyle="1" w:styleId="DocHeading">
    <w:name w:val="DocHeading"/>
    <w:basedOn w:val="Heading1"/>
    <w:qFormat/>
    <w:rsid w:val="00722990"/>
    <w:pPr>
      <w:spacing w:before="160" w:after="220"/>
    </w:pPr>
    <w:rPr>
      <w:rFonts w:asciiTheme="minorHAnsi" w:hAnsiTheme="minorHAnsi" w:cstheme="minorHAnsi"/>
      <w:b/>
    </w:rPr>
  </w:style>
  <w:style w:type="paragraph" w:styleId="NormalWeb">
    <w:name w:val="Normal (Web)"/>
    <w:basedOn w:val="Normal"/>
    <w:uiPriority w:val="99"/>
    <w:semiHidden/>
    <w:unhideWhenUsed/>
    <w:rsid w:val="00F26462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4743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54E3B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622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footer" Target="footer5.xml"/><Relationship Id="rId30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partment_Templates\Standard%20Templates\Standard%20landscape%20A4.dotx" TargetMode="External"/></Relationships>
</file>

<file path=word/theme/theme1.xml><?xml version="1.0" encoding="utf-8"?>
<a:theme xmlns:a="http://schemas.openxmlformats.org/drawingml/2006/main" name="Office Theme">
  <a:themeElements>
    <a:clrScheme name="INFRA 2022">
      <a:dk1>
        <a:srgbClr val="000000"/>
      </a:dk1>
      <a:lt1>
        <a:srgbClr val="FFFFFF"/>
      </a:lt1>
      <a:dk2>
        <a:srgbClr val="081E3E"/>
      </a:dk2>
      <a:lt2>
        <a:srgbClr val="E7E7E7"/>
      </a:lt2>
      <a:accent1>
        <a:srgbClr val="081E3E"/>
      </a:accent1>
      <a:accent2>
        <a:srgbClr val="008089"/>
      </a:accent2>
      <a:accent3>
        <a:srgbClr val="77D1F4"/>
      </a:accent3>
      <a:accent4>
        <a:srgbClr val="9AA3AF"/>
      </a:accent4>
      <a:accent5>
        <a:srgbClr val="C0D48F"/>
      </a:accent5>
      <a:accent6>
        <a:srgbClr val="6FC197"/>
      </a:accent6>
      <a:hlink>
        <a:srgbClr val="0046FF"/>
      </a:hlink>
      <a:folHlink>
        <a:srgbClr val="0046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2025-09-05T00:00:00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E86903DC934E40A7FEDF05BD4E7975" ma:contentTypeVersion="3" ma:contentTypeDescription="Create a new document." ma:contentTypeScope="" ma:versionID="510a86af5fd53d6e7102c4362a2b5a37">
  <xsd:schema xmlns:xsd="http://www.w3.org/2001/XMLSchema" xmlns:xs="http://www.w3.org/2001/XMLSchema" xmlns:p="http://schemas.microsoft.com/office/2006/metadata/properties" xmlns:ns2="72ac0e58-3532-4610-a9d2-e8d7df64eb11" targetNamespace="http://schemas.microsoft.com/office/2006/metadata/properties" ma:root="true" ma:fieldsID="a7abddb32b931a36426813004cca9312" ns2:_="">
    <xsd:import namespace="72ac0e58-3532-4610-a9d2-e8d7df64eb11"/>
    <xsd:element name="properties">
      <xsd:complexType>
        <xsd:sequence>
          <xsd:element name="documentManagement">
            <xsd:complexType>
              <xsd:all>
                <xsd:element ref="ns2:RecordNumber" minOccurs="0"/>
                <xsd:element ref="ns2:oe51f3a579034d249950f1ba26145c72" minOccurs="0"/>
                <xsd:element ref="ns2:TaxCatchAll" minOccurs="0"/>
                <xsd:element ref="ns2:TaxCatchAllLabel" minOccurs="0"/>
                <xsd:element ref="ns2:n0a8ddcffb6f45259a17b2997a47c532" minOccurs="0"/>
                <xsd:element ref="ns2:Destroy Item46" minOccurs="0"/>
                <xsd:element ref="ns2:Justification for Destruction47" minOccurs="0"/>
                <xsd:element ref="ns2:Document_x0020_SP_x0020_Typ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c0e58-3532-4610-a9d2-e8d7df64eb11" elementFormDefault="qualified">
    <xsd:import namespace="http://schemas.microsoft.com/office/2006/documentManagement/types"/>
    <xsd:import namespace="http://schemas.microsoft.com/office/infopath/2007/PartnerControls"/>
    <xsd:element name="RecordNumber" ma:index="8" nillable="true" ma:displayName="Record Number" ma:internalName="RecordNumber">
      <xsd:simpleType>
        <xsd:restriction base="dms:Text"/>
      </xsd:simpleType>
    </xsd:element>
    <xsd:element name="oe51f3a579034d249950f1ba26145c72" ma:index="9" ma:taxonomy="true" ma:internalName="oe51f3a579034d249950f1ba26145c72" ma:taxonomyFieldName="Security_x0020_Classification" ma:displayName="Security Classification" ma:readOnly="false" ma:default="1;#OFFICIAL|66ee57a8-59d0-46bc-a5fc-78440ee0cf81" ma:fieldId="{8e51f3a5-7903-4d24-9950-f1ba26145c72}" ma:sspId="0483e4a5-f0f6-4ded-b0bb-00a90fd4cf8b" ma:termSetId="d697d180-c653-44a1-a6e2-69709aabde2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d79e1c6a-6e64-4351-bd44-57f99de8d23f}" ma:internalName="TaxCatchAll" ma:showField="CatchAllData" ma:web="72ac0e58-3532-4610-a9d2-e8d7df64eb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d79e1c6a-6e64-4351-bd44-57f99de8d23f}" ma:internalName="TaxCatchAllLabel" ma:readOnly="true" ma:showField="CatchAllDataLabel" ma:web="72ac0e58-3532-4610-a9d2-e8d7df64eb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0a8ddcffb6f45259a17b2997a47c532" ma:index="13" nillable="true" ma:taxonomy="true" ma:internalName="n0a8ddcffb6f45259a17b2997a47c532" ma:taxonomyFieldName="Information_x0020_Management_x0020_Marker" ma:displayName="Information Management Marker" ma:default="" ma:fieldId="{70a8ddcf-fb6f-4525-9a17-b2997a47c532}" ma:sspId="0483e4a5-f0f6-4ded-b0bb-00a90fd4cf8b" ma:termSetId="44e0cffd-acf4-44de-87a1-d4e578541b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stroy Item46" ma:index="15" nillable="true" ma:displayName="Destroy Item" ma:internalName="Destroy_x0020_Item46">
      <xsd:simpleType>
        <xsd:restriction base="dms:Boolean"/>
      </xsd:simpleType>
    </xsd:element>
    <xsd:element name="Justification for Destruction47" ma:index="16" nillable="true" ma:displayName="Justification for Destruction" ma:internalName="Justification_x0020_for_x0020_Destruction47">
      <xsd:simpleType>
        <xsd:restriction base="dms:Text"/>
      </xsd:simpleType>
    </xsd:element>
    <xsd:element name="Document_x0020_SP_x0020_Type" ma:index="17" nillable="true" ma:displayName="Document SP Type" ma:default="Document" ma:hidden="true" ma:internalName="Document_x0020_SP_x0020_Type" ma:readOnly="false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771258-ADC7-4147-9600-36FBCEF402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231F61-25DD-4FC9-9BC5-0ADE53B2D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ac0e58-3532-4610-a9d2-e8d7df64e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5FD0A6-6440-4A00-93B2-A8F1C315D20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e08a618-4c1e-4517-8ef1-59cb63d68e36}" enabled="1" method="Privileged" siteId="{aa21b640-bac2-456d-8505-f2cc07f51784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Standard landscape A4.dotx</Template>
  <TotalTime>28</TotalTime>
  <Pages>8</Pages>
  <Words>1204</Words>
  <Characters>7093</Characters>
  <Application>Microsoft Office Word</Application>
  <DocSecurity>0</DocSecurity>
  <Lines>208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a glance: Cultural and Creative Activity in Australia, 2014–15 to 2023–24</vt:lpstr>
    </vt:vector>
  </TitlesOfParts>
  <Company>Australian Government, Department of Infrastructure, Transport, Regional Development, Communications, Sport and the Arts</Company>
  <LinksUpToDate>false</LinksUpToDate>
  <CharactersWithSpaces>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a glance: Cultural and Creative Activity in Australia, 2014–15 to 2023–24—December 2025</dc:title>
  <dc:subject/>
  <dc:creator>Australian Government, Department of Infrastructure, Transport, Regional Development, Communications, Sport and the Arts</dc:creator>
  <cp:keywords/>
  <dc:description/>
  <cp:lastModifiedBy>Hall, Theresa</cp:lastModifiedBy>
  <cp:revision>15</cp:revision>
  <cp:lastPrinted>2025-12-03T00:14:00Z</cp:lastPrinted>
  <dcterms:created xsi:type="dcterms:W3CDTF">2025-12-05T04:10:00Z</dcterms:created>
  <dcterms:modified xsi:type="dcterms:W3CDTF">2025-12-19T08:01:00Z</dcterms:modified>
  <cp:contentStatus>&lt;SELECT THE CLASSIFICATION MARKER ABOVE THAT APPLIES TO YOUR DOCUMENT, THEN DELETE THE OTHERS AND THIS TEXT&gt;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0x0101009EE86903DC934E40A7FEDF05BD4E7975</vt:lpwstr>
  </property>
  <property fmtid="{D5CDD505-2E9C-101B-9397-08002B2CF9AE}" pid="3" name="ClassificationContentMarkingHeaderShapeIds">
    <vt:lpwstr>17d8daf6,6acdbb3d,12672af9,76d5d0a8,3dd08d2f</vt:lpwstr>
  </property>
  <property fmtid="{D5CDD505-2E9C-101B-9397-08002B2CF9AE}" pid="4" name="ClassificationContentMarkingHeaderFontProps">
    <vt:lpwstr>#ff0000,14,Calibri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489639eb,4cd08b11,48cb15a2,7ca6c3fb,fbea096</vt:lpwstr>
  </property>
  <property fmtid="{D5CDD505-2E9C-101B-9397-08002B2CF9AE}" pid="7" name="ClassificationContentMarkingFooterFontProps">
    <vt:lpwstr>#ff0000,14,Calibri</vt:lpwstr>
  </property>
  <property fmtid="{D5CDD505-2E9C-101B-9397-08002B2CF9AE}" pid="8" name="ClassificationContentMarkingFooterText">
    <vt:lpwstr>OFFICIAL</vt:lpwstr>
  </property>
</Properties>
</file>