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A45" w:rsidRDefault="00763A1C" w:rsidP="0053633C">
      <w:pPr>
        <w:tabs>
          <w:tab w:val="right" w:pos="9356"/>
        </w:tabs>
        <w:spacing w:after="720"/>
        <w:ind w:left="-567"/>
      </w:pPr>
      <w:r>
        <w:rPr>
          <w:noProof/>
          <w:lang w:eastAsia="en-AU"/>
        </w:rPr>
        <w:drawing>
          <wp:inline distT="0" distB="0" distL="0" distR="0" wp14:anchorId="78BAD527" wp14:editId="329036D3">
            <wp:extent cx="3992505" cy="731520"/>
            <wp:effectExtent l="0" t="0" r="8255" b="0"/>
            <wp:docPr id="3" name="Picture 3" descr="Australian Government&#10;Department of Infrastructure, Transport, Regional Development, Communications and the Arts" title="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0856" cy="744044"/>
                    </a:xfrm>
                    <a:prstGeom prst="rect">
                      <a:avLst/>
                    </a:prstGeom>
                  </pic:spPr>
                </pic:pic>
              </a:graphicData>
            </a:graphic>
          </wp:inline>
        </w:drawing>
      </w:r>
      <w:r w:rsidR="0053633C">
        <w:tab/>
      </w:r>
      <w:r>
        <w:rPr>
          <w:noProof/>
          <w:lang w:eastAsia="en-AU"/>
        </w:rPr>
        <w:drawing>
          <wp:inline distT="0" distB="0" distL="0" distR="0" wp14:anchorId="619407A7" wp14:editId="06F68B0E">
            <wp:extent cx="2235890" cy="560294"/>
            <wp:effectExtent l="0" t="0" r="0" b="0"/>
            <wp:docPr id="8" name="Picture 8" descr="Bureau of Communications, Arts and Regional Research." title="BCAR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Communications, Arts and Regional Research."/>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5758" cy="585320"/>
                    </a:xfrm>
                    <a:prstGeom prst="rect">
                      <a:avLst/>
                    </a:prstGeom>
                  </pic:spPr>
                </pic:pic>
              </a:graphicData>
            </a:graphic>
          </wp:inline>
        </w:drawing>
      </w:r>
    </w:p>
    <w:p w:rsidR="00763A1C" w:rsidRDefault="00763A1C" w:rsidP="00763A1C">
      <w:pPr>
        <w:spacing w:after="720"/>
        <w:ind w:left="-567"/>
        <w:sectPr w:rsidR="00763A1C" w:rsidSect="000E29BE">
          <w:headerReference w:type="default" r:id="rId10"/>
          <w:footerReference w:type="default" r:id="rId11"/>
          <w:footerReference w:type="first" r:id="rId12"/>
          <w:pgSz w:w="11906" w:h="16838"/>
          <w:pgMar w:top="1135" w:right="991" w:bottom="1276" w:left="1440" w:header="0" w:footer="113" w:gutter="0"/>
          <w:cols w:space="708"/>
          <w:titlePg/>
          <w:docGrid w:linePitch="360"/>
        </w:sectPr>
      </w:pPr>
    </w:p>
    <w:p w:rsidR="00B041CB" w:rsidRPr="00B041CB" w:rsidRDefault="00150382" w:rsidP="000E29BE">
      <w:pPr>
        <w:pStyle w:val="Heading1"/>
        <w:ind w:left="567"/>
      </w:pPr>
      <w:r w:rsidRPr="00911C01">
        <w:t>Cultural and Creative Activity Satellite Accounts Methodology Refres</w:t>
      </w:r>
      <w:r>
        <w:t>h</w:t>
      </w:r>
    </w:p>
    <w:p w:rsidR="00B041CB" w:rsidRPr="00B041CB" w:rsidRDefault="00150382" w:rsidP="000E29BE">
      <w:pPr>
        <w:pStyle w:val="Subtitle"/>
        <w:ind w:left="567"/>
      </w:pPr>
      <w:r>
        <w:t>Consultation paper</w:t>
      </w:r>
    </w:p>
    <w:p w:rsidR="00B041CB" w:rsidRPr="00B041CB" w:rsidRDefault="00150382" w:rsidP="000E29BE">
      <w:pPr>
        <w:suppressAutoHyphens/>
        <w:spacing w:before="160" w:after="80"/>
        <w:ind w:left="567"/>
        <w:rPr>
          <w:rFonts w:eastAsia="Calibri" w:cs="Times New Roman"/>
          <w:b/>
          <w:color w:val="081E3E"/>
          <w:kern w:val="12"/>
          <w:sz w:val="20"/>
          <w:szCs w:val="20"/>
        </w:rPr>
      </w:pPr>
      <w:r>
        <w:rPr>
          <w:rFonts w:eastAsia="Calibri" w:cs="Times New Roman"/>
          <w:b/>
          <w:color w:val="081E3E"/>
          <w:kern w:val="12"/>
          <w:sz w:val="20"/>
          <w:szCs w:val="20"/>
        </w:rPr>
        <w:t>February</w:t>
      </w:r>
      <w:r w:rsidR="00B041CB" w:rsidRPr="00B041CB">
        <w:rPr>
          <w:rFonts w:eastAsia="Calibri" w:cs="Times New Roman"/>
          <w:b/>
          <w:color w:val="081E3E"/>
          <w:kern w:val="12"/>
          <w:sz w:val="20"/>
          <w:szCs w:val="20"/>
        </w:rPr>
        <w:t xml:space="preserve"> 202</w:t>
      </w:r>
      <w:r w:rsidR="002C3C48">
        <w:rPr>
          <w:rFonts w:eastAsia="Calibri" w:cs="Times New Roman"/>
          <w:b/>
          <w:color w:val="081E3E"/>
          <w:kern w:val="12"/>
          <w:sz w:val="20"/>
          <w:szCs w:val="20"/>
        </w:rPr>
        <w:t>3</w:t>
      </w:r>
    </w:p>
    <w:p w:rsidR="009C1ECD" w:rsidRDefault="009C1ECD">
      <w:pPr>
        <w:spacing w:line="259" w:lineRule="auto"/>
        <w:rPr>
          <w:rFonts w:eastAsia="Calibri" w:cs="Times New Roman"/>
          <w:color w:val="000000"/>
          <w:kern w:val="12"/>
          <w:sz w:val="20"/>
          <w:szCs w:val="20"/>
        </w:rPr>
      </w:pPr>
      <w:bookmarkStart w:id="0" w:name="_GoBack"/>
      <w:bookmarkEnd w:id="0"/>
      <w:r>
        <w:rPr>
          <w:rFonts w:eastAsia="Calibri" w:cs="Times New Roman"/>
          <w:color w:val="000000"/>
          <w:kern w:val="12"/>
          <w:sz w:val="20"/>
          <w:szCs w:val="20"/>
        </w:rPr>
        <w:br w:type="page"/>
      </w:r>
    </w:p>
    <w:p w:rsidR="00150382" w:rsidRPr="002B2699" w:rsidRDefault="00150382" w:rsidP="00150382">
      <w:pPr>
        <w:pStyle w:val="Heading2notshowing"/>
      </w:pPr>
      <w:bookmarkStart w:id="1" w:name="_Toc112683630"/>
      <w:bookmarkStart w:id="2" w:name="_Toc112683687"/>
      <w:bookmarkStart w:id="3" w:name="_Toc112683721"/>
      <w:r w:rsidRPr="002B2699">
        <w:lastRenderedPageBreak/>
        <w:t>Ownership of intellectual property rights in this publication</w:t>
      </w:r>
      <w:bookmarkEnd w:id="1"/>
      <w:bookmarkEnd w:id="2"/>
      <w:bookmarkEnd w:id="3"/>
    </w:p>
    <w:p w:rsidR="00150382" w:rsidRPr="002B2699" w:rsidRDefault="00150382" w:rsidP="00150382">
      <w:r w:rsidRPr="002B2699">
        <w:t>Unless otherwise noted, copyright (and any other intellectual property rights, if any) in this publication is owned by the Commonwealth of Australia (referred to below as the Commonwealth).</w:t>
      </w:r>
    </w:p>
    <w:p w:rsidR="00150382" w:rsidRPr="002B2699" w:rsidRDefault="00150382" w:rsidP="00150382">
      <w:pPr>
        <w:pStyle w:val="Heading2notshowing"/>
      </w:pPr>
      <w:bookmarkStart w:id="4" w:name="_Toc112683631"/>
      <w:bookmarkStart w:id="5" w:name="_Toc112683688"/>
      <w:bookmarkStart w:id="6" w:name="_Toc112683722"/>
      <w:r w:rsidRPr="002B2699">
        <w:t>Disclaimer</w:t>
      </w:r>
      <w:bookmarkEnd w:id="4"/>
      <w:bookmarkEnd w:id="5"/>
      <w:bookmarkEnd w:id="6"/>
    </w:p>
    <w:p w:rsidR="00150382" w:rsidRPr="002B2699" w:rsidRDefault="00150382" w:rsidP="00150382">
      <w:r w:rsidRPr="002B2699">
        <w:t>The material contained in this publication is made available on the understanding that the Commonwealth is not providing professional advice, and that users exercise their own skill and care with respect to its use, and seek independent advice if necessary.</w:t>
      </w:r>
    </w:p>
    <w:p w:rsidR="00150382" w:rsidRPr="002B2699" w:rsidRDefault="00150382" w:rsidP="00150382">
      <w:r w:rsidRPr="002B2699">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rsidR="00150382" w:rsidRPr="002B2699" w:rsidRDefault="00150382" w:rsidP="00150382">
      <w:pPr>
        <w:pStyle w:val="Heading2notshowing"/>
      </w:pPr>
      <w:bookmarkStart w:id="7" w:name="_Toc112683632"/>
      <w:bookmarkStart w:id="8" w:name="_Toc112683689"/>
      <w:bookmarkStart w:id="9" w:name="_Toc112683723"/>
      <w:r w:rsidRPr="002B2699">
        <w:t>Creative Commons licence</w:t>
      </w:r>
      <w:bookmarkEnd w:id="7"/>
      <w:bookmarkEnd w:id="8"/>
      <w:bookmarkEnd w:id="9"/>
    </w:p>
    <w:p w:rsidR="00150382" w:rsidRPr="002B2699" w:rsidRDefault="00150382" w:rsidP="00150382">
      <w:r w:rsidRPr="002B2699">
        <w:t>With the exception of (a) the Coat of Arms; (b) the Department of Infrastructure, Transport, Regional Development and Communications photos and graphics; and (c) [OTHER], copyright in this publication is licensed under a Creative Commons Attribution 4.0 Australia Licence.</w:t>
      </w:r>
    </w:p>
    <w:p w:rsidR="00150382" w:rsidRPr="002B2699" w:rsidRDefault="00150382" w:rsidP="00150382">
      <w:r w:rsidRPr="002B2699">
        <w:t>Creative Commons Attribution 4.0 Australia Licence is a standard form licence agreement that allows you to copy, communicate and adapt this publication provided that you attribute the work to the Commonwealth and abide by the other licence terms.</w:t>
      </w:r>
    </w:p>
    <w:p w:rsidR="00150382" w:rsidRPr="002B2699" w:rsidRDefault="00150382" w:rsidP="00150382">
      <w:r w:rsidRPr="002B2699">
        <w:t xml:space="preserve">Further information on the licence terms is available from </w:t>
      </w:r>
      <w:hyperlink r:id="rId13" w:tooltip="Creative Commons website" w:history="1">
        <w:r w:rsidRPr="002B2699">
          <w:rPr>
            <w:rStyle w:val="Hyperlink"/>
          </w:rPr>
          <w:t>https://creativecommons.org/licenses/by/4.0/</w:t>
        </w:r>
      </w:hyperlink>
    </w:p>
    <w:p w:rsidR="00150382" w:rsidRPr="002B2699" w:rsidRDefault="00150382" w:rsidP="00150382">
      <w:r w:rsidRPr="002B2699">
        <w:t>This publication should be attributed in the following way: © Commonwealth of A</w:t>
      </w:r>
      <w:r w:rsidRPr="004F244E">
        <w:t xml:space="preserve">ustralia </w:t>
      </w:r>
      <w:r w:rsidRPr="001E76D2">
        <w:t>202</w:t>
      </w:r>
      <w:r w:rsidRPr="004F244E">
        <w:t>2.</w:t>
      </w:r>
    </w:p>
    <w:p w:rsidR="00150382" w:rsidRPr="002B2699" w:rsidRDefault="00150382" w:rsidP="00150382">
      <w:pPr>
        <w:pStyle w:val="Heading2notshowing"/>
      </w:pPr>
      <w:bookmarkStart w:id="10" w:name="_Toc112683633"/>
      <w:bookmarkStart w:id="11" w:name="_Toc112683690"/>
      <w:bookmarkStart w:id="12" w:name="_Toc112683724"/>
      <w:r w:rsidRPr="002B2699">
        <w:t>Use of the Coat of Arms</w:t>
      </w:r>
      <w:bookmarkEnd w:id="10"/>
      <w:bookmarkEnd w:id="11"/>
      <w:bookmarkEnd w:id="12"/>
    </w:p>
    <w:p w:rsidR="00150382" w:rsidRPr="002B2699" w:rsidRDefault="00150382" w:rsidP="00150382">
      <w:r w:rsidRPr="002B2699">
        <w:t xml:space="preserve">The Department of the Prime Minister and Cabinet sets the terms under which the Coat of Arms is used. Please refer to the Commonwealth Coat of Arms - Information and Guidelines publication available at </w:t>
      </w:r>
      <w:hyperlink r:id="rId14" w:tooltip="Department of Prime Minister and Cabinet website" w:history="1">
        <w:r w:rsidRPr="002B2699">
          <w:rPr>
            <w:rStyle w:val="Hyperlink"/>
          </w:rPr>
          <w:t>http://www.pmc.gov.au</w:t>
        </w:r>
      </w:hyperlink>
      <w:r w:rsidRPr="002B2699">
        <w:t>.</w:t>
      </w:r>
    </w:p>
    <w:p w:rsidR="00150382" w:rsidRPr="002B2699" w:rsidRDefault="00150382" w:rsidP="00150382">
      <w:pPr>
        <w:pStyle w:val="Heading2notshowing"/>
      </w:pPr>
      <w:bookmarkStart w:id="13" w:name="_Toc112683634"/>
      <w:bookmarkStart w:id="14" w:name="_Toc112683691"/>
      <w:bookmarkStart w:id="15" w:name="_Toc112683725"/>
      <w:r w:rsidRPr="002B2699">
        <w:t>Contact us</w:t>
      </w:r>
      <w:bookmarkEnd w:id="13"/>
      <w:bookmarkEnd w:id="14"/>
      <w:bookmarkEnd w:id="15"/>
    </w:p>
    <w:p w:rsidR="00150382" w:rsidRPr="002B2699" w:rsidRDefault="00150382" w:rsidP="00150382">
      <w:r w:rsidRPr="002B2699">
        <w:t xml:space="preserve">This publication is available in hard copy or PDF format. All other rights are reserved, including in relation to any departmental logos or </w:t>
      </w:r>
      <w:proofErr w:type="spellStart"/>
      <w:r w:rsidRPr="002B2699">
        <w:t>trade marks</w:t>
      </w:r>
      <w:proofErr w:type="spellEnd"/>
      <w:r w:rsidRPr="002B2699">
        <w:t xml:space="preserve"> which may exist. For enquiries regarding the licence and any use of this publication, please contact:</w:t>
      </w:r>
    </w:p>
    <w:p w:rsidR="00150382" w:rsidRPr="002B2699" w:rsidRDefault="00150382" w:rsidP="00150382">
      <w:pPr>
        <w:spacing w:after="0"/>
      </w:pPr>
      <w:r w:rsidRPr="002B2699">
        <w:t>Director – Creative Services</w:t>
      </w:r>
    </w:p>
    <w:p w:rsidR="00150382" w:rsidRPr="002B2699" w:rsidRDefault="00150382" w:rsidP="00150382">
      <w:pPr>
        <w:spacing w:after="0"/>
      </w:pPr>
      <w:r w:rsidRPr="002B2699">
        <w:t>Communication Branch</w:t>
      </w:r>
    </w:p>
    <w:p w:rsidR="00150382" w:rsidRPr="002B2699" w:rsidRDefault="00150382" w:rsidP="00150382">
      <w:pPr>
        <w:spacing w:after="0"/>
      </w:pPr>
      <w:r w:rsidRPr="002B2699">
        <w:t>Department of Infrastructure, Transport, Regional Development and Communications</w:t>
      </w:r>
    </w:p>
    <w:p w:rsidR="00150382" w:rsidRPr="002B2699" w:rsidRDefault="00150382" w:rsidP="00150382">
      <w:pPr>
        <w:spacing w:after="0"/>
      </w:pPr>
      <w:r w:rsidRPr="002B2699">
        <w:t>GPO Box 594</w:t>
      </w:r>
    </w:p>
    <w:p w:rsidR="00150382" w:rsidRPr="002B2699" w:rsidRDefault="00150382" w:rsidP="00150382">
      <w:pPr>
        <w:spacing w:after="0"/>
      </w:pPr>
      <w:r w:rsidRPr="002B2699">
        <w:t>Canberra ACT 2601</w:t>
      </w:r>
    </w:p>
    <w:p w:rsidR="00150382" w:rsidRPr="002B2699" w:rsidRDefault="00150382" w:rsidP="00150382">
      <w:r w:rsidRPr="002B2699">
        <w:t>Australia</w:t>
      </w:r>
    </w:p>
    <w:p w:rsidR="00150382" w:rsidRPr="002B2699" w:rsidRDefault="00150382" w:rsidP="00150382">
      <w:r w:rsidRPr="002B2699">
        <w:t xml:space="preserve">Email: </w:t>
      </w:r>
      <w:hyperlink r:id="rId15" w:tooltip="Email the Publishing team at the Department of Infrastructure, Transport, Regional Development and Communications" w:history="1">
        <w:r w:rsidRPr="002B2699">
          <w:rPr>
            <w:rStyle w:val="Hyperlink"/>
          </w:rPr>
          <w:t>publishing@infrastructure.gov.au</w:t>
        </w:r>
      </w:hyperlink>
    </w:p>
    <w:p w:rsidR="009C1ECD" w:rsidRDefault="00150382" w:rsidP="00150382">
      <w:r w:rsidRPr="002B2699">
        <w:t xml:space="preserve">Website: </w:t>
      </w:r>
      <w:hyperlink r:id="rId16" w:tooltip="Department of Infrastructure, Transport, Regional Development and Communications website" w:history="1">
        <w:r w:rsidRPr="002B2699">
          <w:rPr>
            <w:rStyle w:val="Hyperlink"/>
          </w:rPr>
          <w:t>www.infrastructure.gov.au</w:t>
        </w:r>
      </w:hyperlink>
      <w:r w:rsidR="009C1ECD">
        <w:br w:type="page"/>
      </w:r>
    </w:p>
    <w:p w:rsidR="00670726" w:rsidRPr="00150382" w:rsidRDefault="00670726" w:rsidP="00150382">
      <w:pPr>
        <w:pStyle w:val="Heading2notshowing"/>
        <w:rPr>
          <w:sz w:val="48"/>
          <w:szCs w:val="48"/>
        </w:rPr>
      </w:pPr>
      <w:r w:rsidRPr="00150382">
        <w:rPr>
          <w:sz w:val="48"/>
          <w:szCs w:val="48"/>
        </w:rPr>
        <w:lastRenderedPageBreak/>
        <w:t>Table of contents</w:t>
      </w:r>
    </w:p>
    <w:p w:rsidR="002C3C48" w:rsidRDefault="006E5952">
      <w:pPr>
        <w:pStyle w:val="TOC1"/>
        <w:rPr>
          <w:rFonts w:asciiTheme="minorHAnsi" w:eastAsiaTheme="minorEastAsia" w:hAnsiTheme="minorHAnsi"/>
          <w:b w:val="0"/>
          <w:noProof/>
          <w:color w:val="auto"/>
          <w:u w:val="none"/>
          <w:lang w:eastAsia="zh-CN"/>
        </w:rPr>
      </w:pPr>
      <w:r w:rsidRPr="005B69E7">
        <w:rPr>
          <w:b w:val="0"/>
        </w:rPr>
        <w:fldChar w:fldCharType="begin"/>
      </w:r>
      <w:r w:rsidRPr="005B69E7">
        <w:rPr>
          <w:b w:val="0"/>
        </w:rPr>
        <w:instrText xml:space="preserve"> TOC \h \z \t "Heading 2,1,Heading 3,2,Heading 4,3" </w:instrText>
      </w:r>
      <w:r w:rsidRPr="005B69E7">
        <w:rPr>
          <w:b w:val="0"/>
        </w:rPr>
        <w:fldChar w:fldCharType="separate"/>
      </w:r>
      <w:hyperlink w:anchor="_Toc128051556" w:history="1">
        <w:r w:rsidR="002C3C48" w:rsidRPr="004E5D3C">
          <w:rPr>
            <w:rStyle w:val="Hyperlink"/>
            <w:noProof/>
            <w:lang w:val="en-US"/>
          </w:rPr>
          <w:t>Introduction</w:t>
        </w:r>
        <w:r w:rsidR="002C3C48">
          <w:rPr>
            <w:noProof/>
            <w:webHidden/>
          </w:rPr>
          <w:tab/>
        </w:r>
        <w:r w:rsidR="002C3C48">
          <w:rPr>
            <w:noProof/>
            <w:webHidden/>
          </w:rPr>
          <w:fldChar w:fldCharType="begin"/>
        </w:r>
        <w:r w:rsidR="002C3C48">
          <w:rPr>
            <w:noProof/>
            <w:webHidden/>
          </w:rPr>
          <w:instrText xml:space="preserve"> PAGEREF _Toc128051556 \h </w:instrText>
        </w:r>
        <w:r w:rsidR="002C3C48">
          <w:rPr>
            <w:noProof/>
            <w:webHidden/>
          </w:rPr>
        </w:r>
        <w:r w:rsidR="002C3C48">
          <w:rPr>
            <w:noProof/>
            <w:webHidden/>
          </w:rPr>
          <w:fldChar w:fldCharType="separate"/>
        </w:r>
        <w:r w:rsidR="002C3C48">
          <w:rPr>
            <w:noProof/>
            <w:webHidden/>
          </w:rPr>
          <w:t>5</w:t>
        </w:r>
        <w:r w:rsidR="002C3C48">
          <w:rPr>
            <w:noProof/>
            <w:webHidden/>
          </w:rPr>
          <w:fldChar w:fldCharType="end"/>
        </w:r>
      </w:hyperlink>
    </w:p>
    <w:p w:rsidR="002C3C48" w:rsidRDefault="002C3C48">
      <w:pPr>
        <w:pStyle w:val="TOC2"/>
        <w:rPr>
          <w:rFonts w:asciiTheme="minorHAnsi" w:eastAsiaTheme="minorEastAsia" w:hAnsiTheme="minorHAnsi"/>
          <w:noProof/>
          <w:sz w:val="22"/>
          <w:lang w:eastAsia="zh-CN"/>
        </w:rPr>
      </w:pPr>
      <w:hyperlink w:anchor="_Toc128051557" w:history="1">
        <w:r w:rsidRPr="004E5D3C">
          <w:rPr>
            <w:rStyle w:val="Hyperlink"/>
            <w:noProof/>
            <w:lang w:val="en-US"/>
          </w:rPr>
          <w:t>A satellite account for cultural and creative activity</w:t>
        </w:r>
        <w:r>
          <w:rPr>
            <w:noProof/>
            <w:webHidden/>
          </w:rPr>
          <w:tab/>
        </w:r>
        <w:r>
          <w:rPr>
            <w:noProof/>
            <w:webHidden/>
          </w:rPr>
          <w:fldChar w:fldCharType="begin"/>
        </w:r>
        <w:r>
          <w:rPr>
            <w:noProof/>
            <w:webHidden/>
          </w:rPr>
          <w:instrText xml:space="preserve"> PAGEREF _Toc128051557 \h </w:instrText>
        </w:r>
        <w:r>
          <w:rPr>
            <w:noProof/>
            <w:webHidden/>
          </w:rPr>
        </w:r>
        <w:r>
          <w:rPr>
            <w:noProof/>
            <w:webHidden/>
          </w:rPr>
          <w:fldChar w:fldCharType="separate"/>
        </w:r>
        <w:r>
          <w:rPr>
            <w:noProof/>
            <w:webHidden/>
          </w:rPr>
          <w:t>5</w:t>
        </w:r>
        <w:r>
          <w:rPr>
            <w:noProof/>
            <w:webHidden/>
          </w:rPr>
          <w:fldChar w:fldCharType="end"/>
        </w:r>
      </w:hyperlink>
    </w:p>
    <w:p w:rsidR="002C3C48" w:rsidRDefault="002C3C48">
      <w:pPr>
        <w:pStyle w:val="TOC2"/>
        <w:rPr>
          <w:rFonts w:asciiTheme="minorHAnsi" w:eastAsiaTheme="minorEastAsia" w:hAnsiTheme="minorHAnsi"/>
          <w:noProof/>
          <w:sz w:val="22"/>
          <w:lang w:eastAsia="zh-CN"/>
        </w:rPr>
      </w:pPr>
      <w:hyperlink w:anchor="_Toc128051558" w:history="1">
        <w:r w:rsidRPr="004E5D3C">
          <w:rPr>
            <w:rStyle w:val="Hyperlink"/>
            <w:noProof/>
          </w:rPr>
          <w:t>Defining and measuring cultural and creative activity</w:t>
        </w:r>
        <w:r>
          <w:rPr>
            <w:noProof/>
            <w:webHidden/>
          </w:rPr>
          <w:tab/>
        </w:r>
        <w:r>
          <w:rPr>
            <w:noProof/>
            <w:webHidden/>
          </w:rPr>
          <w:fldChar w:fldCharType="begin"/>
        </w:r>
        <w:r>
          <w:rPr>
            <w:noProof/>
            <w:webHidden/>
          </w:rPr>
          <w:instrText xml:space="preserve"> PAGEREF _Toc128051558 \h </w:instrText>
        </w:r>
        <w:r>
          <w:rPr>
            <w:noProof/>
            <w:webHidden/>
          </w:rPr>
        </w:r>
        <w:r>
          <w:rPr>
            <w:noProof/>
            <w:webHidden/>
          </w:rPr>
          <w:fldChar w:fldCharType="separate"/>
        </w:r>
        <w:r>
          <w:rPr>
            <w:noProof/>
            <w:webHidden/>
          </w:rPr>
          <w:t>6</w:t>
        </w:r>
        <w:r>
          <w:rPr>
            <w:noProof/>
            <w:webHidden/>
          </w:rPr>
          <w:fldChar w:fldCharType="end"/>
        </w:r>
      </w:hyperlink>
    </w:p>
    <w:p w:rsidR="002C3C48" w:rsidRDefault="002C3C48">
      <w:pPr>
        <w:pStyle w:val="TOC2"/>
        <w:rPr>
          <w:rFonts w:asciiTheme="minorHAnsi" w:eastAsiaTheme="minorEastAsia" w:hAnsiTheme="minorHAnsi"/>
          <w:noProof/>
          <w:sz w:val="22"/>
          <w:lang w:eastAsia="zh-CN"/>
        </w:rPr>
      </w:pPr>
      <w:hyperlink w:anchor="_Toc128051559" w:history="1">
        <w:r w:rsidRPr="004E5D3C">
          <w:rPr>
            <w:rStyle w:val="Hyperlink"/>
            <w:noProof/>
          </w:rPr>
          <w:t>The need to refresh the satellite accounts</w:t>
        </w:r>
        <w:r>
          <w:rPr>
            <w:noProof/>
            <w:webHidden/>
          </w:rPr>
          <w:tab/>
        </w:r>
        <w:r>
          <w:rPr>
            <w:noProof/>
            <w:webHidden/>
          </w:rPr>
          <w:fldChar w:fldCharType="begin"/>
        </w:r>
        <w:r>
          <w:rPr>
            <w:noProof/>
            <w:webHidden/>
          </w:rPr>
          <w:instrText xml:space="preserve"> PAGEREF _Toc128051559 \h </w:instrText>
        </w:r>
        <w:r>
          <w:rPr>
            <w:noProof/>
            <w:webHidden/>
          </w:rPr>
        </w:r>
        <w:r>
          <w:rPr>
            <w:noProof/>
            <w:webHidden/>
          </w:rPr>
          <w:fldChar w:fldCharType="separate"/>
        </w:r>
        <w:r>
          <w:rPr>
            <w:noProof/>
            <w:webHidden/>
          </w:rPr>
          <w:t>7</w:t>
        </w:r>
        <w:r>
          <w:rPr>
            <w:noProof/>
            <w:webHidden/>
          </w:rPr>
          <w:fldChar w:fldCharType="end"/>
        </w:r>
      </w:hyperlink>
    </w:p>
    <w:p w:rsidR="002C3C48" w:rsidRDefault="002C3C48">
      <w:pPr>
        <w:pStyle w:val="TOC3"/>
        <w:rPr>
          <w:rFonts w:asciiTheme="minorHAnsi" w:eastAsiaTheme="minorEastAsia" w:hAnsiTheme="minorHAnsi"/>
          <w:noProof/>
          <w:sz w:val="22"/>
          <w:lang w:eastAsia="zh-CN"/>
        </w:rPr>
      </w:pPr>
      <w:hyperlink w:anchor="_Toc128051560" w:history="1">
        <w:r w:rsidRPr="004E5D3C">
          <w:rPr>
            <w:rStyle w:val="Hyperlink"/>
            <w:noProof/>
          </w:rPr>
          <w:t>Data sources</w:t>
        </w:r>
        <w:r>
          <w:rPr>
            <w:noProof/>
            <w:webHidden/>
          </w:rPr>
          <w:tab/>
        </w:r>
        <w:r>
          <w:rPr>
            <w:noProof/>
            <w:webHidden/>
          </w:rPr>
          <w:fldChar w:fldCharType="begin"/>
        </w:r>
        <w:r>
          <w:rPr>
            <w:noProof/>
            <w:webHidden/>
          </w:rPr>
          <w:instrText xml:space="preserve"> PAGEREF _Toc128051560 \h </w:instrText>
        </w:r>
        <w:r>
          <w:rPr>
            <w:noProof/>
            <w:webHidden/>
          </w:rPr>
        </w:r>
        <w:r>
          <w:rPr>
            <w:noProof/>
            <w:webHidden/>
          </w:rPr>
          <w:fldChar w:fldCharType="separate"/>
        </w:r>
        <w:r>
          <w:rPr>
            <w:noProof/>
            <w:webHidden/>
          </w:rPr>
          <w:t>7</w:t>
        </w:r>
        <w:r>
          <w:rPr>
            <w:noProof/>
            <w:webHidden/>
          </w:rPr>
          <w:fldChar w:fldCharType="end"/>
        </w:r>
      </w:hyperlink>
    </w:p>
    <w:p w:rsidR="002C3C48" w:rsidRDefault="002C3C48">
      <w:pPr>
        <w:pStyle w:val="TOC3"/>
        <w:rPr>
          <w:rFonts w:asciiTheme="minorHAnsi" w:eastAsiaTheme="minorEastAsia" w:hAnsiTheme="minorHAnsi"/>
          <w:noProof/>
          <w:sz w:val="22"/>
          <w:lang w:eastAsia="zh-CN"/>
        </w:rPr>
      </w:pPr>
      <w:hyperlink w:anchor="_Toc128051561" w:history="1">
        <w:r w:rsidRPr="004E5D3C">
          <w:rPr>
            <w:rStyle w:val="Hyperlink"/>
            <w:noProof/>
            <w:lang w:val="en-US"/>
          </w:rPr>
          <w:t>Definition and scope</w:t>
        </w:r>
        <w:r>
          <w:rPr>
            <w:noProof/>
            <w:webHidden/>
          </w:rPr>
          <w:tab/>
        </w:r>
        <w:r>
          <w:rPr>
            <w:noProof/>
            <w:webHidden/>
          </w:rPr>
          <w:fldChar w:fldCharType="begin"/>
        </w:r>
        <w:r>
          <w:rPr>
            <w:noProof/>
            <w:webHidden/>
          </w:rPr>
          <w:instrText xml:space="preserve"> PAGEREF _Toc128051561 \h </w:instrText>
        </w:r>
        <w:r>
          <w:rPr>
            <w:noProof/>
            <w:webHidden/>
          </w:rPr>
        </w:r>
        <w:r>
          <w:rPr>
            <w:noProof/>
            <w:webHidden/>
          </w:rPr>
          <w:fldChar w:fldCharType="separate"/>
        </w:r>
        <w:r>
          <w:rPr>
            <w:noProof/>
            <w:webHidden/>
          </w:rPr>
          <w:t>7</w:t>
        </w:r>
        <w:r>
          <w:rPr>
            <w:noProof/>
            <w:webHidden/>
          </w:rPr>
          <w:fldChar w:fldCharType="end"/>
        </w:r>
      </w:hyperlink>
    </w:p>
    <w:p w:rsidR="002C3C48" w:rsidRDefault="002C3C48">
      <w:pPr>
        <w:pStyle w:val="TOC3"/>
        <w:rPr>
          <w:rFonts w:asciiTheme="minorHAnsi" w:eastAsiaTheme="minorEastAsia" w:hAnsiTheme="minorHAnsi"/>
          <w:noProof/>
          <w:sz w:val="22"/>
          <w:lang w:eastAsia="zh-CN"/>
        </w:rPr>
      </w:pPr>
      <w:hyperlink w:anchor="_Toc128051562" w:history="1">
        <w:r w:rsidRPr="004E5D3C">
          <w:rPr>
            <w:rStyle w:val="Hyperlink"/>
            <w:noProof/>
            <w:lang w:val="en-US"/>
          </w:rPr>
          <w:t>Methodology</w:t>
        </w:r>
        <w:r>
          <w:rPr>
            <w:noProof/>
            <w:webHidden/>
          </w:rPr>
          <w:tab/>
        </w:r>
        <w:r>
          <w:rPr>
            <w:noProof/>
            <w:webHidden/>
          </w:rPr>
          <w:fldChar w:fldCharType="begin"/>
        </w:r>
        <w:r>
          <w:rPr>
            <w:noProof/>
            <w:webHidden/>
          </w:rPr>
          <w:instrText xml:space="preserve"> PAGEREF _Toc128051562 \h </w:instrText>
        </w:r>
        <w:r>
          <w:rPr>
            <w:noProof/>
            <w:webHidden/>
          </w:rPr>
        </w:r>
        <w:r>
          <w:rPr>
            <w:noProof/>
            <w:webHidden/>
          </w:rPr>
          <w:fldChar w:fldCharType="separate"/>
        </w:r>
        <w:r>
          <w:rPr>
            <w:noProof/>
            <w:webHidden/>
          </w:rPr>
          <w:t>8</w:t>
        </w:r>
        <w:r>
          <w:rPr>
            <w:noProof/>
            <w:webHidden/>
          </w:rPr>
          <w:fldChar w:fldCharType="end"/>
        </w:r>
      </w:hyperlink>
    </w:p>
    <w:p w:rsidR="002C3C48" w:rsidRDefault="002C3C48">
      <w:pPr>
        <w:pStyle w:val="TOC1"/>
        <w:rPr>
          <w:rFonts w:asciiTheme="minorHAnsi" w:eastAsiaTheme="minorEastAsia" w:hAnsiTheme="minorHAnsi"/>
          <w:b w:val="0"/>
          <w:noProof/>
          <w:color w:val="auto"/>
          <w:u w:val="none"/>
          <w:lang w:eastAsia="zh-CN"/>
        </w:rPr>
      </w:pPr>
      <w:hyperlink w:anchor="_Toc128051563" w:history="1">
        <w:r w:rsidRPr="004E5D3C">
          <w:rPr>
            <w:rStyle w:val="Hyperlink"/>
            <w:noProof/>
          </w:rPr>
          <w:t>Methodology review and proposed update</w:t>
        </w:r>
        <w:r>
          <w:rPr>
            <w:noProof/>
            <w:webHidden/>
          </w:rPr>
          <w:tab/>
        </w:r>
        <w:r>
          <w:rPr>
            <w:noProof/>
            <w:webHidden/>
          </w:rPr>
          <w:fldChar w:fldCharType="begin"/>
        </w:r>
        <w:r>
          <w:rPr>
            <w:noProof/>
            <w:webHidden/>
          </w:rPr>
          <w:instrText xml:space="preserve"> PAGEREF _Toc128051563 \h </w:instrText>
        </w:r>
        <w:r>
          <w:rPr>
            <w:noProof/>
            <w:webHidden/>
          </w:rPr>
        </w:r>
        <w:r>
          <w:rPr>
            <w:noProof/>
            <w:webHidden/>
          </w:rPr>
          <w:fldChar w:fldCharType="separate"/>
        </w:r>
        <w:r>
          <w:rPr>
            <w:noProof/>
            <w:webHidden/>
          </w:rPr>
          <w:t>9</w:t>
        </w:r>
        <w:r>
          <w:rPr>
            <w:noProof/>
            <w:webHidden/>
          </w:rPr>
          <w:fldChar w:fldCharType="end"/>
        </w:r>
      </w:hyperlink>
    </w:p>
    <w:p w:rsidR="002C3C48" w:rsidRDefault="002C3C48">
      <w:pPr>
        <w:pStyle w:val="TOC2"/>
        <w:rPr>
          <w:rFonts w:asciiTheme="minorHAnsi" w:eastAsiaTheme="minorEastAsia" w:hAnsiTheme="minorHAnsi"/>
          <w:noProof/>
          <w:sz w:val="22"/>
          <w:lang w:eastAsia="zh-CN"/>
        </w:rPr>
      </w:pPr>
      <w:hyperlink w:anchor="_Toc128051564" w:history="1">
        <w:r w:rsidRPr="004E5D3C">
          <w:rPr>
            <w:rStyle w:val="Hyperlink"/>
            <w:noProof/>
          </w:rPr>
          <w:t>Existing approaches to defining cultural and creative industries</w:t>
        </w:r>
        <w:r>
          <w:rPr>
            <w:noProof/>
            <w:webHidden/>
          </w:rPr>
          <w:tab/>
        </w:r>
        <w:r>
          <w:rPr>
            <w:noProof/>
            <w:webHidden/>
          </w:rPr>
          <w:fldChar w:fldCharType="begin"/>
        </w:r>
        <w:r>
          <w:rPr>
            <w:noProof/>
            <w:webHidden/>
          </w:rPr>
          <w:instrText xml:space="preserve"> PAGEREF _Toc128051564 \h </w:instrText>
        </w:r>
        <w:r>
          <w:rPr>
            <w:noProof/>
            <w:webHidden/>
          </w:rPr>
        </w:r>
        <w:r>
          <w:rPr>
            <w:noProof/>
            <w:webHidden/>
          </w:rPr>
          <w:fldChar w:fldCharType="separate"/>
        </w:r>
        <w:r>
          <w:rPr>
            <w:noProof/>
            <w:webHidden/>
          </w:rPr>
          <w:t>9</w:t>
        </w:r>
        <w:r>
          <w:rPr>
            <w:noProof/>
            <w:webHidden/>
          </w:rPr>
          <w:fldChar w:fldCharType="end"/>
        </w:r>
      </w:hyperlink>
    </w:p>
    <w:p w:rsidR="002C3C48" w:rsidRDefault="002C3C48">
      <w:pPr>
        <w:pStyle w:val="TOC2"/>
        <w:rPr>
          <w:rFonts w:asciiTheme="minorHAnsi" w:eastAsiaTheme="minorEastAsia" w:hAnsiTheme="minorHAnsi"/>
          <w:noProof/>
          <w:sz w:val="22"/>
          <w:lang w:eastAsia="zh-CN"/>
        </w:rPr>
      </w:pPr>
      <w:hyperlink w:anchor="_Toc128051565" w:history="1">
        <w:r w:rsidRPr="004E5D3C">
          <w:rPr>
            <w:rStyle w:val="Hyperlink"/>
            <w:noProof/>
          </w:rPr>
          <w:t>Review of current framework and methodology</w:t>
        </w:r>
        <w:r>
          <w:rPr>
            <w:noProof/>
            <w:webHidden/>
          </w:rPr>
          <w:tab/>
        </w:r>
        <w:r>
          <w:rPr>
            <w:noProof/>
            <w:webHidden/>
          </w:rPr>
          <w:fldChar w:fldCharType="begin"/>
        </w:r>
        <w:r>
          <w:rPr>
            <w:noProof/>
            <w:webHidden/>
          </w:rPr>
          <w:instrText xml:space="preserve"> PAGEREF _Toc128051565 \h </w:instrText>
        </w:r>
        <w:r>
          <w:rPr>
            <w:noProof/>
            <w:webHidden/>
          </w:rPr>
        </w:r>
        <w:r>
          <w:rPr>
            <w:noProof/>
            <w:webHidden/>
          </w:rPr>
          <w:fldChar w:fldCharType="separate"/>
        </w:r>
        <w:r>
          <w:rPr>
            <w:noProof/>
            <w:webHidden/>
          </w:rPr>
          <w:t>10</w:t>
        </w:r>
        <w:r>
          <w:rPr>
            <w:noProof/>
            <w:webHidden/>
          </w:rPr>
          <w:fldChar w:fldCharType="end"/>
        </w:r>
      </w:hyperlink>
    </w:p>
    <w:p w:rsidR="002C3C48" w:rsidRDefault="002C3C48">
      <w:pPr>
        <w:pStyle w:val="TOC3"/>
        <w:rPr>
          <w:rFonts w:asciiTheme="minorHAnsi" w:eastAsiaTheme="minorEastAsia" w:hAnsiTheme="minorHAnsi"/>
          <w:noProof/>
          <w:sz w:val="22"/>
          <w:lang w:eastAsia="zh-CN"/>
        </w:rPr>
      </w:pPr>
      <w:hyperlink w:anchor="_Toc128051566" w:history="1">
        <w:r w:rsidRPr="004E5D3C">
          <w:rPr>
            <w:rStyle w:val="Hyperlink"/>
            <w:noProof/>
          </w:rPr>
          <w:t>Current framework</w:t>
        </w:r>
        <w:r>
          <w:rPr>
            <w:noProof/>
            <w:webHidden/>
          </w:rPr>
          <w:tab/>
        </w:r>
        <w:r>
          <w:rPr>
            <w:noProof/>
            <w:webHidden/>
          </w:rPr>
          <w:fldChar w:fldCharType="begin"/>
        </w:r>
        <w:r>
          <w:rPr>
            <w:noProof/>
            <w:webHidden/>
          </w:rPr>
          <w:instrText xml:space="preserve"> PAGEREF _Toc128051566 \h </w:instrText>
        </w:r>
        <w:r>
          <w:rPr>
            <w:noProof/>
            <w:webHidden/>
          </w:rPr>
        </w:r>
        <w:r>
          <w:rPr>
            <w:noProof/>
            <w:webHidden/>
          </w:rPr>
          <w:fldChar w:fldCharType="separate"/>
        </w:r>
        <w:r>
          <w:rPr>
            <w:noProof/>
            <w:webHidden/>
          </w:rPr>
          <w:t>10</w:t>
        </w:r>
        <w:r>
          <w:rPr>
            <w:noProof/>
            <w:webHidden/>
          </w:rPr>
          <w:fldChar w:fldCharType="end"/>
        </w:r>
      </w:hyperlink>
    </w:p>
    <w:p w:rsidR="002C3C48" w:rsidRDefault="002C3C48">
      <w:pPr>
        <w:pStyle w:val="TOC3"/>
        <w:rPr>
          <w:rFonts w:asciiTheme="minorHAnsi" w:eastAsiaTheme="minorEastAsia" w:hAnsiTheme="minorHAnsi"/>
          <w:noProof/>
          <w:sz w:val="22"/>
          <w:lang w:eastAsia="zh-CN"/>
        </w:rPr>
      </w:pPr>
      <w:hyperlink w:anchor="_Toc128051567" w:history="1">
        <w:r w:rsidRPr="004E5D3C">
          <w:rPr>
            <w:rStyle w:val="Hyperlink"/>
            <w:noProof/>
          </w:rPr>
          <w:t>Review of BCARR’s 2018 methodology</w:t>
        </w:r>
        <w:r>
          <w:rPr>
            <w:noProof/>
            <w:webHidden/>
          </w:rPr>
          <w:tab/>
        </w:r>
        <w:r>
          <w:rPr>
            <w:noProof/>
            <w:webHidden/>
          </w:rPr>
          <w:fldChar w:fldCharType="begin"/>
        </w:r>
        <w:r>
          <w:rPr>
            <w:noProof/>
            <w:webHidden/>
          </w:rPr>
          <w:instrText xml:space="preserve"> PAGEREF _Toc128051567 \h </w:instrText>
        </w:r>
        <w:r>
          <w:rPr>
            <w:noProof/>
            <w:webHidden/>
          </w:rPr>
        </w:r>
        <w:r>
          <w:rPr>
            <w:noProof/>
            <w:webHidden/>
          </w:rPr>
          <w:fldChar w:fldCharType="separate"/>
        </w:r>
        <w:r>
          <w:rPr>
            <w:noProof/>
            <w:webHidden/>
          </w:rPr>
          <w:t>11</w:t>
        </w:r>
        <w:r>
          <w:rPr>
            <w:noProof/>
            <w:webHidden/>
          </w:rPr>
          <w:fldChar w:fldCharType="end"/>
        </w:r>
      </w:hyperlink>
    </w:p>
    <w:p w:rsidR="002C3C48" w:rsidRDefault="002C3C48">
      <w:pPr>
        <w:pStyle w:val="TOC2"/>
        <w:rPr>
          <w:rFonts w:asciiTheme="minorHAnsi" w:eastAsiaTheme="minorEastAsia" w:hAnsiTheme="minorHAnsi"/>
          <w:noProof/>
          <w:sz w:val="22"/>
          <w:lang w:eastAsia="zh-CN"/>
        </w:rPr>
      </w:pPr>
      <w:hyperlink w:anchor="_Toc128051568" w:history="1">
        <w:r w:rsidRPr="004E5D3C">
          <w:rPr>
            <w:rStyle w:val="Hyperlink"/>
            <w:noProof/>
          </w:rPr>
          <w:t>Proposed update of cultural and creative activity satellite accounts</w:t>
        </w:r>
        <w:r>
          <w:rPr>
            <w:noProof/>
            <w:webHidden/>
          </w:rPr>
          <w:tab/>
        </w:r>
        <w:r>
          <w:rPr>
            <w:noProof/>
            <w:webHidden/>
          </w:rPr>
          <w:fldChar w:fldCharType="begin"/>
        </w:r>
        <w:r>
          <w:rPr>
            <w:noProof/>
            <w:webHidden/>
          </w:rPr>
          <w:instrText xml:space="preserve"> PAGEREF _Toc128051568 \h </w:instrText>
        </w:r>
        <w:r>
          <w:rPr>
            <w:noProof/>
            <w:webHidden/>
          </w:rPr>
        </w:r>
        <w:r>
          <w:rPr>
            <w:noProof/>
            <w:webHidden/>
          </w:rPr>
          <w:fldChar w:fldCharType="separate"/>
        </w:r>
        <w:r>
          <w:rPr>
            <w:noProof/>
            <w:webHidden/>
          </w:rPr>
          <w:t>12</w:t>
        </w:r>
        <w:r>
          <w:rPr>
            <w:noProof/>
            <w:webHidden/>
          </w:rPr>
          <w:fldChar w:fldCharType="end"/>
        </w:r>
      </w:hyperlink>
    </w:p>
    <w:p w:rsidR="002C3C48" w:rsidRDefault="002C3C48">
      <w:pPr>
        <w:pStyle w:val="TOC3"/>
        <w:rPr>
          <w:rFonts w:asciiTheme="minorHAnsi" w:eastAsiaTheme="minorEastAsia" w:hAnsiTheme="minorHAnsi"/>
          <w:noProof/>
          <w:sz w:val="22"/>
          <w:lang w:eastAsia="zh-CN"/>
        </w:rPr>
      </w:pPr>
      <w:hyperlink w:anchor="_Toc128051569" w:history="1">
        <w:r w:rsidRPr="004E5D3C">
          <w:rPr>
            <w:rStyle w:val="Hyperlink"/>
            <w:noProof/>
          </w:rPr>
          <w:t>Proposed framework update</w:t>
        </w:r>
        <w:r>
          <w:rPr>
            <w:noProof/>
            <w:webHidden/>
          </w:rPr>
          <w:tab/>
        </w:r>
        <w:r>
          <w:rPr>
            <w:noProof/>
            <w:webHidden/>
          </w:rPr>
          <w:fldChar w:fldCharType="begin"/>
        </w:r>
        <w:r>
          <w:rPr>
            <w:noProof/>
            <w:webHidden/>
          </w:rPr>
          <w:instrText xml:space="preserve"> PAGEREF _Toc128051569 \h </w:instrText>
        </w:r>
        <w:r>
          <w:rPr>
            <w:noProof/>
            <w:webHidden/>
          </w:rPr>
        </w:r>
        <w:r>
          <w:rPr>
            <w:noProof/>
            <w:webHidden/>
          </w:rPr>
          <w:fldChar w:fldCharType="separate"/>
        </w:r>
        <w:r>
          <w:rPr>
            <w:noProof/>
            <w:webHidden/>
          </w:rPr>
          <w:t>12</w:t>
        </w:r>
        <w:r>
          <w:rPr>
            <w:noProof/>
            <w:webHidden/>
          </w:rPr>
          <w:fldChar w:fldCharType="end"/>
        </w:r>
      </w:hyperlink>
    </w:p>
    <w:p w:rsidR="002C3C48" w:rsidRDefault="002C3C48">
      <w:pPr>
        <w:pStyle w:val="TOC3"/>
        <w:rPr>
          <w:rFonts w:asciiTheme="minorHAnsi" w:eastAsiaTheme="minorEastAsia" w:hAnsiTheme="minorHAnsi"/>
          <w:noProof/>
          <w:sz w:val="22"/>
          <w:lang w:eastAsia="zh-CN"/>
        </w:rPr>
      </w:pPr>
      <w:hyperlink w:anchor="_Toc128051570" w:history="1">
        <w:r w:rsidRPr="004E5D3C">
          <w:rPr>
            <w:rStyle w:val="Hyperlink"/>
            <w:noProof/>
          </w:rPr>
          <w:t>Proposed update on the methodology used for the estimation process</w:t>
        </w:r>
        <w:r>
          <w:rPr>
            <w:noProof/>
            <w:webHidden/>
          </w:rPr>
          <w:tab/>
        </w:r>
        <w:r>
          <w:rPr>
            <w:noProof/>
            <w:webHidden/>
          </w:rPr>
          <w:fldChar w:fldCharType="begin"/>
        </w:r>
        <w:r>
          <w:rPr>
            <w:noProof/>
            <w:webHidden/>
          </w:rPr>
          <w:instrText xml:space="preserve"> PAGEREF _Toc128051570 \h </w:instrText>
        </w:r>
        <w:r>
          <w:rPr>
            <w:noProof/>
            <w:webHidden/>
          </w:rPr>
        </w:r>
        <w:r>
          <w:rPr>
            <w:noProof/>
            <w:webHidden/>
          </w:rPr>
          <w:fldChar w:fldCharType="separate"/>
        </w:r>
        <w:r>
          <w:rPr>
            <w:noProof/>
            <w:webHidden/>
          </w:rPr>
          <w:t>13</w:t>
        </w:r>
        <w:r>
          <w:rPr>
            <w:noProof/>
            <w:webHidden/>
          </w:rPr>
          <w:fldChar w:fldCharType="end"/>
        </w:r>
      </w:hyperlink>
    </w:p>
    <w:p w:rsidR="002C3C48" w:rsidRDefault="002C3C48">
      <w:pPr>
        <w:pStyle w:val="TOC2"/>
        <w:rPr>
          <w:rFonts w:asciiTheme="minorHAnsi" w:eastAsiaTheme="minorEastAsia" w:hAnsiTheme="minorHAnsi"/>
          <w:noProof/>
          <w:sz w:val="22"/>
          <w:lang w:eastAsia="zh-CN"/>
        </w:rPr>
      </w:pPr>
      <w:hyperlink w:anchor="_Toc128051571" w:history="1">
        <w:r w:rsidRPr="004E5D3C">
          <w:rPr>
            <w:rStyle w:val="Hyperlink"/>
            <w:noProof/>
          </w:rPr>
          <w:t>Opportunities for additional cultural and creative statistics</w:t>
        </w:r>
        <w:r>
          <w:rPr>
            <w:noProof/>
            <w:webHidden/>
          </w:rPr>
          <w:tab/>
        </w:r>
        <w:r>
          <w:rPr>
            <w:noProof/>
            <w:webHidden/>
          </w:rPr>
          <w:fldChar w:fldCharType="begin"/>
        </w:r>
        <w:r>
          <w:rPr>
            <w:noProof/>
            <w:webHidden/>
          </w:rPr>
          <w:instrText xml:space="preserve"> PAGEREF _Toc128051571 \h </w:instrText>
        </w:r>
        <w:r>
          <w:rPr>
            <w:noProof/>
            <w:webHidden/>
          </w:rPr>
        </w:r>
        <w:r>
          <w:rPr>
            <w:noProof/>
            <w:webHidden/>
          </w:rPr>
          <w:fldChar w:fldCharType="separate"/>
        </w:r>
        <w:r>
          <w:rPr>
            <w:noProof/>
            <w:webHidden/>
          </w:rPr>
          <w:t>17</w:t>
        </w:r>
        <w:r>
          <w:rPr>
            <w:noProof/>
            <w:webHidden/>
          </w:rPr>
          <w:fldChar w:fldCharType="end"/>
        </w:r>
      </w:hyperlink>
    </w:p>
    <w:p w:rsidR="002C3C48" w:rsidRDefault="002C3C48">
      <w:pPr>
        <w:pStyle w:val="TOC3"/>
        <w:rPr>
          <w:rFonts w:asciiTheme="minorHAnsi" w:eastAsiaTheme="minorEastAsia" w:hAnsiTheme="minorHAnsi"/>
          <w:noProof/>
          <w:sz w:val="22"/>
          <w:lang w:eastAsia="zh-CN"/>
        </w:rPr>
      </w:pPr>
      <w:hyperlink w:anchor="_Toc128051572" w:history="1">
        <w:r w:rsidRPr="004E5D3C">
          <w:rPr>
            <w:rStyle w:val="Hyperlink"/>
            <w:noProof/>
          </w:rPr>
          <w:t>Employment</w:t>
        </w:r>
        <w:r>
          <w:rPr>
            <w:noProof/>
            <w:webHidden/>
          </w:rPr>
          <w:tab/>
        </w:r>
        <w:r>
          <w:rPr>
            <w:noProof/>
            <w:webHidden/>
          </w:rPr>
          <w:fldChar w:fldCharType="begin"/>
        </w:r>
        <w:r>
          <w:rPr>
            <w:noProof/>
            <w:webHidden/>
          </w:rPr>
          <w:instrText xml:space="preserve"> PAGEREF _Toc128051572 \h </w:instrText>
        </w:r>
        <w:r>
          <w:rPr>
            <w:noProof/>
            <w:webHidden/>
          </w:rPr>
        </w:r>
        <w:r>
          <w:rPr>
            <w:noProof/>
            <w:webHidden/>
          </w:rPr>
          <w:fldChar w:fldCharType="separate"/>
        </w:r>
        <w:r>
          <w:rPr>
            <w:noProof/>
            <w:webHidden/>
          </w:rPr>
          <w:t>17</w:t>
        </w:r>
        <w:r>
          <w:rPr>
            <w:noProof/>
            <w:webHidden/>
          </w:rPr>
          <w:fldChar w:fldCharType="end"/>
        </w:r>
      </w:hyperlink>
    </w:p>
    <w:p w:rsidR="002C3C48" w:rsidRDefault="002C3C48">
      <w:pPr>
        <w:pStyle w:val="TOC3"/>
        <w:rPr>
          <w:rFonts w:asciiTheme="minorHAnsi" w:eastAsiaTheme="minorEastAsia" w:hAnsiTheme="minorHAnsi"/>
          <w:noProof/>
          <w:sz w:val="22"/>
          <w:lang w:eastAsia="zh-CN"/>
        </w:rPr>
      </w:pPr>
      <w:hyperlink w:anchor="_Toc128051573" w:history="1">
        <w:r w:rsidRPr="004E5D3C">
          <w:rPr>
            <w:rStyle w:val="Hyperlink"/>
            <w:noProof/>
          </w:rPr>
          <w:t>Other types of cultural and creative statistics</w:t>
        </w:r>
        <w:r>
          <w:rPr>
            <w:noProof/>
            <w:webHidden/>
          </w:rPr>
          <w:tab/>
        </w:r>
        <w:r>
          <w:rPr>
            <w:noProof/>
            <w:webHidden/>
          </w:rPr>
          <w:fldChar w:fldCharType="begin"/>
        </w:r>
        <w:r>
          <w:rPr>
            <w:noProof/>
            <w:webHidden/>
          </w:rPr>
          <w:instrText xml:space="preserve"> PAGEREF _Toc128051573 \h </w:instrText>
        </w:r>
        <w:r>
          <w:rPr>
            <w:noProof/>
            <w:webHidden/>
          </w:rPr>
        </w:r>
        <w:r>
          <w:rPr>
            <w:noProof/>
            <w:webHidden/>
          </w:rPr>
          <w:fldChar w:fldCharType="separate"/>
        </w:r>
        <w:r>
          <w:rPr>
            <w:noProof/>
            <w:webHidden/>
          </w:rPr>
          <w:t>17</w:t>
        </w:r>
        <w:r>
          <w:rPr>
            <w:noProof/>
            <w:webHidden/>
          </w:rPr>
          <w:fldChar w:fldCharType="end"/>
        </w:r>
      </w:hyperlink>
    </w:p>
    <w:p w:rsidR="002C3C48" w:rsidRDefault="002C3C48">
      <w:pPr>
        <w:pStyle w:val="TOC3"/>
        <w:rPr>
          <w:rFonts w:asciiTheme="minorHAnsi" w:eastAsiaTheme="minorEastAsia" w:hAnsiTheme="minorHAnsi"/>
          <w:noProof/>
          <w:sz w:val="22"/>
          <w:lang w:eastAsia="zh-CN"/>
        </w:rPr>
      </w:pPr>
      <w:hyperlink w:anchor="_Toc128051574" w:history="1">
        <w:r w:rsidRPr="004E5D3C">
          <w:rPr>
            <w:rStyle w:val="Hyperlink"/>
            <w:noProof/>
          </w:rPr>
          <w:t>Events activity</w:t>
        </w:r>
        <w:r>
          <w:rPr>
            <w:noProof/>
            <w:webHidden/>
          </w:rPr>
          <w:tab/>
        </w:r>
        <w:r>
          <w:rPr>
            <w:noProof/>
            <w:webHidden/>
          </w:rPr>
          <w:fldChar w:fldCharType="begin"/>
        </w:r>
        <w:r>
          <w:rPr>
            <w:noProof/>
            <w:webHidden/>
          </w:rPr>
          <w:instrText xml:space="preserve"> PAGEREF _Toc128051574 \h </w:instrText>
        </w:r>
        <w:r>
          <w:rPr>
            <w:noProof/>
            <w:webHidden/>
          </w:rPr>
        </w:r>
        <w:r>
          <w:rPr>
            <w:noProof/>
            <w:webHidden/>
          </w:rPr>
          <w:fldChar w:fldCharType="separate"/>
        </w:r>
        <w:r>
          <w:rPr>
            <w:noProof/>
            <w:webHidden/>
          </w:rPr>
          <w:t>18</w:t>
        </w:r>
        <w:r>
          <w:rPr>
            <w:noProof/>
            <w:webHidden/>
          </w:rPr>
          <w:fldChar w:fldCharType="end"/>
        </w:r>
      </w:hyperlink>
    </w:p>
    <w:p w:rsidR="002C3C48" w:rsidRDefault="002C3C48">
      <w:pPr>
        <w:pStyle w:val="TOC1"/>
        <w:rPr>
          <w:rFonts w:asciiTheme="minorHAnsi" w:eastAsiaTheme="minorEastAsia" w:hAnsiTheme="minorHAnsi"/>
          <w:b w:val="0"/>
          <w:noProof/>
          <w:color w:val="auto"/>
          <w:u w:val="none"/>
          <w:lang w:eastAsia="zh-CN"/>
        </w:rPr>
      </w:pPr>
      <w:hyperlink w:anchor="_Toc128051575" w:history="1">
        <w:r w:rsidRPr="004E5D3C">
          <w:rPr>
            <w:rStyle w:val="Hyperlink"/>
            <w:noProof/>
          </w:rPr>
          <w:t>Request for feedback</w:t>
        </w:r>
        <w:r>
          <w:rPr>
            <w:noProof/>
            <w:webHidden/>
          </w:rPr>
          <w:tab/>
        </w:r>
        <w:r>
          <w:rPr>
            <w:noProof/>
            <w:webHidden/>
          </w:rPr>
          <w:fldChar w:fldCharType="begin"/>
        </w:r>
        <w:r>
          <w:rPr>
            <w:noProof/>
            <w:webHidden/>
          </w:rPr>
          <w:instrText xml:space="preserve"> PAGEREF _Toc128051575 \h </w:instrText>
        </w:r>
        <w:r>
          <w:rPr>
            <w:noProof/>
            <w:webHidden/>
          </w:rPr>
        </w:r>
        <w:r>
          <w:rPr>
            <w:noProof/>
            <w:webHidden/>
          </w:rPr>
          <w:fldChar w:fldCharType="separate"/>
        </w:r>
        <w:r>
          <w:rPr>
            <w:noProof/>
            <w:webHidden/>
          </w:rPr>
          <w:t>19</w:t>
        </w:r>
        <w:r>
          <w:rPr>
            <w:noProof/>
            <w:webHidden/>
          </w:rPr>
          <w:fldChar w:fldCharType="end"/>
        </w:r>
      </w:hyperlink>
    </w:p>
    <w:p w:rsidR="002C3C48" w:rsidRDefault="002C3C48">
      <w:pPr>
        <w:pStyle w:val="TOC1"/>
        <w:rPr>
          <w:rFonts w:asciiTheme="minorHAnsi" w:eastAsiaTheme="minorEastAsia" w:hAnsiTheme="minorHAnsi"/>
          <w:b w:val="0"/>
          <w:noProof/>
          <w:color w:val="auto"/>
          <w:u w:val="none"/>
          <w:lang w:eastAsia="zh-CN"/>
        </w:rPr>
      </w:pPr>
      <w:hyperlink w:anchor="_Toc128051576" w:history="1">
        <w:r w:rsidRPr="004E5D3C">
          <w:rPr>
            <w:rStyle w:val="Hyperlink"/>
            <w:noProof/>
          </w:rPr>
          <w:t>Appendix A—BCARR’s 2018 Methodology</w:t>
        </w:r>
        <w:r>
          <w:rPr>
            <w:noProof/>
            <w:webHidden/>
          </w:rPr>
          <w:tab/>
        </w:r>
        <w:r>
          <w:rPr>
            <w:noProof/>
            <w:webHidden/>
          </w:rPr>
          <w:fldChar w:fldCharType="begin"/>
        </w:r>
        <w:r>
          <w:rPr>
            <w:noProof/>
            <w:webHidden/>
          </w:rPr>
          <w:instrText xml:space="preserve"> PAGEREF _Toc128051576 \h </w:instrText>
        </w:r>
        <w:r>
          <w:rPr>
            <w:noProof/>
            <w:webHidden/>
          </w:rPr>
        </w:r>
        <w:r>
          <w:rPr>
            <w:noProof/>
            <w:webHidden/>
          </w:rPr>
          <w:fldChar w:fldCharType="separate"/>
        </w:r>
        <w:r>
          <w:rPr>
            <w:noProof/>
            <w:webHidden/>
          </w:rPr>
          <w:t>20</w:t>
        </w:r>
        <w:r>
          <w:rPr>
            <w:noProof/>
            <w:webHidden/>
          </w:rPr>
          <w:fldChar w:fldCharType="end"/>
        </w:r>
      </w:hyperlink>
    </w:p>
    <w:p w:rsidR="002C3C48" w:rsidRDefault="002C3C48">
      <w:pPr>
        <w:pStyle w:val="TOC1"/>
        <w:rPr>
          <w:rFonts w:asciiTheme="minorHAnsi" w:eastAsiaTheme="minorEastAsia" w:hAnsiTheme="minorHAnsi"/>
          <w:b w:val="0"/>
          <w:noProof/>
          <w:color w:val="auto"/>
          <w:u w:val="none"/>
          <w:lang w:eastAsia="zh-CN"/>
        </w:rPr>
      </w:pPr>
      <w:hyperlink w:anchor="_Toc128051577" w:history="1">
        <w:r w:rsidRPr="004E5D3C">
          <w:rPr>
            <w:rStyle w:val="Hyperlink"/>
            <w:noProof/>
          </w:rPr>
          <w:t>Appendix B—Cultural and creative domains – BCARR’s current framework</w:t>
        </w:r>
        <w:r>
          <w:rPr>
            <w:noProof/>
            <w:webHidden/>
          </w:rPr>
          <w:tab/>
        </w:r>
        <w:r>
          <w:rPr>
            <w:noProof/>
            <w:webHidden/>
          </w:rPr>
          <w:fldChar w:fldCharType="begin"/>
        </w:r>
        <w:r>
          <w:rPr>
            <w:noProof/>
            <w:webHidden/>
          </w:rPr>
          <w:instrText xml:space="preserve"> PAGEREF _Toc128051577 \h </w:instrText>
        </w:r>
        <w:r>
          <w:rPr>
            <w:noProof/>
            <w:webHidden/>
          </w:rPr>
        </w:r>
        <w:r>
          <w:rPr>
            <w:noProof/>
            <w:webHidden/>
          </w:rPr>
          <w:fldChar w:fldCharType="separate"/>
        </w:r>
        <w:r>
          <w:rPr>
            <w:noProof/>
            <w:webHidden/>
          </w:rPr>
          <w:t>22</w:t>
        </w:r>
        <w:r>
          <w:rPr>
            <w:noProof/>
            <w:webHidden/>
          </w:rPr>
          <w:fldChar w:fldCharType="end"/>
        </w:r>
      </w:hyperlink>
    </w:p>
    <w:p w:rsidR="002C3C48" w:rsidRDefault="002C3C48">
      <w:pPr>
        <w:pStyle w:val="TOC1"/>
        <w:rPr>
          <w:rFonts w:asciiTheme="minorHAnsi" w:eastAsiaTheme="minorEastAsia" w:hAnsiTheme="minorHAnsi"/>
          <w:b w:val="0"/>
          <w:noProof/>
          <w:color w:val="auto"/>
          <w:u w:val="none"/>
          <w:lang w:eastAsia="zh-CN"/>
        </w:rPr>
      </w:pPr>
      <w:hyperlink w:anchor="_Toc128051578" w:history="1">
        <w:r w:rsidRPr="004E5D3C">
          <w:rPr>
            <w:rStyle w:val="Hyperlink"/>
            <w:noProof/>
          </w:rPr>
          <w:t>Appendix C—Proposed IOPC list of cultural and creative activity</w:t>
        </w:r>
        <w:r>
          <w:rPr>
            <w:noProof/>
            <w:webHidden/>
          </w:rPr>
          <w:tab/>
        </w:r>
        <w:r>
          <w:rPr>
            <w:noProof/>
            <w:webHidden/>
          </w:rPr>
          <w:fldChar w:fldCharType="begin"/>
        </w:r>
        <w:r>
          <w:rPr>
            <w:noProof/>
            <w:webHidden/>
          </w:rPr>
          <w:instrText xml:space="preserve"> PAGEREF _Toc128051578 \h </w:instrText>
        </w:r>
        <w:r>
          <w:rPr>
            <w:noProof/>
            <w:webHidden/>
          </w:rPr>
        </w:r>
        <w:r>
          <w:rPr>
            <w:noProof/>
            <w:webHidden/>
          </w:rPr>
          <w:fldChar w:fldCharType="separate"/>
        </w:r>
        <w:r>
          <w:rPr>
            <w:noProof/>
            <w:webHidden/>
          </w:rPr>
          <w:t>28</w:t>
        </w:r>
        <w:r>
          <w:rPr>
            <w:noProof/>
            <w:webHidden/>
          </w:rPr>
          <w:fldChar w:fldCharType="end"/>
        </w:r>
      </w:hyperlink>
    </w:p>
    <w:p w:rsidR="002C3C48" w:rsidRDefault="002C3C48">
      <w:pPr>
        <w:pStyle w:val="TOC1"/>
        <w:rPr>
          <w:rFonts w:asciiTheme="minorHAnsi" w:eastAsiaTheme="minorEastAsia" w:hAnsiTheme="minorHAnsi"/>
          <w:b w:val="0"/>
          <w:noProof/>
          <w:color w:val="auto"/>
          <w:u w:val="none"/>
          <w:lang w:eastAsia="zh-CN"/>
        </w:rPr>
      </w:pPr>
      <w:hyperlink w:anchor="_Toc128051579" w:history="1">
        <w:r w:rsidRPr="004E5D3C">
          <w:rPr>
            <w:rStyle w:val="Hyperlink"/>
            <w:noProof/>
          </w:rPr>
          <w:t>Appendix D—Proposed industry classification list of cultural and creative activity</w:t>
        </w:r>
        <w:r>
          <w:rPr>
            <w:noProof/>
            <w:webHidden/>
          </w:rPr>
          <w:tab/>
        </w:r>
        <w:r>
          <w:rPr>
            <w:noProof/>
            <w:webHidden/>
          </w:rPr>
          <w:fldChar w:fldCharType="begin"/>
        </w:r>
        <w:r>
          <w:rPr>
            <w:noProof/>
            <w:webHidden/>
          </w:rPr>
          <w:instrText xml:space="preserve"> PAGEREF _Toc128051579 \h </w:instrText>
        </w:r>
        <w:r>
          <w:rPr>
            <w:noProof/>
            <w:webHidden/>
          </w:rPr>
        </w:r>
        <w:r>
          <w:rPr>
            <w:noProof/>
            <w:webHidden/>
          </w:rPr>
          <w:fldChar w:fldCharType="separate"/>
        </w:r>
        <w:r>
          <w:rPr>
            <w:noProof/>
            <w:webHidden/>
          </w:rPr>
          <w:t>34</w:t>
        </w:r>
        <w:r>
          <w:rPr>
            <w:noProof/>
            <w:webHidden/>
          </w:rPr>
          <w:fldChar w:fldCharType="end"/>
        </w:r>
      </w:hyperlink>
    </w:p>
    <w:p w:rsidR="002C3C48" w:rsidRDefault="002C3C48">
      <w:pPr>
        <w:pStyle w:val="TOC1"/>
        <w:rPr>
          <w:rFonts w:asciiTheme="minorHAnsi" w:eastAsiaTheme="minorEastAsia" w:hAnsiTheme="minorHAnsi"/>
          <w:b w:val="0"/>
          <w:noProof/>
          <w:color w:val="auto"/>
          <w:u w:val="none"/>
          <w:lang w:eastAsia="zh-CN"/>
        </w:rPr>
      </w:pPr>
      <w:hyperlink w:anchor="_Toc128051580" w:history="1">
        <w:r w:rsidRPr="004E5D3C">
          <w:rPr>
            <w:rStyle w:val="Hyperlink"/>
            <w:noProof/>
          </w:rPr>
          <w:t>Appendix E—Proposed occupation identified as cultural and creative</w:t>
        </w:r>
        <w:r>
          <w:rPr>
            <w:noProof/>
            <w:webHidden/>
          </w:rPr>
          <w:tab/>
        </w:r>
        <w:r>
          <w:rPr>
            <w:noProof/>
            <w:webHidden/>
          </w:rPr>
          <w:fldChar w:fldCharType="begin"/>
        </w:r>
        <w:r>
          <w:rPr>
            <w:noProof/>
            <w:webHidden/>
          </w:rPr>
          <w:instrText xml:space="preserve"> PAGEREF _Toc128051580 \h </w:instrText>
        </w:r>
        <w:r>
          <w:rPr>
            <w:noProof/>
            <w:webHidden/>
          </w:rPr>
        </w:r>
        <w:r>
          <w:rPr>
            <w:noProof/>
            <w:webHidden/>
          </w:rPr>
          <w:fldChar w:fldCharType="separate"/>
        </w:r>
        <w:r>
          <w:rPr>
            <w:noProof/>
            <w:webHidden/>
          </w:rPr>
          <w:t>37</w:t>
        </w:r>
        <w:r>
          <w:rPr>
            <w:noProof/>
            <w:webHidden/>
          </w:rPr>
          <w:fldChar w:fldCharType="end"/>
        </w:r>
      </w:hyperlink>
    </w:p>
    <w:p w:rsidR="002C3C48" w:rsidRDefault="002C3C48">
      <w:pPr>
        <w:pStyle w:val="TOC1"/>
        <w:rPr>
          <w:rFonts w:asciiTheme="minorHAnsi" w:eastAsiaTheme="minorEastAsia" w:hAnsiTheme="minorHAnsi"/>
          <w:b w:val="0"/>
          <w:noProof/>
          <w:color w:val="auto"/>
          <w:u w:val="none"/>
          <w:lang w:eastAsia="zh-CN"/>
        </w:rPr>
      </w:pPr>
      <w:hyperlink w:anchor="_Toc128051581" w:history="1">
        <w:r w:rsidRPr="004E5D3C">
          <w:rPr>
            <w:rStyle w:val="Hyperlink"/>
            <w:noProof/>
          </w:rPr>
          <w:t>Appendix F—Glossary</w:t>
        </w:r>
        <w:r>
          <w:rPr>
            <w:noProof/>
            <w:webHidden/>
          </w:rPr>
          <w:tab/>
        </w:r>
        <w:r>
          <w:rPr>
            <w:noProof/>
            <w:webHidden/>
          </w:rPr>
          <w:fldChar w:fldCharType="begin"/>
        </w:r>
        <w:r>
          <w:rPr>
            <w:noProof/>
            <w:webHidden/>
          </w:rPr>
          <w:instrText xml:space="preserve"> PAGEREF _Toc128051581 \h </w:instrText>
        </w:r>
        <w:r>
          <w:rPr>
            <w:noProof/>
            <w:webHidden/>
          </w:rPr>
        </w:r>
        <w:r>
          <w:rPr>
            <w:noProof/>
            <w:webHidden/>
          </w:rPr>
          <w:fldChar w:fldCharType="separate"/>
        </w:r>
        <w:r>
          <w:rPr>
            <w:noProof/>
            <w:webHidden/>
          </w:rPr>
          <w:t>40</w:t>
        </w:r>
        <w:r>
          <w:rPr>
            <w:noProof/>
            <w:webHidden/>
          </w:rPr>
          <w:fldChar w:fldCharType="end"/>
        </w:r>
      </w:hyperlink>
    </w:p>
    <w:p w:rsidR="002C3C48" w:rsidRDefault="002C3C48">
      <w:pPr>
        <w:pStyle w:val="TOC1"/>
        <w:rPr>
          <w:rFonts w:asciiTheme="minorHAnsi" w:eastAsiaTheme="minorEastAsia" w:hAnsiTheme="minorHAnsi"/>
          <w:b w:val="0"/>
          <w:noProof/>
          <w:color w:val="auto"/>
          <w:u w:val="none"/>
          <w:lang w:eastAsia="zh-CN"/>
        </w:rPr>
      </w:pPr>
      <w:hyperlink w:anchor="_Toc128051582" w:history="1">
        <w:r w:rsidRPr="004E5D3C">
          <w:rPr>
            <w:rStyle w:val="Hyperlink"/>
            <w:noProof/>
          </w:rPr>
          <w:t>References</w:t>
        </w:r>
        <w:r>
          <w:rPr>
            <w:noProof/>
            <w:webHidden/>
          </w:rPr>
          <w:tab/>
        </w:r>
        <w:r>
          <w:rPr>
            <w:noProof/>
            <w:webHidden/>
          </w:rPr>
          <w:fldChar w:fldCharType="begin"/>
        </w:r>
        <w:r>
          <w:rPr>
            <w:noProof/>
            <w:webHidden/>
          </w:rPr>
          <w:instrText xml:space="preserve"> PAGEREF _Toc128051582 \h </w:instrText>
        </w:r>
        <w:r>
          <w:rPr>
            <w:noProof/>
            <w:webHidden/>
          </w:rPr>
        </w:r>
        <w:r>
          <w:rPr>
            <w:noProof/>
            <w:webHidden/>
          </w:rPr>
          <w:fldChar w:fldCharType="separate"/>
        </w:r>
        <w:r>
          <w:rPr>
            <w:noProof/>
            <w:webHidden/>
          </w:rPr>
          <w:t>41</w:t>
        </w:r>
        <w:r>
          <w:rPr>
            <w:noProof/>
            <w:webHidden/>
          </w:rPr>
          <w:fldChar w:fldCharType="end"/>
        </w:r>
      </w:hyperlink>
    </w:p>
    <w:p w:rsidR="005B69E7" w:rsidRDefault="006E5952" w:rsidP="00B1364F">
      <w:r w:rsidRPr="005B69E7">
        <w:rPr>
          <w:color w:val="000000" w:themeColor="text1"/>
          <w:u w:val="single" w:color="4BB3B5"/>
        </w:rPr>
        <w:fldChar w:fldCharType="end"/>
      </w:r>
      <w:r w:rsidR="005B69E7">
        <w:br w:type="page"/>
      </w:r>
    </w:p>
    <w:p w:rsidR="00670726" w:rsidRDefault="00670726" w:rsidP="00150382">
      <w:pPr>
        <w:pStyle w:val="Heading2notshowing"/>
        <w:rPr>
          <w:sz w:val="48"/>
          <w:szCs w:val="48"/>
        </w:rPr>
      </w:pPr>
      <w:r w:rsidRPr="00150382">
        <w:rPr>
          <w:sz w:val="48"/>
          <w:szCs w:val="48"/>
        </w:rPr>
        <w:lastRenderedPageBreak/>
        <w:t xml:space="preserve">List of </w:t>
      </w:r>
      <w:r w:rsidR="00A56AEB">
        <w:rPr>
          <w:sz w:val="48"/>
          <w:szCs w:val="48"/>
        </w:rPr>
        <w:t>tables</w:t>
      </w:r>
    </w:p>
    <w:p w:rsidR="00E60E07" w:rsidRPr="00221608" w:rsidRDefault="00E60E07">
      <w:pPr>
        <w:pStyle w:val="TableofFigures"/>
        <w:rPr>
          <w:rFonts w:eastAsiaTheme="minorEastAsia"/>
          <w:noProof/>
          <w:color w:val="auto"/>
          <w:kern w:val="0"/>
          <w:szCs w:val="22"/>
          <w:lang w:eastAsia="en-AU"/>
        </w:rPr>
      </w:pPr>
      <w:r w:rsidRPr="00221608">
        <w:fldChar w:fldCharType="begin"/>
      </w:r>
      <w:r w:rsidRPr="00221608">
        <w:instrText xml:space="preserve"> TOC \h \z \c "Table" </w:instrText>
      </w:r>
      <w:r w:rsidRPr="00221608">
        <w:fldChar w:fldCharType="separate"/>
      </w:r>
      <w:hyperlink w:anchor="_Toc127959274" w:history="1">
        <w:r w:rsidRPr="00221608">
          <w:rPr>
            <w:rStyle w:val="Hyperlink"/>
            <w:noProof/>
          </w:rPr>
          <w:t>Table 1. Selected models for cultural and creative industries</w:t>
        </w:r>
        <w:r w:rsidRPr="00221608">
          <w:rPr>
            <w:noProof/>
            <w:webHidden/>
          </w:rPr>
          <w:tab/>
        </w:r>
        <w:r w:rsidRPr="00221608">
          <w:rPr>
            <w:noProof/>
            <w:webHidden/>
          </w:rPr>
          <w:fldChar w:fldCharType="begin"/>
        </w:r>
        <w:r w:rsidRPr="00221608">
          <w:rPr>
            <w:noProof/>
            <w:webHidden/>
          </w:rPr>
          <w:instrText xml:space="preserve"> PAGEREF _Toc127959274 \h </w:instrText>
        </w:r>
        <w:r w:rsidRPr="00221608">
          <w:rPr>
            <w:noProof/>
            <w:webHidden/>
          </w:rPr>
        </w:r>
        <w:r w:rsidRPr="00221608">
          <w:rPr>
            <w:noProof/>
            <w:webHidden/>
          </w:rPr>
          <w:fldChar w:fldCharType="separate"/>
        </w:r>
        <w:r w:rsidR="002C3C48">
          <w:rPr>
            <w:noProof/>
            <w:webHidden/>
          </w:rPr>
          <w:t>9</w:t>
        </w:r>
        <w:r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75" w:history="1">
        <w:r w:rsidR="00E60E07" w:rsidRPr="00221608">
          <w:rPr>
            <w:rStyle w:val="Hyperlink"/>
            <w:noProof/>
          </w:rPr>
          <w:t>Table 2. Data gaps for current methodology</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_Toc127959275 \h </w:instrText>
        </w:r>
        <w:r w:rsidR="00E60E07" w:rsidRPr="00221608">
          <w:rPr>
            <w:noProof/>
            <w:webHidden/>
          </w:rPr>
        </w:r>
        <w:r w:rsidR="00E60E07" w:rsidRPr="00221608">
          <w:rPr>
            <w:noProof/>
            <w:webHidden/>
          </w:rPr>
          <w:fldChar w:fldCharType="separate"/>
        </w:r>
        <w:r w:rsidR="002C3C48">
          <w:rPr>
            <w:noProof/>
            <w:webHidden/>
          </w:rPr>
          <w:t>15</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76" w:history="1">
        <w:r w:rsidR="00E60E07" w:rsidRPr="00221608">
          <w:rPr>
            <w:rStyle w:val="Hyperlink"/>
            <w:noProof/>
          </w:rPr>
          <w:t>Table 3. Component 1 and 2: Cultural and creative industry supply chains and Imputed COE</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_Toc127959276 \h </w:instrText>
        </w:r>
        <w:r w:rsidR="00E60E07" w:rsidRPr="00221608">
          <w:rPr>
            <w:noProof/>
            <w:webHidden/>
          </w:rPr>
        </w:r>
        <w:r w:rsidR="00E60E07" w:rsidRPr="00221608">
          <w:rPr>
            <w:noProof/>
            <w:webHidden/>
          </w:rPr>
          <w:fldChar w:fldCharType="separate"/>
        </w:r>
        <w:r w:rsidR="002C3C48">
          <w:rPr>
            <w:noProof/>
            <w:webHidden/>
          </w:rPr>
          <w:t>20</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77" w:history="1">
        <w:r w:rsidR="00E60E07" w:rsidRPr="00221608">
          <w:rPr>
            <w:rStyle w:val="Hyperlink"/>
            <w:noProof/>
          </w:rPr>
          <w:t>Table 4. Component 3 and 4: Volunteer services and non-market output of cultural and creative activities</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_Toc127959277 \h </w:instrText>
        </w:r>
        <w:r w:rsidR="00E60E07" w:rsidRPr="00221608">
          <w:rPr>
            <w:noProof/>
            <w:webHidden/>
          </w:rPr>
        </w:r>
        <w:r w:rsidR="00E60E07" w:rsidRPr="00221608">
          <w:rPr>
            <w:noProof/>
            <w:webHidden/>
          </w:rPr>
          <w:fldChar w:fldCharType="separate"/>
        </w:r>
        <w:r w:rsidR="002C3C48">
          <w:rPr>
            <w:noProof/>
            <w:webHidden/>
          </w:rPr>
          <w:t>21</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78" w:history="1">
        <w:r w:rsidR="00E60E07" w:rsidRPr="00221608">
          <w:rPr>
            <w:rStyle w:val="Hyperlink"/>
            <w:noProof/>
          </w:rPr>
          <w:t>Table 5. Cultural and creative domains – BCARR’s current framework</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_Toc127959278 \h </w:instrText>
        </w:r>
        <w:r w:rsidR="00E60E07" w:rsidRPr="00221608">
          <w:rPr>
            <w:noProof/>
            <w:webHidden/>
          </w:rPr>
        </w:r>
        <w:r w:rsidR="00E60E07" w:rsidRPr="00221608">
          <w:rPr>
            <w:noProof/>
            <w:webHidden/>
          </w:rPr>
          <w:fldChar w:fldCharType="separate"/>
        </w:r>
        <w:r w:rsidR="002C3C48">
          <w:rPr>
            <w:noProof/>
            <w:webHidden/>
          </w:rPr>
          <w:t>22</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79" w:history="1">
        <w:r w:rsidR="00E60E07" w:rsidRPr="00221608">
          <w:rPr>
            <w:rStyle w:val="Hyperlink"/>
            <w:noProof/>
          </w:rPr>
          <w:t>Table 6. Proposed IOPC list of cultural and creative activity</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_Toc127959279 \h </w:instrText>
        </w:r>
        <w:r w:rsidR="00E60E07" w:rsidRPr="00221608">
          <w:rPr>
            <w:noProof/>
            <w:webHidden/>
          </w:rPr>
        </w:r>
        <w:r w:rsidR="00E60E07" w:rsidRPr="00221608">
          <w:rPr>
            <w:noProof/>
            <w:webHidden/>
          </w:rPr>
          <w:fldChar w:fldCharType="separate"/>
        </w:r>
        <w:r w:rsidR="002C3C48">
          <w:rPr>
            <w:noProof/>
            <w:webHidden/>
          </w:rPr>
          <w:t>28</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80" w:history="1">
        <w:r w:rsidR="00E60E07" w:rsidRPr="00221608">
          <w:rPr>
            <w:rStyle w:val="Hyperlink"/>
            <w:noProof/>
          </w:rPr>
          <w:t>Table 7. Proposed industry classification list of cultural and creative activity</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_Toc127959280 \h </w:instrText>
        </w:r>
        <w:r w:rsidR="00E60E07" w:rsidRPr="00221608">
          <w:rPr>
            <w:noProof/>
            <w:webHidden/>
          </w:rPr>
        </w:r>
        <w:r w:rsidR="00E60E07" w:rsidRPr="00221608">
          <w:rPr>
            <w:noProof/>
            <w:webHidden/>
          </w:rPr>
          <w:fldChar w:fldCharType="separate"/>
        </w:r>
        <w:r w:rsidR="002C3C48">
          <w:rPr>
            <w:noProof/>
            <w:webHidden/>
          </w:rPr>
          <w:t>34</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81" w:history="1">
        <w:r w:rsidR="00E60E07" w:rsidRPr="00221608">
          <w:rPr>
            <w:rStyle w:val="Hyperlink"/>
            <w:noProof/>
          </w:rPr>
          <w:t>Table 8. Proposed occupation identified as cultural and creative</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_Toc127959281 \h </w:instrText>
        </w:r>
        <w:r w:rsidR="00E60E07" w:rsidRPr="00221608">
          <w:rPr>
            <w:noProof/>
            <w:webHidden/>
          </w:rPr>
        </w:r>
        <w:r w:rsidR="00E60E07" w:rsidRPr="00221608">
          <w:rPr>
            <w:noProof/>
            <w:webHidden/>
          </w:rPr>
          <w:fldChar w:fldCharType="separate"/>
        </w:r>
        <w:r w:rsidR="002C3C48">
          <w:rPr>
            <w:noProof/>
            <w:webHidden/>
          </w:rPr>
          <w:t>37</w:t>
        </w:r>
        <w:r w:rsidR="00E60E07" w:rsidRPr="00221608">
          <w:rPr>
            <w:noProof/>
            <w:webHidden/>
          </w:rPr>
          <w:fldChar w:fldCharType="end"/>
        </w:r>
      </w:hyperlink>
    </w:p>
    <w:p w:rsidR="00E60E07" w:rsidRPr="00221608" w:rsidRDefault="00E60E07" w:rsidP="00221608">
      <w:pPr>
        <w:pStyle w:val="Heading2notshowing"/>
        <w:rPr>
          <w:noProof/>
          <w:sz w:val="48"/>
          <w:szCs w:val="48"/>
        </w:rPr>
      </w:pPr>
      <w:r w:rsidRPr="00221608">
        <w:fldChar w:fldCharType="end"/>
      </w:r>
      <w:r w:rsidR="00221608" w:rsidRPr="00150382">
        <w:rPr>
          <w:sz w:val="48"/>
          <w:szCs w:val="48"/>
        </w:rPr>
        <w:t xml:space="preserve">List of </w:t>
      </w:r>
      <w:r w:rsidR="00221608">
        <w:rPr>
          <w:sz w:val="48"/>
          <w:szCs w:val="48"/>
        </w:rPr>
        <w:t>figures</w:t>
      </w:r>
      <w:r w:rsidRPr="00221608">
        <w:fldChar w:fldCharType="begin"/>
      </w:r>
      <w:r w:rsidRPr="00221608">
        <w:instrText xml:space="preserve"> TOC \h \z \c "Figure" </w:instrText>
      </w:r>
      <w:r w:rsidRPr="00221608">
        <w:fldChar w:fldCharType="separate"/>
      </w:r>
    </w:p>
    <w:p w:rsidR="00E60E07" w:rsidRPr="00221608" w:rsidRDefault="00C102F1">
      <w:pPr>
        <w:pStyle w:val="TableofFigures"/>
        <w:rPr>
          <w:rFonts w:eastAsiaTheme="minorEastAsia"/>
          <w:noProof/>
          <w:color w:val="auto"/>
          <w:kern w:val="0"/>
          <w:szCs w:val="22"/>
          <w:lang w:eastAsia="en-AU"/>
        </w:rPr>
      </w:pPr>
      <w:hyperlink w:anchor="_Toc127959289" w:history="1">
        <w:r w:rsidR="00E60E07" w:rsidRPr="00221608">
          <w:rPr>
            <w:rStyle w:val="Hyperlink"/>
            <w:noProof/>
          </w:rPr>
          <w:t>Figure 1. Current framework for the cultural and creative activity satellite accounts</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_Toc127959289 \h </w:instrText>
        </w:r>
        <w:r w:rsidR="00E60E07" w:rsidRPr="00221608">
          <w:rPr>
            <w:noProof/>
            <w:webHidden/>
          </w:rPr>
        </w:r>
        <w:r w:rsidR="00E60E07" w:rsidRPr="00221608">
          <w:rPr>
            <w:noProof/>
            <w:webHidden/>
          </w:rPr>
          <w:fldChar w:fldCharType="separate"/>
        </w:r>
        <w:r w:rsidR="002C3C48">
          <w:rPr>
            <w:noProof/>
            <w:webHidden/>
          </w:rPr>
          <w:t>10</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90" w:history="1">
        <w:r w:rsidR="00E60E07" w:rsidRPr="00221608">
          <w:rPr>
            <w:rStyle w:val="Hyperlink"/>
            <w:noProof/>
          </w:rPr>
          <w:t>Figure 2. The cultural and creative employment trident</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_Toc127959290 \h </w:instrText>
        </w:r>
        <w:r w:rsidR="00E60E07" w:rsidRPr="00221608">
          <w:rPr>
            <w:noProof/>
            <w:webHidden/>
          </w:rPr>
        </w:r>
        <w:r w:rsidR="00E60E07" w:rsidRPr="00221608">
          <w:rPr>
            <w:noProof/>
            <w:webHidden/>
          </w:rPr>
          <w:fldChar w:fldCharType="separate"/>
        </w:r>
        <w:r w:rsidR="002C3C48">
          <w:rPr>
            <w:noProof/>
            <w:webHidden/>
          </w:rPr>
          <w:t>11</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91" w:history="1">
        <w:r w:rsidR="00E60E07" w:rsidRPr="00221608">
          <w:rPr>
            <w:rStyle w:val="Hyperlink"/>
            <w:noProof/>
          </w:rPr>
          <w:t>Figure 3. Proposed new trident framework of cultural and creative activity</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_Toc127959291 \h </w:instrText>
        </w:r>
        <w:r w:rsidR="00E60E07" w:rsidRPr="00221608">
          <w:rPr>
            <w:noProof/>
            <w:webHidden/>
          </w:rPr>
        </w:r>
        <w:r w:rsidR="00E60E07" w:rsidRPr="00221608">
          <w:rPr>
            <w:noProof/>
            <w:webHidden/>
          </w:rPr>
          <w:fldChar w:fldCharType="separate"/>
        </w:r>
        <w:r w:rsidR="002C3C48">
          <w:rPr>
            <w:noProof/>
            <w:webHidden/>
          </w:rPr>
          <w:t>12</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92" w:history="1">
        <w:r w:rsidR="00E60E07" w:rsidRPr="00221608">
          <w:rPr>
            <w:rStyle w:val="Hyperlink"/>
            <w:noProof/>
          </w:rPr>
          <w:t>Figure 4. Proposed estimation process to quantify the economic value of cultural and creative activity</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_Toc127959292 \h </w:instrText>
        </w:r>
        <w:r w:rsidR="00E60E07" w:rsidRPr="00221608">
          <w:rPr>
            <w:noProof/>
            <w:webHidden/>
          </w:rPr>
        </w:r>
        <w:r w:rsidR="00E60E07" w:rsidRPr="00221608">
          <w:rPr>
            <w:noProof/>
            <w:webHidden/>
          </w:rPr>
          <w:fldChar w:fldCharType="separate"/>
        </w:r>
        <w:r w:rsidR="002C3C48">
          <w:rPr>
            <w:noProof/>
            <w:webHidden/>
          </w:rPr>
          <w:t>13</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93" w:history="1">
        <w:r w:rsidR="00E60E07" w:rsidRPr="00221608">
          <w:rPr>
            <w:rStyle w:val="Hyperlink"/>
            <w:noProof/>
          </w:rPr>
          <w:t>Figure 5. The concentric circles model of the cultural industries</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_Toc127959293 \h </w:instrText>
        </w:r>
        <w:r w:rsidR="00E60E07" w:rsidRPr="00221608">
          <w:rPr>
            <w:noProof/>
            <w:webHidden/>
          </w:rPr>
        </w:r>
        <w:r w:rsidR="00E60E07" w:rsidRPr="00221608">
          <w:rPr>
            <w:noProof/>
            <w:webHidden/>
          </w:rPr>
          <w:fldChar w:fldCharType="separate"/>
        </w:r>
        <w:r w:rsidR="002C3C48">
          <w:rPr>
            <w:noProof/>
            <w:webHidden/>
          </w:rPr>
          <w:t>13</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94" w:history="1">
        <w:r w:rsidR="00E60E07" w:rsidRPr="00221608">
          <w:rPr>
            <w:rStyle w:val="Hyperlink"/>
            <w:noProof/>
          </w:rPr>
          <w:t>Figure 6. Cultural and creative domains – ABS 2014 and BCARR’s 2018 framework</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_Toc127959294 \h </w:instrText>
        </w:r>
        <w:r w:rsidR="00E60E07" w:rsidRPr="00221608">
          <w:rPr>
            <w:noProof/>
            <w:webHidden/>
          </w:rPr>
        </w:r>
        <w:r w:rsidR="00E60E07" w:rsidRPr="00221608">
          <w:rPr>
            <w:noProof/>
            <w:webHidden/>
          </w:rPr>
          <w:fldChar w:fldCharType="separate"/>
        </w:r>
        <w:r w:rsidR="002C3C48">
          <w:rPr>
            <w:noProof/>
            <w:webHidden/>
          </w:rPr>
          <w:t>14</w:t>
        </w:r>
        <w:r w:rsidR="00E60E07" w:rsidRPr="00221608">
          <w:rPr>
            <w:noProof/>
            <w:webHidden/>
          </w:rPr>
          <w:fldChar w:fldCharType="end"/>
        </w:r>
      </w:hyperlink>
    </w:p>
    <w:p w:rsidR="00E60E07" w:rsidRPr="00221608" w:rsidRDefault="00C102F1">
      <w:pPr>
        <w:pStyle w:val="TableofFigures"/>
        <w:rPr>
          <w:rFonts w:eastAsiaTheme="minorEastAsia"/>
          <w:noProof/>
          <w:color w:val="auto"/>
          <w:kern w:val="0"/>
          <w:szCs w:val="22"/>
          <w:lang w:eastAsia="en-AU"/>
        </w:rPr>
      </w:pPr>
      <w:hyperlink w:anchor="_Toc127959295" w:history="1">
        <w:r w:rsidR="00E60E07" w:rsidRPr="00221608">
          <w:rPr>
            <w:rStyle w:val="Hyperlink"/>
            <w:noProof/>
          </w:rPr>
          <w:t>Figure 7. Matrix to link the trident and concentric circles models</w:t>
        </w:r>
        <w:r w:rsidR="00E60E07" w:rsidRPr="00221608">
          <w:rPr>
            <w:noProof/>
            <w:webHidden/>
          </w:rPr>
          <w:tab/>
        </w:r>
        <w:r w:rsidR="00E60E07" w:rsidRPr="00221608">
          <w:rPr>
            <w:noProof/>
            <w:webHidden/>
          </w:rPr>
          <w:fldChar w:fldCharType="begin"/>
        </w:r>
        <w:r w:rsidR="00E60E07" w:rsidRPr="00221608">
          <w:rPr>
            <w:noProof/>
            <w:webHidden/>
          </w:rPr>
          <w:instrText xml:space="preserve"> PAGEREF _Toc127959295 \h </w:instrText>
        </w:r>
        <w:r w:rsidR="00E60E07" w:rsidRPr="00221608">
          <w:rPr>
            <w:noProof/>
            <w:webHidden/>
          </w:rPr>
        </w:r>
        <w:r w:rsidR="00E60E07" w:rsidRPr="00221608">
          <w:rPr>
            <w:noProof/>
            <w:webHidden/>
          </w:rPr>
          <w:fldChar w:fldCharType="separate"/>
        </w:r>
        <w:r w:rsidR="002C3C48">
          <w:rPr>
            <w:noProof/>
            <w:webHidden/>
          </w:rPr>
          <w:t>16</w:t>
        </w:r>
        <w:r w:rsidR="00E60E07" w:rsidRPr="00221608">
          <w:rPr>
            <w:noProof/>
            <w:webHidden/>
          </w:rPr>
          <w:fldChar w:fldCharType="end"/>
        </w:r>
      </w:hyperlink>
    </w:p>
    <w:p w:rsidR="00E60E07" w:rsidRPr="00E60E07" w:rsidRDefault="00E60E07" w:rsidP="00E60E07">
      <w:r w:rsidRPr="00221608">
        <w:fldChar w:fldCharType="end"/>
      </w:r>
    </w:p>
    <w:p w:rsidR="00150382" w:rsidRPr="004418DD" w:rsidRDefault="00150382" w:rsidP="004418DD">
      <w:pPr>
        <w:rPr>
          <w:lang w:val="x-none"/>
        </w:rPr>
        <w:sectPr w:rsidR="00150382" w:rsidRPr="004418DD" w:rsidSect="000E29BE">
          <w:headerReference w:type="default" r:id="rId17"/>
          <w:footerReference w:type="default" r:id="rId18"/>
          <w:type w:val="continuous"/>
          <w:pgSz w:w="11906" w:h="16838"/>
          <w:pgMar w:top="1276" w:right="991" w:bottom="1276" w:left="1440" w:header="567" w:footer="0" w:gutter="0"/>
          <w:cols w:space="708"/>
          <w:titlePg/>
          <w:docGrid w:linePitch="360"/>
        </w:sectPr>
      </w:pPr>
    </w:p>
    <w:p w:rsidR="00150382" w:rsidRDefault="00150382" w:rsidP="00150382">
      <w:pPr>
        <w:pStyle w:val="Heading2"/>
        <w:rPr>
          <w:lang w:val="en-US"/>
        </w:rPr>
      </w:pPr>
      <w:bookmarkStart w:id="16" w:name="_Toc126581823"/>
      <w:bookmarkStart w:id="17" w:name="_Toc128051556"/>
      <w:r>
        <w:rPr>
          <w:lang w:val="en-US"/>
        </w:rPr>
        <w:lastRenderedPageBreak/>
        <w:t>Introduction</w:t>
      </w:r>
      <w:bookmarkEnd w:id="16"/>
      <w:bookmarkEnd w:id="17"/>
    </w:p>
    <w:p w:rsidR="00150382" w:rsidRDefault="00150382" w:rsidP="00150382">
      <w:pPr>
        <w:pStyle w:val="Introduction"/>
      </w:pPr>
      <w:r>
        <w:t>Cultural and creative sectors are important for knowledge</w:t>
      </w:r>
      <w:r>
        <w:noBreakHyphen/>
        <w:t>based economies. In Australia, this workforce makes a valuable contribution to our economic and social wellbeing.</w:t>
      </w:r>
      <w:r w:rsidRPr="00B27942">
        <w:t xml:space="preserve"> </w:t>
      </w:r>
      <w:r>
        <w:t xml:space="preserve">The economic activity generated from the </w:t>
      </w:r>
      <w:r w:rsidRPr="001F3AA9">
        <w:t>produc</w:t>
      </w:r>
      <w:r>
        <w:t>tion</w:t>
      </w:r>
      <w:r w:rsidRPr="001F3AA9">
        <w:t xml:space="preserve"> and support</w:t>
      </w:r>
      <w:r>
        <w:t xml:space="preserve"> of cultural and creative</w:t>
      </w:r>
      <w:r w:rsidRPr="001F3AA9">
        <w:t xml:space="preserve"> goods and services</w:t>
      </w:r>
      <w:r>
        <w:t xml:space="preserve"> is referred to as ‘c</w:t>
      </w:r>
      <w:r w:rsidRPr="001F3AA9">
        <w:t>ultural and creative activity</w:t>
      </w:r>
      <w:r>
        <w:t>’.</w:t>
      </w:r>
    </w:p>
    <w:p w:rsidR="00690C60" w:rsidRDefault="00150382" w:rsidP="00150382">
      <w:r>
        <w:t>Australia’s</w:t>
      </w:r>
      <w:r w:rsidRPr="0021690A">
        <w:t xml:space="preserve"> </w:t>
      </w:r>
      <w:r>
        <w:t>‘c</w:t>
      </w:r>
      <w:r w:rsidRPr="0021690A">
        <w:t>ultural and</w:t>
      </w:r>
      <w:r>
        <w:t xml:space="preserve"> c</w:t>
      </w:r>
      <w:r w:rsidRPr="0021690A">
        <w:t xml:space="preserve">reative </w:t>
      </w:r>
      <w:r>
        <w:t>a</w:t>
      </w:r>
      <w:r w:rsidRPr="0021690A">
        <w:t xml:space="preserve">ctivity </w:t>
      </w:r>
      <w:r>
        <w:t>s</w:t>
      </w:r>
      <w:r w:rsidRPr="0021690A">
        <w:t>atellite</w:t>
      </w:r>
      <w:r>
        <w:t xml:space="preserve"> a</w:t>
      </w:r>
      <w:r w:rsidRPr="0021690A">
        <w:t>ccounts</w:t>
      </w:r>
      <w:r>
        <w:t>’</w:t>
      </w:r>
      <w:r w:rsidRPr="000D2EE7">
        <w:t xml:space="preserve"> </w:t>
      </w:r>
      <w:r>
        <w:t>quantify c</w:t>
      </w:r>
      <w:r w:rsidRPr="001F3AA9">
        <w:t>ultural and creative activity</w:t>
      </w:r>
      <w:r>
        <w:t xml:space="preserve"> and track how it changes over time. This information is used by industry, academia, and policymakers within government. The accounts were established by the Australian Bureau of Statistics (ABS) and have been updated annually by the Bureau of Communications, Arts and Regional Research (BCARR)</w:t>
      </w:r>
      <w:r w:rsidR="00690C60">
        <w:t>.</w:t>
      </w:r>
    </w:p>
    <w:p w:rsidR="00690C60" w:rsidRDefault="00150382" w:rsidP="00150382">
      <w:r>
        <w:rPr>
          <w:szCs w:val="26"/>
        </w:rPr>
        <w:t>The cultural and creative activity satellite accounts are being reviewed t</w:t>
      </w:r>
      <w:r>
        <w:t>o ensure that these estimates remain fit</w:t>
      </w:r>
      <w:r>
        <w:noBreakHyphen/>
        <w:t>for</w:t>
      </w:r>
      <w:r>
        <w:noBreakHyphen/>
        <w:t>purpose in our changing economy. The review will examine the definition, scope, methodology and data used for quantifying this activity</w:t>
      </w:r>
      <w:r w:rsidR="00690C60">
        <w:t>.</w:t>
      </w:r>
    </w:p>
    <w:p w:rsidR="00150382" w:rsidRPr="00381665" w:rsidRDefault="00150382" w:rsidP="00150382">
      <w:r>
        <w:t xml:space="preserve">As outlined in </w:t>
      </w:r>
      <w:r w:rsidRPr="007E7D29">
        <w:rPr>
          <w:i/>
        </w:rPr>
        <w:t>Revive: a place for every story, a story for every place</w:t>
      </w:r>
      <w:r>
        <w:rPr>
          <w:rStyle w:val="EndnoteReference"/>
        </w:rPr>
        <w:endnoteReference w:id="1"/>
      </w:r>
      <w:r>
        <w:t xml:space="preserve"> </w:t>
      </w:r>
      <w:r w:rsidRPr="007E7D29">
        <w:t>– Australia’s cultural policy for the next five years</w:t>
      </w:r>
      <w:r>
        <w:t>, an updated methodology is proposed for estimating cultural and creative activity on an annual basis. Refreshing the methodological framework for these satellite accounts will help to better capture the contribution of the cultural and creative sectors and understand how this activity is changing and growing.</w:t>
      </w:r>
    </w:p>
    <w:p w:rsidR="00690C60" w:rsidRDefault="00150382" w:rsidP="00150382">
      <w:r>
        <w:t>The purpose of this consultation paper is to share BCARR’s proposed approach to refreshing the cultural and creative activity satellite accounts. It supports a consultation process which invites stakeholders to provide feedback on these proposals</w:t>
      </w:r>
      <w:r w:rsidR="00690C60">
        <w:t>.</w:t>
      </w:r>
    </w:p>
    <w:p w:rsidR="00150382" w:rsidRPr="004F7443" w:rsidRDefault="00150382" w:rsidP="00150382">
      <w:pPr>
        <w:rPr>
          <w:lang w:val="en-US"/>
        </w:rPr>
      </w:pPr>
      <w:r>
        <w:rPr>
          <w:lang w:val="en-US"/>
        </w:rPr>
        <w:t xml:space="preserve">Feedback on this paper is sought by </w:t>
      </w:r>
      <w:r>
        <w:rPr>
          <w:b/>
          <w:lang w:val="en-US"/>
        </w:rPr>
        <w:t>Friday</w:t>
      </w:r>
      <w:r w:rsidRPr="00DA4702">
        <w:rPr>
          <w:b/>
          <w:lang w:val="en-US"/>
        </w:rPr>
        <w:t>, 26 May 2023.</w:t>
      </w:r>
      <w:r>
        <w:rPr>
          <w:lang w:val="en-US"/>
        </w:rPr>
        <w:t xml:space="preserve"> Please refer to the ‘Request for feedback’ section for more information. </w:t>
      </w:r>
      <w:r>
        <w:t>We look forward to hearing your views.</w:t>
      </w:r>
    </w:p>
    <w:p w:rsidR="00150382" w:rsidRDefault="00150382" w:rsidP="00150382">
      <w:pPr>
        <w:pStyle w:val="Heading3"/>
        <w:rPr>
          <w:lang w:val="en-US"/>
        </w:rPr>
      </w:pPr>
      <w:bookmarkStart w:id="18" w:name="_Toc126581824"/>
      <w:bookmarkStart w:id="19" w:name="_Toc128051557"/>
      <w:r>
        <w:rPr>
          <w:lang w:val="en-US"/>
        </w:rPr>
        <w:t>A satellite account for cultural and creative activity</w:t>
      </w:r>
      <w:bookmarkEnd w:id="18"/>
      <w:bookmarkEnd w:id="19"/>
    </w:p>
    <w:p w:rsidR="00150382" w:rsidRDefault="00150382" w:rsidP="00150382">
      <w:r>
        <w:t>Most cultural and creative activity is captured in the national accounts – a statistical framework which summarises the economic activity of a nation. However, the information captured by these accounts does not provide enough detail to accurately measure cultural and creative activity. Furthermore, the national accounts do not capture non-market activity, such as volunteer services and the non</w:t>
      </w:r>
      <w:r>
        <w:noBreakHyphen/>
        <w:t>market output of cultural and creative industries.</w:t>
      </w:r>
    </w:p>
    <w:p w:rsidR="00150382" w:rsidRDefault="00150382" w:rsidP="00150382">
      <w:pPr>
        <w:rPr>
          <w:color w:val="000000"/>
        </w:rPr>
      </w:pPr>
      <w:r>
        <w:t xml:space="preserve">As cultural and creative activity is not explicitly identified in the national accounts, it requires the construction of a satellite account. A satellite account is a supplemental framework linked to the national accounts which enables focused attention on a particular aspect of economic or social life, making information </w:t>
      </w:r>
      <w:r>
        <w:rPr>
          <w:color w:val="000000"/>
        </w:rPr>
        <w:t>more visible and easier to use.</w:t>
      </w:r>
    </w:p>
    <w:p w:rsidR="00150382" w:rsidRDefault="00150382" w:rsidP="00150382">
      <w:r>
        <w:rPr>
          <w:color w:val="000000"/>
        </w:rPr>
        <w:t>Satellite accounts combine</w:t>
      </w:r>
      <w:r>
        <w:t xml:space="preserve"> national accounts estimates with findings from other statistics and data sources. S</w:t>
      </w:r>
      <w:r w:rsidRPr="00F31A43">
        <w:t>atellite accounts can be categorised</w:t>
      </w:r>
      <w:r>
        <w:t xml:space="preserve"> into</w:t>
      </w:r>
      <w:r w:rsidRPr="00F31A43">
        <w:t xml:space="preserve"> two broad types. One type includes </w:t>
      </w:r>
      <w:r>
        <w:t xml:space="preserve">the </w:t>
      </w:r>
      <w:r w:rsidRPr="00F31A43">
        <w:t xml:space="preserve">rearrangement of central classifications and </w:t>
      </w:r>
      <w:r>
        <w:t>can include</w:t>
      </w:r>
      <w:r w:rsidRPr="00F31A43">
        <w:t xml:space="preserve"> complementary elements</w:t>
      </w:r>
      <w:r>
        <w:t>. T</w:t>
      </w:r>
      <w:r w:rsidRPr="00F31A43">
        <w:t xml:space="preserve">he other type is </w:t>
      </w:r>
      <w:r>
        <w:t xml:space="preserve">based </w:t>
      </w:r>
      <w:r w:rsidRPr="00F31A43">
        <w:t>mainly on concepts alternative to the system of national accounts</w:t>
      </w:r>
      <w:r>
        <w:t xml:space="preserve"> or that extend the production boundary</w:t>
      </w:r>
      <w:r w:rsidRPr="00F31A43">
        <w:t>.</w:t>
      </w:r>
    </w:p>
    <w:p w:rsidR="00150382" w:rsidRPr="00DF3E96" w:rsidRDefault="00150382" w:rsidP="00DF3E96">
      <w:r>
        <w:t xml:space="preserve">The cultural and creative satellite account was developed to fill these gaps for Australia by collecting cultural and creative activity from across the economy. In 2014, the ABS published the </w:t>
      </w:r>
      <w:r w:rsidRPr="00571ADC">
        <w:t>Cultural and Creative Activity Satellite Accounts</w:t>
      </w:r>
      <w:r>
        <w:t>,</w:t>
      </w:r>
      <w:r w:rsidRPr="00F176A1">
        <w:rPr>
          <w:rStyle w:val="EndnoteReference"/>
        </w:rPr>
        <w:endnoteReference w:id="2"/>
      </w:r>
      <w:r>
        <w:t xml:space="preserve"> which presented an experimental framework to estimate the size of Australia’s cultural and creative activity using </w:t>
      </w:r>
      <w:r w:rsidR="00B371FA">
        <w:t>2008–09</w:t>
      </w:r>
      <w:r>
        <w:t xml:space="preserve"> data. BCARR within the Department of </w:t>
      </w:r>
      <w:r>
        <w:lastRenderedPageBreak/>
        <w:t>Infrastructure, Transport, Regional Development</w:t>
      </w:r>
      <w:r>
        <w:rPr>
          <w:lang w:val="en-US"/>
        </w:rPr>
        <w:t>,</w:t>
      </w:r>
      <w:r>
        <w:t xml:space="preserve"> Communications</w:t>
      </w:r>
      <w:r>
        <w:rPr>
          <w:lang w:val="en-US"/>
        </w:rPr>
        <w:t xml:space="preserve"> and the Arts</w:t>
      </w:r>
      <w:r>
        <w:t xml:space="preserve"> adopted this framework and has updated estimates of cultural and creative activity</w:t>
      </w:r>
      <w:r w:rsidDel="000E7B45">
        <w:t xml:space="preserve"> </w:t>
      </w:r>
      <w:r>
        <w:t>on an annual basis since 2018.</w:t>
      </w:r>
      <w:r>
        <w:rPr>
          <w:rStyle w:val="FootnoteReference"/>
          <w:szCs w:val="26"/>
        </w:rPr>
        <w:footnoteReference w:id="1"/>
      </w:r>
    </w:p>
    <w:p w:rsidR="00150382" w:rsidRPr="006F5A9B" w:rsidRDefault="00150382" w:rsidP="00150382">
      <w:pPr>
        <w:pStyle w:val="Heading3"/>
      </w:pPr>
      <w:bookmarkStart w:id="20" w:name="_Toc126581825"/>
      <w:bookmarkStart w:id="21" w:name="_Toc128051558"/>
      <w:r>
        <w:t>Defining and measuring cultural and creative activity</w:t>
      </w:r>
      <w:bookmarkEnd w:id="20"/>
      <w:bookmarkEnd w:id="21"/>
    </w:p>
    <w:p w:rsidR="00150382" w:rsidRPr="00A16B29" w:rsidRDefault="00150382" w:rsidP="00150382">
      <w:pPr>
        <w:rPr>
          <w:b/>
        </w:rPr>
      </w:pPr>
      <w:r w:rsidRPr="00A16B29">
        <w:rPr>
          <w:b/>
        </w:rPr>
        <w:t>While there is no universally</w:t>
      </w:r>
      <w:r w:rsidRPr="00A16B29">
        <w:rPr>
          <w:b/>
        </w:rPr>
        <w:noBreakHyphen/>
        <w:t xml:space="preserve">accepted definition, the terms </w:t>
      </w:r>
      <w:r w:rsidRPr="00A16B29">
        <w:rPr>
          <w:b/>
          <w:lang w:val="en-US"/>
        </w:rPr>
        <w:t>‘</w:t>
      </w:r>
      <w:r w:rsidRPr="00A16B29">
        <w:rPr>
          <w:b/>
        </w:rPr>
        <w:t>cultural</w:t>
      </w:r>
      <w:r w:rsidRPr="00A16B29">
        <w:rPr>
          <w:b/>
          <w:lang w:val="en-US"/>
        </w:rPr>
        <w:t>’</w:t>
      </w:r>
      <w:r w:rsidRPr="00A16B29">
        <w:rPr>
          <w:b/>
        </w:rPr>
        <w:t xml:space="preserve"> and </w:t>
      </w:r>
      <w:r w:rsidRPr="00A16B29">
        <w:rPr>
          <w:b/>
          <w:lang w:val="en-US"/>
        </w:rPr>
        <w:t>‘</w:t>
      </w:r>
      <w:r w:rsidRPr="00A16B29">
        <w:rPr>
          <w:b/>
        </w:rPr>
        <w:t>creative</w:t>
      </w:r>
      <w:r w:rsidRPr="00A16B29">
        <w:rPr>
          <w:b/>
          <w:lang w:val="en-US"/>
        </w:rPr>
        <w:t>’</w:t>
      </w:r>
      <w:r w:rsidRPr="00A16B29">
        <w:rPr>
          <w:b/>
        </w:rPr>
        <w:t xml:space="preserve"> are used to describe activities connected with the arts, media, heritage, design, fashion, and information technology</w:t>
      </w:r>
      <w:r w:rsidRPr="00A16B29">
        <w:rPr>
          <w:b/>
          <w:lang w:val="en-US"/>
        </w:rPr>
        <w:t>.</w:t>
      </w:r>
      <w:r w:rsidRPr="00A16B29">
        <w:rPr>
          <w:rStyle w:val="EndnoteReference"/>
          <w:b/>
        </w:rPr>
        <w:endnoteReference w:id="3"/>
      </w:r>
      <w:r w:rsidRPr="00A16B29">
        <w:rPr>
          <w:b/>
        </w:rPr>
        <w:t xml:space="preserve"> </w:t>
      </w:r>
    </w:p>
    <w:p w:rsidR="00690C60" w:rsidRDefault="00150382" w:rsidP="00150382">
      <w:r>
        <w:t xml:space="preserve">The </w:t>
      </w:r>
      <w:r>
        <w:rPr>
          <w:lang w:val="en-US"/>
        </w:rPr>
        <w:t xml:space="preserve">actual size (or value) of the </w:t>
      </w:r>
      <w:r>
        <w:t xml:space="preserve">economic </w:t>
      </w:r>
      <w:r>
        <w:rPr>
          <w:lang w:val="en-US"/>
        </w:rPr>
        <w:t xml:space="preserve">contribution </w:t>
      </w:r>
      <w:r>
        <w:t>of cultural and creative activity is determined by how it is defined and identified for each activity. In constructing the scope and coverage of Australia’s first cultural and creative activity satellite accounts, the ABS described</w:t>
      </w:r>
      <w:r>
        <w:rPr>
          <w:lang w:val="en-US"/>
        </w:rPr>
        <w:t xml:space="preserve"> h</w:t>
      </w:r>
      <w:r>
        <w:t xml:space="preserve">uman creativity </w:t>
      </w:r>
      <w:r>
        <w:rPr>
          <w:lang w:val="en-US"/>
        </w:rPr>
        <w:t>a</w:t>
      </w:r>
      <w:r>
        <w:t>s a vital input to cultural and creative activity</w:t>
      </w:r>
      <w:r>
        <w:rPr>
          <w:lang w:val="en-US"/>
        </w:rPr>
        <w:t>. C</w:t>
      </w:r>
      <w:r>
        <w:t>ultural activity</w:t>
      </w:r>
      <w:r>
        <w:rPr>
          <w:lang w:val="en-US"/>
        </w:rPr>
        <w:t xml:space="preserve"> </w:t>
      </w:r>
      <w:r>
        <w:t>requires human creativity as an input and may contain intellectual property to communicate symbolic meaning</w:t>
      </w:r>
      <w:r>
        <w:rPr>
          <w:lang w:val="en-US"/>
        </w:rPr>
        <w:t>; while c</w:t>
      </w:r>
      <w:r>
        <w:t xml:space="preserve">reative activity </w:t>
      </w:r>
      <w:r>
        <w:rPr>
          <w:lang w:val="en-US"/>
        </w:rPr>
        <w:t xml:space="preserve">also </w:t>
      </w:r>
      <w:r>
        <w:t>require</w:t>
      </w:r>
      <w:r>
        <w:rPr>
          <w:lang w:val="en-US"/>
        </w:rPr>
        <w:t>s</w:t>
      </w:r>
      <w:r>
        <w:t xml:space="preserve"> human creativity as a significant and identifiable input</w:t>
      </w:r>
      <w:r w:rsidR="00690C60">
        <w:t>.</w:t>
      </w:r>
    </w:p>
    <w:p w:rsidR="00150382" w:rsidRDefault="00150382" w:rsidP="00150382">
      <w:r>
        <w:t xml:space="preserve">These broad definitions </w:t>
      </w:r>
      <w:r w:rsidRPr="00D011AF">
        <w:t xml:space="preserve">were </w:t>
      </w:r>
      <w:r w:rsidRPr="00F176A1">
        <w:t xml:space="preserve">developed </w:t>
      </w:r>
      <w:r>
        <w:t xml:space="preserve">by the ABS </w:t>
      </w:r>
      <w:r w:rsidRPr="00F176A1">
        <w:t>in consultation with key stakeholders and dr</w:t>
      </w:r>
      <w:r>
        <w:t>ew</w:t>
      </w:r>
      <w:r w:rsidRPr="00F176A1">
        <w:t xml:space="preserve"> heavily on satellite accounts produced overseas, as well as existing statistical frameworks and academic literature that underpin much of the international </w:t>
      </w:r>
      <w:r>
        <w:t>research</w:t>
      </w:r>
      <w:r w:rsidRPr="002F0B79">
        <w:t>.</w:t>
      </w:r>
      <w:r>
        <w:rPr>
          <w:rStyle w:val="EndnoteReference"/>
        </w:rPr>
        <w:endnoteReference w:id="4"/>
      </w:r>
      <w:r>
        <w:t xml:space="preserve"> For example, the </w:t>
      </w:r>
      <w:r w:rsidRPr="00065A45">
        <w:t>cultural statistics frameworks published by the United Nations Educational, Scientific and Cultural Organization</w:t>
      </w:r>
      <w:r>
        <w:t xml:space="preserve"> </w:t>
      </w:r>
      <w:r w:rsidRPr="00065A45">
        <w:t>(UNESCO)</w:t>
      </w:r>
      <w:r>
        <w:t xml:space="preserve"> highlighted that cultural goods and services ‘</w:t>
      </w:r>
      <w:r w:rsidRPr="000421F0">
        <w:t>encompass artistic, aesthetic, symbolic and spiritual values</w:t>
      </w:r>
      <w:r>
        <w:t>’;</w:t>
      </w:r>
      <w:r>
        <w:rPr>
          <w:rStyle w:val="EndnoteReference"/>
        </w:rPr>
        <w:endnoteReference w:id="5"/>
      </w:r>
      <w:r>
        <w:t xml:space="preserve"> while the United Nations </w:t>
      </w:r>
      <w:r w:rsidRPr="005479A5">
        <w:t>Conference on Trade and Development</w:t>
      </w:r>
      <w:r>
        <w:t xml:space="preserve"> (UNCTAD)’s Creative Economy Report noted that the creative industries ‘</w:t>
      </w:r>
      <w:r w:rsidRPr="009A3EDE">
        <w:t>are the cycles of creation, production and distribution of goods and</w:t>
      </w:r>
      <w:r>
        <w:t xml:space="preserve"> </w:t>
      </w:r>
      <w:r w:rsidRPr="009A3EDE">
        <w:t>services that use creativity and intellectual capital as primary inputs</w:t>
      </w:r>
      <w:r>
        <w:t>.’</w:t>
      </w:r>
      <w:r>
        <w:rPr>
          <w:rStyle w:val="EndnoteReference"/>
        </w:rPr>
        <w:endnoteReference w:id="6"/>
      </w:r>
    </w:p>
    <w:p w:rsidR="00150382" w:rsidRPr="009A3EDE" w:rsidRDefault="00150382" w:rsidP="00150382">
      <w:pPr>
        <w:rPr>
          <w:szCs w:val="26"/>
        </w:rPr>
      </w:pPr>
      <w:r w:rsidRPr="00E24DCE">
        <w:rPr>
          <w:szCs w:val="26"/>
          <w:lang w:val="en-US"/>
        </w:rPr>
        <w:t xml:space="preserve">The existing definition for what industries </w:t>
      </w:r>
      <w:proofErr w:type="gramStart"/>
      <w:r>
        <w:rPr>
          <w:szCs w:val="26"/>
          <w:lang w:val="en-US"/>
        </w:rPr>
        <w:t>comprise</w:t>
      </w:r>
      <w:proofErr w:type="gramEnd"/>
      <w:r w:rsidRPr="00E24DCE">
        <w:rPr>
          <w:szCs w:val="26"/>
          <w:lang w:val="en-US"/>
        </w:rPr>
        <w:t xml:space="preserve"> Australia’s cultural and creative sectors was </w:t>
      </w:r>
      <w:r>
        <w:t xml:space="preserve">formulated based on consultation </w:t>
      </w:r>
      <w:r w:rsidRPr="00A16B29">
        <w:t xml:space="preserve">with the federal and state government organisations </w:t>
      </w:r>
      <w:r>
        <w:t xml:space="preserve">involved in </w:t>
      </w:r>
      <w:r w:rsidRPr="00A16B29">
        <w:t>the Cultural Ministers’ Statistics Working Group</w:t>
      </w:r>
      <w:r>
        <w:t>, as well as input from</w:t>
      </w:r>
      <w:r w:rsidRPr="00A16B29">
        <w:t xml:space="preserve"> Australian academics</w:t>
      </w:r>
      <w:r>
        <w:t xml:space="preserve">. </w:t>
      </w:r>
      <w:r>
        <w:rPr>
          <w:szCs w:val="26"/>
          <w:lang w:val="en-US"/>
        </w:rPr>
        <w:t>T</w:t>
      </w:r>
      <w:r w:rsidRPr="00E24DCE">
        <w:rPr>
          <w:szCs w:val="26"/>
          <w:lang w:val="en-US"/>
        </w:rPr>
        <w:t xml:space="preserve">he framework was based on </w:t>
      </w:r>
      <w:r>
        <w:rPr>
          <w:szCs w:val="26"/>
          <w:lang w:val="en-US"/>
        </w:rPr>
        <w:t>the 2009</w:t>
      </w:r>
      <w:r w:rsidRPr="00E24DCE">
        <w:rPr>
          <w:szCs w:val="26"/>
          <w:lang w:val="en-US"/>
        </w:rPr>
        <w:t xml:space="preserve"> UNESCO Framework for Cultural Statistics, adapted for Australian use following a series of national industry workshops and consultation.</w:t>
      </w:r>
      <w:r w:rsidRPr="00E24DCE">
        <w:rPr>
          <w:rStyle w:val="EndnoteReference"/>
          <w:szCs w:val="26"/>
        </w:rPr>
        <w:endnoteReference w:id="7"/>
      </w:r>
      <w:r>
        <w:rPr>
          <w:szCs w:val="26"/>
        </w:rPr>
        <w:t xml:space="preserve"> </w:t>
      </w:r>
      <w:r>
        <w:t xml:space="preserve">This definition was agreed by the </w:t>
      </w:r>
      <w:r w:rsidR="00DF3E96">
        <w:rPr>
          <w:szCs w:val="26"/>
          <w:lang w:val="en-US"/>
        </w:rPr>
        <w:t>Me</w:t>
      </w:r>
      <w:r w:rsidRPr="00E24DCE">
        <w:rPr>
          <w:szCs w:val="26"/>
          <w:lang w:val="en-US"/>
        </w:rPr>
        <w:t>eting of Cultural Ministers</w:t>
      </w:r>
      <w:r>
        <w:rPr>
          <w:szCs w:val="26"/>
          <w:lang w:val="en-US"/>
        </w:rPr>
        <w:t>, w</w:t>
      </w:r>
      <w:r w:rsidRPr="00E24DCE">
        <w:rPr>
          <w:szCs w:val="26"/>
          <w:lang w:val="en-US"/>
        </w:rPr>
        <w:t>hich included representatives from all state and territory governments</w:t>
      </w:r>
      <w:r>
        <w:rPr>
          <w:szCs w:val="26"/>
          <w:lang w:val="en-US"/>
        </w:rPr>
        <w:t>.</w:t>
      </w:r>
    </w:p>
    <w:p w:rsidR="00150382" w:rsidRPr="00410E60" w:rsidRDefault="00150382" w:rsidP="00150382">
      <w:pPr>
        <w:rPr>
          <w:szCs w:val="26"/>
        </w:rPr>
      </w:pPr>
      <w:r w:rsidRPr="00410E60">
        <w:rPr>
          <w:szCs w:val="26"/>
        </w:rPr>
        <w:t>Th</w:t>
      </w:r>
      <w:r>
        <w:rPr>
          <w:szCs w:val="26"/>
        </w:rPr>
        <w:t>is</w:t>
      </w:r>
      <w:r w:rsidRPr="00410E60">
        <w:rPr>
          <w:szCs w:val="26"/>
        </w:rPr>
        <w:t xml:space="preserve"> </w:t>
      </w:r>
      <w:r>
        <w:rPr>
          <w:szCs w:val="26"/>
        </w:rPr>
        <w:t xml:space="preserve">definition forms the basis of the current cultural and creative </w:t>
      </w:r>
      <w:r w:rsidRPr="00410E60">
        <w:rPr>
          <w:szCs w:val="26"/>
        </w:rPr>
        <w:t>satellite account</w:t>
      </w:r>
      <w:r>
        <w:rPr>
          <w:szCs w:val="26"/>
        </w:rPr>
        <w:t>. The satellite account</w:t>
      </w:r>
      <w:r w:rsidRPr="00410E60">
        <w:rPr>
          <w:szCs w:val="26"/>
        </w:rPr>
        <w:t xml:space="preserve"> </w:t>
      </w:r>
      <w:r>
        <w:rPr>
          <w:szCs w:val="26"/>
        </w:rPr>
        <w:t xml:space="preserve">has been important for understanding the </w:t>
      </w:r>
      <w:r>
        <w:rPr>
          <w:szCs w:val="26"/>
          <w:lang w:val="en-US"/>
        </w:rPr>
        <w:t>types of cultural and creative activity occurring in the Australian economy</w:t>
      </w:r>
      <w:r>
        <w:rPr>
          <w:szCs w:val="26"/>
        </w:rPr>
        <w:t xml:space="preserve"> in more detail</w:t>
      </w:r>
      <w:r>
        <w:rPr>
          <w:szCs w:val="26"/>
          <w:lang w:val="en-US"/>
        </w:rPr>
        <w:t>. For example</w:t>
      </w:r>
      <w:r>
        <w:rPr>
          <w:szCs w:val="26"/>
        </w:rPr>
        <w:t xml:space="preserve">, it allows us to consider types of activity </w:t>
      </w:r>
      <w:r w:rsidRPr="007B0BD6">
        <w:rPr>
          <w:szCs w:val="26"/>
        </w:rPr>
        <w:t>by</w:t>
      </w:r>
      <w:r w:rsidRPr="008D58F8">
        <w:rPr>
          <w:szCs w:val="26"/>
        </w:rPr>
        <w:t xml:space="preserve"> </w:t>
      </w:r>
      <w:r w:rsidRPr="00571ADC">
        <w:rPr>
          <w:szCs w:val="26"/>
        </w:rPr>
        <w:t xml:space="preserve">category </w:t>
      </w:r>
      <w:r w:rsidRPr="007B0BD6">
        <w:rPr>
          <w:szCs w:val="26"/>
        </w:rPr>
        <w:t xml:space="preserve">and </w:t>
      </w:r>
      <w:r w:rsidRPr="00571ADC">
        <w:rPr>
          <w:szCs w:val="26"/>
        </w:rPr>
        <w:t>domain</w:t>
      </w:r>
      <w:r w:rsidRPr="007B0BD6">
        <w:rPr>
          <w:szCs w:val="26"/>
        </w:rPr>
        <w:t xml:space="preserve"> (such</w:t>
      </w:r>
      <w:r w:rsidRPr="00410E60">
        <w:rPr>
          <w:szCs w:val="26"/>
        </w:rPr>
        <w:t xml:space="preserve"> as ‘Performing arts’, ‘Visual arts and crafts’, </w:t>
      </w:r>
      <w:r>
        <w:rPr>
          <w:szCs w:val="26"/>
          <w:lang w:val="en-US"/>
        </w:rPr>
        <w:t xml:space="preserve">and </w:t>
      </w:r>
      <w:r w:rsidRPr="00410E60">
        <w:rPr>
          <w:szCs w:val="26"/>
        </w:rPr>
        <w:t xml:space="preserve">‘Museums’). Given the </w:t>
      </w:r>
      <w:r>
        <w:rPr>
          <w:szCs w:val="26"/>
          <w:lang w:val="en-US"/>
        </w:rPr>
        <w:t>wide-ranging</w:t>
      </w:r>
      <w:r w:rsidRPr="00410E60">
        <w:rPr>
          <w:szCs w:val="26"/>
        </w:rPr>
        <w:t xml:space="preserve"> nature of cultural and creative </w:t>
      </w:r>
      <w:r>
        <w:rPr>
          <w:szCs w:val="26"/>
          <w:lang w:val="en-US"/>
        </w:rPr>
        <w:t>activity</w:t>
      </w:r>
      <w:r w:rsidRPr="00410E60">
        <w:rPr>
          <w:szCs w:val="26"/>
        </w:rPr>
        <w:t>, these more granular domain</w:t>
      </w:r>
      <w:r>
        <w:rPr>
          <w:szCs w:val="26"/>
        </w:rPr>
        <w:noBreakHyphen/>
      </w:r>
      <w:r w:rsidRPr="00410E60">
        <w:rPr>
          <w:szCs w:val="26"/>
        </w:rPr>
        <w:t xml:space="preserve">level figures </w:t>
      </w:r>
      <w:r>
        <w:rPr>
          <w:szCs w:val="26"/>
        </w:rPr>
        <w:t xml:space="preserve">provide </w:t>
      </w:r>
      <w:r>
        <w:rPr>
          <w:szCs w:val="26"/>
          <w:lang w:val="en-US"/>
        </w:rPr>
        <w:t>insights into the economic contribution of particular sectors</w:t>
      </w:r>
      <w:r w:rsidRPr="00410E60">
        <w:rPr>
          <w:szCs w:val="26"/>
        </w:rPr>
        <w:t>.</w:t>
      </w:r>
    </w:p>
    <w:p w:rsidR="00150382" w:rsidRDefault="00150382" w:rsidP="00150382">
      <w:pPr>
        <w:rPr>
          <w:szCs w:val="26"/>
        </w:rPr>
      </w:pPr>
      <w:r w:rsidRPr="00410E60">
        <w:rPr>
          <w:szCs w:val="26"/>
        </w:rPr>
        <w:t xml:space="preserve">Within this </w:t>
      </w:r>
      <w:r>
        <w:rPr>
          <w:szCs w:val="26"/>
        </w:rPr>
        <w:t xml:space="preserve">satellite accounts </w:t>
      </w:r>
      <w:r w:rsidRPr="00410E60">
        <w:rPr>
          <w:szCs w:val="26"/>
        </w:rPr>
        <w:t xml:space="preserve">framework, cultural and creative activity </w:t>
      </w:r>
      <w:r>
        <w:rPr>
          <w:szCs w:val="26"/>
        </w:rPr>
        <w:t>is</w:t>
      </w:r>
      <w:r w:rsidRPr="00410E60">
        <w:rPr>
          <w:szCs w:val="26"/>
        </w:rPr>
        <w:t xml:space="preserve"> estimated from cultural and creative </w:t>
      </w:r>
      <w:r w:rsidRPr="00385867">
        <w:rPr>
          <w:szCs w:val="26"/>
        </w:rPr>
        <w:t>industry supply chains using a ‘top-down’ approach</w:t>
      </w:r>
      <w:r>
        <w:rPr>
          <w:szCs w:val="26"/>
        </w:rPr>
        <w:t>. Estimates are calculated</w:t>
      </w:r>
      <w:r w:rsidRPr="00385867">
        <w:rPr>
          <w:szCs w:val="26"/>
        </w:rPr>
        <w:t xml:space="preserve"> from aggregates published annually in input-output tables (ABS </w:t>
      </w:r>
      <w:r>
        <w:rPr>
          <w:szCs w:val="26"/>
        </w:rPr>
        <w:t>C</w:t>
      </w:r>
      <w:r w:rsidRPr="00385867">
        <w:rPr>
          <w:szCs w:val="26"/>
        </w:rPr>
        <w:t>at.</w:t>
      </w:r>
      <w:r>
        <w:rPr>
          <w:szCs w:val="26"/>
        </w:rPr>
        <w:t xml:space="preserve"> no.</w:t>
      </w:r>
      <w:r w:rsidRPr="00385867">
        <w:rPr>
          <w:szCs w:val="26"/>
        </w:rPr>
        <w:t xml:space="preserve"> 5209.0</w:t>
      </w:r>
      <w:r w:rsidRPr="00410E60">
        <w:rPr>
          <w:szCs w:val="26"/>
        </w:rPr>
        <w:t>).</w:t>
      </w:r>
      <w:r w:rsidRPr="00410E60">
        <w:rPr>
          <w:szCs w:val="26"/>
          <w:vertAlign w:val="superscript"/>
        </w:rPr>
        <w:endnoteReference w:id="8"/>
      </w:r>
      <w:r w:rsidRPr="00410E60">
        <w:rPr>
          <w:szCs w:val="26"/>
        </w:rPr>
        <w:t xml:space="preserve"> </w:t>
      </w:r>
      <w:r>
        <w:rPr>
          <w:szCs w:val="26"/>
        </w:rPr>
        <w:t>I</w:t>
      </w:r>
      <w:r w:rsidRPr="00410E60">
        <w:rPr>
          <w:szCs w:val="26"/>
        </w:rPr>
        <w:t>ndustr</w:t>
      </w:r>
      <w:r>
        <w:rPr>
          <w:szCs w:val="26"/>
        </w:rPr>
        <w:t>y</w:t>
      </w:r>
      <w:r w:rsidRPr="00410E60">
        <w:rPr>
          <w:szCs w:val="26"/>
        </w:rPr>
        <w:t xml:space="preserve"> information show</w:t>
      </w:r>
      <w:r>
        <w:rPr>
          <w:szCs w:val="26"/>
        </w:rPr>
        <w:t>n</w:t>
      </w:r>
      <w:r w:rsidRPr="00410E60">
        <w:rPr>
          <w:szCs w:val="26"/>
        </w:rPr>
        <w:t xml:space="preserve"> in these tables </w:t>
      </w:r>
      <w:r>
        <w:rPr>
          <w:szCs w:val="26"/>
        </w:rPr>
        <w:t>is</w:t>
      </w:r>
      <w:r w:rsidRPr="00410E60">
        <w:rPr>
          <w:szCs w:val="26"/>
        </w:rPr>
        <w:t xml:space="preserve"> presented by 114 Input-Output Industry Groups (IOIGs)</w:t>
      </w:r>
      <w:r>
        <w:rPr>
          <w:szCs w:val="26"/>
        </w:rPr>
        <w:t>. C</w:t>
      </w:r>
      <w:r w:rsidRPr="00410E60">
        <w:rPr>
          <w:szCs w:val="26"/>
        </w:rPr>
        <w:t xml:space="preserve">ultural and creative industries </w:t>
      </w:r>
      <w:r>
        <w:rPr>
          <w:szCs w:val="26"/>
        </w:rPr>
        <w:t>a</w:t>
      </w:r>
      <w:r w:rsidRPr="00410E60">
        <w:rPr>
          <w:szCs w:val="26"/>
        </w:rPr>
        <w:t xml:space="preserve">re identified </w:t>
      </w:r>
      <w:r>
        <w:rPr>
          <w:szCs w:val="26"/>
        </w:rPr>
        <w:t xml:space="preserve">using the </w:t>
      </w:r>
      <w:r w:rsidRPr="00410E60">
        <w:rPr>
          <w:szCs w:val="26"/>
        </w:rPr>
        <w:t>Australian and New Zealand Standard Industrial Classification</w:t>
      </w:r>
      <w:r>
        <w:rPr>
          <w:szCs w:val="26"/>
        </w:rPr>
        <w:t xml:space="preserve"> (</w:t>
      </w:r>
      <w:r w:rsidRPr="00410E60">
        <w:rPr>
          <w:szCs w:val="26"/>
        </w:rPr>
        <w:t>ANZSIC</w:t>
      </w:r>
      <w:r>
        <w:rPr>
          <w:szCs w:val="26"/>
        </w:rPr>
        <w:t>)</w:t>
      </w:r>
      <w:r w:rsidRPr="00410E60">
        <w:rPr>
          <w:szCs w:val="26"/>
        </w:rPr>
        <w:t xml:space="preserve"> </w:t>
      </w:r>
      <w:r>
        <w:rPr>
          <w:szCs w:val="26"/>
        </w:rPr>
        <w:t xml:space="preserve">at the </w:t>
      </w:r>
      <w:r w:rsidRPr="00410E60">
        <w:rPr>
          <w:szCs w:val="26"/>
        </w:rPr>
        <w:t>class level</w:t>
      </w:r>
      <w:r>
        <w:rPr>
          <w:szCs w:val="26"/>
        </w:rPr>
        <w:t xml:space="preserve"> (4-digit level)</w:t>
      </w:r>
      <w:r w:rsidRPr="00410E60">
        <w:rPr>
          <w:szCs w:val="26"/>
        </w:rPr>
        <w:t>.</w:t>
      </w:r>
    </w:p>
    <w:p w:rsidR="00150382" w:rsidRPr="008B1541" w:rsidRDefault="00150382" w:rsidP="00150382">
      <w:pPr>
        <w:pStyle w:val="Heading3"/>
      </w:pPr>
      <w:bookmarkStart w:id="22" w:name="_Toc126581826"/>
      <w:bookmarkStart w:id="23" w:name="_Toc128051559"/>
      <w:r>
        <w:lastRenderedPageBreak/>
        <w:t>The need to r</w:t>
      </w:r>
      <w:r w:rsidRPr="008B1541">
        <w:t>efresh the satellite account</w:t>
      </w:r>
      <w:r>
        <w:t>s</w:t>
      </w:r>
      <w:bookmarkEnd w:id="22"/>
      <w:bookmarkEnd w:id="23"/>
    </w:p>
    <w:p w:rsidR="00150382" w:rsidRDefault="00150382" w:rsidP="00150382">
      <w:pPr>
        <w:keepLines/>
        <w:rPr>
          <w:lang w:val="en-US"/>
        </w:rPr>
      </w:pPr>
      <w:r>
        <w:t xml:space="preserve">Current estimates of cultural and creative activity are used widely across government, industry and academia, and have </w:t>
      </w:r>
      <w:r w:rsidRPr="0092318E">
        <w:t>inform</w:t>
      </w:r>
      <w:r>
        <w:t>ed</w:t>
      </w:r>
      <w:r w:rsidRPr="0092318E">
        <w:t xml:space="preserve"> </w:t>
      </w:r>
      <w:r>
        <w:t xml:space="preserve">our understanding of </w:t>
      </w:r>
      <w:r w:rsidRPr="0092318E">
        <w:t xml:space="preserve">how </w:t>
      </w:r>
      <w:r>
        <w:t>cultural and creative</w:t>
      </w:r>
      <w:r w:rsidRPr="0092318E">
        <w:t xml:space="preserve"> industries contribute to economic outcomes relative to other industries</w:t>
      </w:r>
      <w:r>
        <w:t>. However, while these satellite accounts</w:t>
      </w:r>
      <w:r>
        <w:rPr>
          <w:lang w:val="en-US"/>
        </w:rPr>
        <w:t xml:space="preserve"> address</w:t>
      </w:r>
      <w:r>
        <w:t xml:space="preserve"> some </w:t>
      </w:r>
      <w:r>
        <w:rPr>
          <w:lang w:val="en-US"/>
        </w:rPr>
        <w:t xml:space="preserve">of the </w:t>
      </w:r>
      <w:r>
        <w:t>limitations</w:t>
      </w:r>
      <w:r>
        <w:rPr>
          <w:lang w:val="en-US"/>
        </w:rPr>
        <w:t xml:space="preserve"> when compared to using </w:t>
      </w:r>
      <w:r>
        <w:t>national accounts</w:t>
      </w:r>
      <w:r>
        <w:rPr>
          <w:lang w:val="en-US"/>
        </w:rPr>
        <w:t xml:space="preserve"> estimates, some concerns have been raised about the data sources, scope and approach of the current cultural and creative activity satellite accounts.</w:t>
      </w:r>
    </w:p>
    <w:p w:rsidR="00690C60" w:rsidRDefault="00150382" w:rsidP="00150382">
      <w:r>
        <w:rPr>
          <w:szCs w:val="26"/>
          <w:lang w:val="en-US"/>
        </w:rPr>
        <w:t>The satellite accounts will be reviewed t</w:t>
      </w:r>
      <w:r>
        <w:t>o ensure that estimates remain fit</w:t>
      </w:r>
      <w:r>
        <w:noBreakHyphen/>
        <w:t>for</w:t>
      </w:r>
      <w:r>
        <w:noBreakHyphen/>
        <w:t>purpose in our changing economy. Th</w:t>
      </w:r>
      <w:r>
        <w:rPr>
          <w:lang w:val="en-US"/>
        </w:rPr>
        <w:t>e</w:t>
      </w:r>
      <w:r>
        <w:t xml:space="preserve"> review will examine the definition, scope, methodology and data used for quantifying cultural and creative activity</w:t>
      </w:r>
      <w:r w:rsidR="00690C60">
        <w:t>.</w:t>
      </w:r>
    </w:p>
    <w:p w:rsidR="00690C60" w:rsidRDefault="00150382" w:rsidP="00150382">
      <w:r>
        <w:t xml:space="preserve">Following consultation based on this paper, it is proposed that an updated methodology for estimating </w:t>
      </w:r>
      <w:r>
        <w:rPr>
          <w:lang w:val="en-US"/>
        </w:rPr>
        <w:t>cultural and creative activity</w:t>
      </w:r>
      <w:r>
        <w:t xml:space="preserve"> be adopted for future BCARR updates to the satellite account</w:t>
      </w:r>
      <w:r w:rsidR="00690C60">
        <w:t>.</w:t>
      </w:r>
    </w:p>
    <w:p w:rsidR="00150382" w:rsidRDefault="00150382" w:rsidP="00150382">
      <w:pPr>
        <w:rPr>
          <w:lang w:val="en-US"/>
        </w:rPr>
      </w:pPr>
      <w:r>
        <w:rPr>
          <w:lang w:val="en-US"/>
        </w:rPr>
        <w:t>A summary of potential issues and the improvements with the current cultural and creative activity satellite accounts is shown below.</w:t>
      </w:r>
    </w:p>
    <w:p w:rsidR="00150382" w:rsidRPr="00A16B29" w:rsidRDefault="00150382" w:rsidP="00150382">
      <w:pPr>
        <w:pStyle w:val="Heading4"/>
      </w:pPr>
      <w:bookmarkStart w:id="24" w:name="_Toc126581827"/>
      <w:bookmarkStart w:id="25" w:name="_Hlk121150021"/>
      <w:bookmarkStart w:id="26" w:name="_Toc128051560"/>
      <w:r w:rsidRPr="00A16B29">
        <w:t>Data sources</w:t>
      </w:r>
      <w:bookmarkEnd w:id="24"/>
      <w:bookmarkEnd w:id="26"/>
    </w:p>
    <w:p w:rsidR="00690C60" w:rsidRDefault="00150382" w:rsidP="00150382">
      <w:pPr>
        <w:pStyle w:val="Listparagraphbullets"/>
      </w:pPr>
      <w:r w:rsidRPr="00150382">
        <w:t>Data sources for the satellite accounts could be updated to incorporate newly available data and address concerns that some industries which are currently included in the satellite account are not representative of creative activity</w:t>
      </w:r>
      <w:r w:rsidR="00690C60">
        <w:t>.</w:t>
      </w:r>
    </w:p>
    <w:p w:rsidR="00150382" w:rsidRPr="00150382" w:rsidRDefault="00150382" w:rsidP="00150382">
      <w:pPr>
        <w:pStyle w:val="Listparagraphbullets"/>
      </w:pPr>
      <w:r w:rsidRPr="00150382">
        <w:t>Opportunities to include newly available datasets and data with more granular detail.</w:t>
      </w:r>
    </w:p>
    <w:p w:rsidR="00150382" w:rsidRPr="00150382" w:rsidRDefault="00150382" w:rsidP="00150382">
      <w:pPr>
        <w:pStyle w:val="Listparagraphbullets"/>
      </w:pPr>
      <w:r w:rsidRPr="00150382">
        <w:t>Opportunities to better represent evolving cultural and creative industries and platforms, such as the games sector and online media content, as well as activity not well captured, such as workers whose second jobs are creative. Specific considerations of First Nations cultural and creative activity is also a potential area that could be investigated, to test whether data collection and use is fit for purpose.</w:t>
      </w:r>
    </w:p>
    <w:p w:rsidR="00150382" w:rsidRDefault="00150382" w:rsidP="00150382">
      <w:pPr>
        <w:pStyle w:val="Heading4"/>
        <w:rPr>
          <w:lang w:val="en-US"/>
        </w:rPr>
      </w:pPr>
      <w:bookmarkStart w:id="27" w:name="_Toc126581828"/>
      <w:bookmarkStart w:id="28" w:name="_Toc128051561"/>
      <w:r>
        <w:rPr>
          <w:lang w:val="en-US"/>
        </w:rPr>
        <w:t>Definition and s</w:t>
      </w:r>
      <w:r w:rsidRPr="00F176A1">
        <w:rPr>
          <w:lang w:val="en-US"/>
        </w:rPr>
        <w:t>cope</w:t>
      </w:r>
      <w:bookmarkEnd w:id="27"/>
      <w:bookmarkEnd w:id="28"/>
    </w:p>
    <w:p w:rsidR="00150382" w:rsidRDefault="00150382" w:rsidP="00150382">
      <w:pPr>
        <w:pStyle w:val="Listparagraphbullets"/>
      </w:pPr>
      <w:r>
        <w:rPr>
          <w:lang w:val="en-US"/>
        </w:rPr>
        <w:t>Opportunities to improve the accuracy of the scope of activity.</w:t>
      </w:r>
      <w:r>
        <w:t xml:space="preserve"> S</w:t>
      </w:r>
      <w:r w:rsidRPr="005654E1">
        <w:t>ome</w:t>
      </w:r>
      <w:r w:rsidRPr="00F176A1">
        <w:t xml:space="preserve"> activities </w:t>
      </w:r>
      <w:r>
        <w:t xml:space="preserve">in the current cultural and creative satellite account </w:t>
      </w:r>
      <w:r w:rsidRPr="005654E1">
        <w:t>may not</w:t>
      </w:r>
      <w:r w:rsidRPr="00F176A1">
        <w:t xml:space="preserve"> relate to either cultural or creative activity. For example, clothing retailing and wholesaling are included as creative output despite these industries being dominated by large companies not typically associated with the arts.</w:t>
      </w:r>
    </w:p>
    <w:p w:rsidR="00150382" w:rsidRPr="00F176A1" w:rsidRDefault="00150382" w:rsidP="00150382">
      <w:pPr>
        <w:pStyle w:val="Listparagraphbullets"/>
      </w:pPr>
      <w:r>
        <w:rPr>
          <w:lang w:val="en-US"/>
        </w:rPr>
        <w:t>Classifying ‘</w:t>
      </w:r>
      <w:r w:rsidRPr="00F176A1">
        <w:t>core</w:t>
      </w:r>
      <w:r>
        <w:rPr>
          <w:lang w:val="en-US"/>
        </w:rPr>
        <w:t>’</w:t>
      </w:r>
      <w:r w:rsidRPr="00F176A1">
        <w:t xml:space="preserve"> sectors of the cultural and creative economy</w:t>
      </w:r>
      <w:r>
        <w:t xml:space="preserve"> </w:t>
      </w:r>
      <w:r>
        <w:rPr>
          <w:lang w:val="en-US"/>
        </w:rPr>
        <w:t xml:space="preserve">may help to draw distinctions of this activity </w:t>
      </w:r>
      <w:r>
        <w:t>from</w:t>
      </w:r>
      <w:r>
        <w:rPr>
          <w:lang w:val="en-US"/>
        </w:rPr>
        <w:t xml:space="preserve"> wider and related sectors</w:t>
      </w:r>
      <w:r>
        <w:t xml:space="preserve"> </w:t>
      </w:r>
      <w:r w:rsidRPr="00F176A1">
        <w:t xml:space="preserve">that support this </w:t>
      </w:r>
      <w:r>
        <w:rPr>
          <w:lang w:val="en-US"/>
        </w:rPr>
        <w:t xml:space="preserve">core </w:t>
      </w:r>
      <w:r w:rsidRPr="00F176A1">
        <w:t>activity</w:t>
      </w:r>
      <w:r>
        <w:t>.</w:t>
      </w:r>
    </w:p>
    <w:p w:rsidR="00150382" w:rsidRPr="007B0140" w:rsidRDefault="00150382" w:rsidP="00150382">
      <w:pPr>
        <w:pStyle w:val="Listparagraphbullets"/>
      </w:pPr>
      <w:r>
        <w:rPr>
          <w:lang w:val="en-US"/>
        </w:rPr>
        <w:t xml:space="preserve">Considering international </w:t>
      </w:r>
      <w:r>
        <w:t>comparisons</w:t>
      </w:r>
      <w:r>
        <w:rPr>
          <w:lang w:val="en-US"/>
        </w:rPr>
        <w:t xml:space="preserve"> may highlight opportunities to align the </w:t>
      </w:r>
      <w:r>
        <w:t>scope and approach with current and emerging international approaches which consider cultural/creative activity</w:t>
      </w:r>
      <w:r>
        <w:rPr>
          <w:lang w:val="en-US"/>
        </w:rPr>
        <w:t xml:space="preserve"> (for example, approaches by the </w:t>
      </w:r>
      <w:r w:rsidRPr="00100308">
        <w:t>OECD</w:t>
      </w:r>
      <w:r w:rsidRPr="00571ADC">
        <w:rPr>
          <w:rStyle w:val="FootnoteReference"/>
        </w:rPr>
        <w:footnoteReference w:id="2"/>
      </w:r>
      <w:r>
        <w:t xml:space="preserve">, </w:t>
      </w:r>
      <w:r w:rsidRPr="00100308">
        <w:t>UNESCO</w:t>
      </w:r>
      <w:r w:rsidRPr="00571ADC">
        <w:rPr>
          <w:rStyle w:val="FootnoteReference"/>
        </w:rPr>
        <w:footnoteReference w:id="3"/>
      </w:r>
      <w:r>
        <w:t xml:space="preserve">, </w:t>
      </w:r>
      <w:r w:rsidRPr="00100308">
        <w:t>U</w:t>
      </w:r>
      <w:r>
        <w:rPr>
          <w:lang w:val="en-US"/>
        </w:rPr>
        <w:t>nited Kingdom</w:t>
      </w:r>
      <w:r w:rsidRPr="00571ADC">
        <w:rPr>
          <w:rStyle w:val="FootnoteReference"/>
        </w:rPr>
        <w:footnoteReference w:id="4"/>
      </w:r>
      <w:r>
        <w:t xml:space="preserve">, </w:t>
      </w:r>
      <w:r w:rsidRPr="00100308">
        <w:t>U</w:t>
      </w:r>
      <w:r>
        <w:rPr>
          <w:lang w:val="en-US"/>
        </w:rPr>
        <w:t xml:space="preserve">nited </w:t>
      </w:r>
      <w:r w:rsidRPr="00100308">
        <w:t>S</w:t>
      </w:r>
      <w:r>
        <w:rPr>
          <w:lang w:val="en-US"/>
        </w:rPr>
        <w:t>tates</w:t>
      </w:r>
      <w:r w:rsidRPr="00571ADC">
        <w:rPr>
          <w:rStyle w:val="FootnoteReference"/>
        </w:rPr>
        <w:footnoteReference w:id="5"/>
      </w:r>
      <w:r>
        <w:t>).</w:t>
      </w:r>
    </w:p>
    <w:p w:rsidR="00150382" w:rsidRDefault="00150382" w:rsidP="00150382">
      <w:pPr>
        <w:pStyle w:val="Listparagraphbullets"/>
      </w:pPr>
      <w:r>
        <w:t>The current scope of cultural and creative activity is based on, and consistent with, the Australian and New Zealand standard classifications of industries and occupations (ANZSIC</w:t>
      </w:r>
      <w:r>
        <w:rPr>
          <w:rStyle w:val="FootnoteReference"/>
        </w:rPr>
        <w:footnoteReference w:id="6"/>
      </w:r>
      <w:r>
        <w:t xml:space="preserve"> and ANZSCO</w:t>
      </w:r>
      <w:r>
        <w:rPr>
          <w:rStyle w:val="FootnoteReference"/>
        </w:rPr>
        <w:footnoteReference w:id="7"/>
      </w:r>
      <w:r>
        <w:t xml:space="preserve">). </w:t>
      </w:r>
      <w:r>
        <w:lastRenderedPageBreak/>
        <w:t>The ABS is undertaking a consultation process to review and update both classifications,</w:t>
      </w:r>
      <w:r>
        <w:rPr>
          <w:rStyle w:val="FootnoteReference"/>
        </w:rPr>
        <w:footnoteReference w:id="8"/>
      </w:r>
      <w:r>
        <w:rPr>
          <w:vertAlign w:val="superscript"/>
        </w:rPr>
        <w:t>,</w:t>
      </w:r>
      <w:r>
        <w:rPr>
          <w:rStyle w:val="FootnoteReference"/>
        </w:rPr>
        <w:footnoteReference w:id="9"/>
      </w:r>
      <w:r>
        <w:t xml:space="preserve"> which were last released in 2006. More contemporary classifications of ANZSIC and ANZSCO will improve the data collections and their analysis.</w:t>
      </w:r>
      <w:r>
        <w:rPr>
          <w:rStyle w:val="EndnoteReference"/>
        </w:rPr>
        <w:endnoteReference w:id="9"/>
      </w:r>
      <w:r>
        <w:t xml:space="preserve"> This will have implications for the use of industry and occupation classifications by the satellite account.</w:t>
      </w:r>
    </w:p>
    <w:p w:rsidR="00150382" w:rsidRPr="00F176A1" w:rsidRDefault="00150382" w:rsidP="00150382">
      <w:pPr>
        <w:pStyle w:val="Heading4"/>
        <w:rPr>
          <w:lang w:val="en-US"/>
        </w:rPr>
      </w:pPr>
      <w:bookmarkStart w:id="29" w:name="_Toc126581829"/>
      <w:bookmarkStart w:id="30" w:name="_Toc128051562"/>
      <w:r w:rsidRPr="00531C89">
        <w:rPr>
          <w:lang w:val="en-US"/>
        </w:rPr>
        <w:t>Methodology</w:t>
      </w:r>
      <w:bookmarkEnd w:id="29"/>
      <w:bookmarkEnd w:id="30"/>
    </w:p>
    <w:p w:rsidR="00150382" w:rsidRDefault="00150382" w:rsidP="00150382">
      <w:pPr>
        <w:pStyle w:val="Listparagraphbullets"/>
      </w:pPr>
      <w:r w:rsidRPr="00675520">
        <w:t xml:space="preserve">The construction of the satellite accounts is complex and is not well understood by stakeholders, </w:t>
      </w:r>
      <w:r w:rsidRPr="00571ADC">
        <w:t xml:space="preserve">which can </w:t>
      </w:r>
      <w:r w:rsidRPr="00675520">
        <w:t xml:space="preserve">result in information being incorrectly </w:t>
      </w:r>
      <w:r w:rsidRPr="00571ADC">
        <w:t xml:space="preserve">described or </w:t>
      </w:r>
      <w:r w:rsidRPr="00675520">
        <w:t>attributed.</w:t>
      </w:r>
      <w:r w:rsidRPr="00571ADC">
        <w:t xml:space="preserve"> Ensuring </w:t>
      </w:r>
      <w:r>
        <w:t xml:space="preserve">a </w:t>
      </w:r>
      <w:r w:rsidRPr="002126C6">
        <w:t>transparen</w:t>
      </w:r>
      <w:r>
        <w:t xml:space="preserve">t and replicable approach </w:t>
      </w:r>
      <w:r w:rsidRPr="00571ADC">
        <w:t xml:space="preserve">may help support </w:t>
      </w:r>
      <w:r>
        <w:t xml:space="preserve">better </w:t>
      </w:r>
      <w:r w:rsidRPr="00571ADC">
        <w:t xml:space="preserve">and more accurate </w:t>
      </w:r>
      <w:r>
        <w:t>use of the available data.</w:t>
      </w:r>
    </w:p>
    <w:p w:rsidR="00150382" w:rsidRDefault="00150382" w:rsidP="00150382">
      <w:pPr>
        <w:pStyle w:val="Listparagraphbullets"/>
      </w:pPr>
      <w:r w:rsidRPr="00E92B2A">
        <w:t xml:space="preserve">The current approach assumes that the weight of the </w:t>
      </w:r>
      <w:r>
        <w:rPr>
          <w:lang w:val="en-US"/>
        </w:rPr>
        <w:t>gross value added (</w:t>
      </w:r>
      <w:r w:rsidRPr="00E92B2A">
        <w:t>GVA</w:t>
      </w:r>
      <w:r>
        <w:rPr>
          <w:lang w:val="en-US"/>
        </w:rPr>
        <w:t>)</w:t>
      </w:r>
      <w:r>
        <w:rPr>
          <w:rStyle w:val="FootnoteReference"/>
          <w:lang w:val="en-US"/>
        </w:rPr>
        <w:footnoteReference w:id="10"/>
      </w:r>
      <w:r w:rsidRPr="00E92B2A">
        <w:t xml:space="preserve"> for each cultural or creative industry class within its underlying IOIG remain</w:t>
      </w:r>
      <w:r>
        <w:t>s</w:t>
      </w:r>
      <w:r w:rsidRPr="00E92B2A">
        <w:t xml:space="preserve"> constant since </w:t>
      </w:r>
      <w:r w:rsidR="00B371FA">
        <w:t>2008–09</w:t>
      </w:r>
      <w:r w:rsidRPr="00E92B2A">
        <w:t xml:space="preserve">. </w:t>
      </w:r>
      <w:r>
        <w:rPr>
          <w:lang w:val="en-US"/>
        </w:rPr>
        <w:t xml:space="preserve">Using </w:t>
      </w:r>
      <w:r>
        <w:t>updated data weights from the latest</w:t>
      </w:r>
      <w:r w:rsidRPr="00E92B2A">
        <w:t xml:space="preserve"> input-output tables</w:t>
      </w:r>
      <w:r>
        <w:t xml:space="preserve"> and applying a more detailed approach to benchmarking these weights may more accurately reflect current cultural and creative economic activity.</w:t>
      </w:r>
    </w:p>
    <w:p w:rsidR="00150382" w:rsidRPr="003B2680" w:rsidRDefault="00150382" w:rsidP="00150382">
      <w:pPr>
        <w:pStyle w:val="Listparagraphbullets"/>
      </w:pPr>
      <w:r w:rsidRPr="00DD45E4">
        <w:t>Changes</w:t>
      </w:r>
      <w:r>
        <w:rPr>
          <w:lang w:val="en-US"/>
        </w:rPr>
        <w:t xml:space="preserve"> to help avoid </w:t>
      </w:r>
      <w:r>
        <w:t xml:space="preserve">the risk </w:t>
      </w:r>
      <w:r>
        <w:rPr>
          <w:lang w:val="en-US"/>
        </w:rPr>
        <w:t xml:space="preserve">of double counting </w:t>
      </w:r>
      <w:r>
        <w:t>involved in estimating the economic contribution of cultural and creative activity from both the production and income sides of the ‘</w:t>
      </w:r>
      <w:r>
        <w:rPr>
          <w:lang w:val="en-US"/>
        </w:rPr>
        <w:t xml:space="preserve">creative </w:t>
      </w:r>
      <w:r>
        <w:t>trident’ framework</w:t>
      </w:r>
      <w:r>
        <w:rPr>
          <w:lang w:val="en-US"/>
        </w:rPr>
        <w:t xml:space="preserve"> (see Figure 2)</w:t>
      </w:r>
      <w:r>
        <w:t>.</w:t>
      </w:r>
    </w:p>
    <w:bookmarkEnd w:id="25"/>
    <w:p w:rsidR="00150382" w:rsidRDefault="00150382">
      <w:pPr>
        <w:spacing w:line="259" w:lineRule="auto"/>
      </w:pPr>
      <w:r>
        <w:br w:type="page"/>
      </w:r>
    </w:p>
    <w:p w:rsidR="00150382" w:rsidRDefault="00150382" w:rsidP="00F44BE1">
      <w:pPr>
        <w:pStyle w:val="Heading2"/>
      </w:pPr>
      <w:bookmarkStart w:id="31" w:name="_Toc126581830"/>
      <w:bookmarkStart w:id="32" w:name="_Toc128051563"/>
      <w:r>
        <w:lastRenderedPageBreak/>
        <w:t>Methodology review and proposed update</w:t>
      </w:r>
      <w:bookmarkEnd w:id="31"/>
      <w:bookmarkEnd w:id="32"/>
    </w:p>
    <w:p w:rsidR="00150382" w:rsidRPr="00CD370F" w:rsidRDefault="00150382" w:rsidP="00F44BE1">
      <w:pPr>
        <w:pStyle w:val="Heading3"/>
      </w:pPr>
      <w:bookmarkStart w:id="33" w:name="_Toc126581831"/>
      <w:bookmarkStart w:id="34" w:name="_Toc128051564"/>
      <w:r w:rsidRPr="00CD370F">
        <w:t>Existing approaches to defining cultural and creative industries</w:t>
      </w:r>
      <w:bookmarkEnd w:id="33"/>
      <w:bookmarkEnd w:id="34"/>
    </w:p>
    <w:p w:rsidR="00690C60" w:rsidRDefault="00150382" w:rsidP="00150382">
      <w:r>
        <w:t>Despite its importance to contemporary economies, economic analysis of cultural and creative activity has been limited, both in Australia and abroad. No universally</w:t>
      </w:r>
      <w:r>
        <w:softHyphen/>
        <w:t xml:space="preserve">-accepted definition exists for the scope of this activity and no international standard is available to construct a satellite accounts framework. </w:t>
      </w:r>
      <w:bookmarkStart w:id="35" w:name="_Hlk125019992"/>
      <w:r>
        <w:t xml:space="preserve">Country specific activities may also be important to consider. </w:t>
      </w:r>
      <w:bookmarkEnd w:id="35"/>
      <w:r>
        <w:t>Accordingly, a range of models of cultural and/or creative activity have been developed based on how industry classification systems identify the scope of this activity (</w:t>
      </w:r>
      <w:r>
        <w:fldChar w:fldCharType="begin"/>
      </w:r>
      <w:r>
        <w:instrText xml:space="preserve"> REF _Ref119056299 \h </w:instrText>
      </w:r>
      <w:r>
        <w:fldChar w:fldCharType="separate"/>
      </w:r>
      <w:r>
        <w:t xml:space="preserve">Table </w:t>
      </w:r>
      <w:r>
        <w:rPr>
          <w:noProof/>
        </w:rPr>
        <w:t>1</w:t>
      </w:r>
      <w:r>
        <w:fldChar w:fldCharType="end"/>
      </w:r>
      <w:r>
        <w:t>)</w:t>
      </w:r>
      <w:r w:rsidR="00690C60">
        <w:t>.</w:t>
      </w:r>
    </w:p>
    <w:p w:rsidR="00150382" w:rsidRDefault="00150382" w:rsidP="00F44BE1">
      <w:pPr>
        <w:pStyle w:val="Tablefigureheading"/>
      </w:pPr>
      <w:bookmarkStart w:id="36" w:name="_Ref119056299"/>
      <w:bookmarkStart w:id="37" w:name="_Toc126581850"/>
      <w:bookmarkStart w:id="38" w:name="_Toc127959252"/>
      <w:bookmarkStart w:id="39" w:name="_Toc127959274"/>
      <w:r>
        <w:t xml:space="preserve">Table </w:t>
      </w:r>
      <w:r w:rsidR="00C102F1">
        <w:fldChar w:fldCharType="begin"/>
      </w:r>
      <w:r w:rsidR="00C102F1">
        <w:instrText xml:space="preserve"> SEQ Table \* ARABIC </w:instrText>
      </w:r>
      <w:r w:rsidR="00C102F1">
        <w:fldChar w:fldCharType="separate"/>
      </w:r>
      <w:r w:rsidR="00113F51">
        <w:rPr>
          <w:noProof/>
        </w:rPr>
        <w:t>1</w:t>
      </w:r>
      <w:r w:rsidR="00C102F1">
        <w:rPr>
          <w:noProof/>
        </w:rPr>
        <w:fldChar w:fldCharType="end"/>
      </w:r>
      <w:bookmarkEnd w:id="36"/>
      <w:r>
        <w:t>. Selected models for cultural and creative industries</w:t>
      </w:r>
      <w:bookmarkEnd w:id="37"/>
      <w:bookmarkEnd w:id="38"/>
      <w:bookmarkEnd w:id="39"/>
    </w:p>
    <w:tbl>
      <w:tblPr>
        <w:tblStyle w:val="DefaultTable1"/>
        <w:tblW w:w="9781" w:type="dxa"/>
        <w:tblBorders>
          <w:top w:val="none" w:sz="0" w:space="0" w:color="auto"/>
          <w:bottom w:val="none" w:sz="0" w:space="0" w:color="auto"/>
          <w:insideH w:val="none" w:sz="0" w:space="0" w:color="auto"/>
        </w:tblBorders>
        <w:tblLook w:val="04E0" w:firstRow="1" w:lastRow="1" w:firstColumn="1" w:lastColumn="0" w:noHBand="0" w:noVBand="1"/>
        <w:tblDescription w:val="Table 1. Selected models for cultural and creative industries"/>
      </w:tblPr>
      <w:tblGrid>
        <w:gridCol w:w="1985"/>
        <w:gridCol w:w="3118"/>
        <w:gridCol w:w="4678"/>
      </w:tblGrid>
      <w:tr w:rsidR="00150382" w:rsidTr="00763A1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081E3E"/>
            <w:hideMark/>
          </w:tcPr>
          <w:p w:rsidR="00150382" w:rsidRDefault="00150382" w:rsidP="00150382">
            <w:bookmarkStart w:id="40" w:name="_Hlk117264986"/>
            <w:r>
              <w:t>Model / framework</w:t>
            </w:r>
          </w:p>
        </w:tc>
        <w:tc>
          <w:tcPr>
            <w:tcW w:w="3118" w:type="dxa"/>
            <w:tcBorders>
              <w:top w:val="none" w:sz="0" w:space="0" w:color="auto"/>
              <w:bottom w:val="none" w:sz="0" w:space="0" w:color="auto"/>
            </w:tcBorders>
            <w:shd w:val="clear" w:color="auto" w:fill="081E3E"/>
            <w:hideMark/>
          </w:tcPr>
          <w:p w:rsidR="00150382" w:rsidRDefault="00150382" w:rsidP="00150382">
            <w:pPr>
              <w:cnfStyle w:val="100000000000" w:firstRow="1" w:lastRow="0" w:firstColumn="0" w:lastColumn="0" w:oddVBand="0" w:evenVBand="0" w:oddHBand="0" w:evenHBand="0" w:firstRowFirstColumn="0" w:firstRowLastColumn="0" w:lastRowFirstColumn="0" w:lastRowLastColumn="0"/>
            </w:pPr>
            <w:r>
              <w:t>Organisation / source</w:t>
            </w:r>
          </w:p>
        </w:tc>
        <w:tc>
          <w:tcPr>
            <w:tcW w:w="4678" w:type="dxa"/>
            <w:tcBorders>
              <w:top w:val="none" w:sz="0" w:space="0" w:color="auto"/>
              <w:bottom w:val="none" w:sz="0" w:space="0" w:color="auto"/>
            </w:tcBorders>
            <w:shd w:val="clear" w:color="auto" w:fill="081E3E"/>
            <w:hideMark/>
          </w:tcPr>
          <w:p w:rsidR="00150382" w:rsidRDefault="00150382" w:rsidP="00150382">
            <w:pPr>
              <w:cnfStyle w:val="100000000000" w:firstRow="1" w:lastRow="0" w:firstColumn="0" w:lastColumn="0" w:oddVBand="0" w:evenVBand="0" w:oddHBand="0" w:evenHBand="0" w:firstRowFirstColumn="0" w:firstRowLastColumn="0" w:lastRowFirstColumn="0" w:lastRowLastColumn="0"/>
            </w:pPr>
            <w:r>
              <w:t>Detail</w:t>
            </w:r>
          </w:p>
        </w:tc>
      </w:tr>
      <w:tr w:rsidR="00150382" w:rsidTr="00763A1C">
        <w:trPr>
          <w:cantSplit/>
        </w:trPr>
        <w:tc>
          <w:tcPr>
            <w:cnfStyle w:val="001000000000" w:firstRow="0" w:lastRow="0" w:firstColumn="1" w:lastColumn="0" w:oddVBand="0" w:evenVBand="0" w:oddHBand="0" w:evenHBand="0" w:firstRowFirstColumn="0" w:firstRowLastColumn="0" w:lastRowFirstColumn="0" w:lastRowLastColumn="0"/>
            <w:tcW w:w="1985" w:type="dxa"/>
            <w:hideMark/>
          </w:tcPr>
          <w:p w:rsidR="00150382" w:rsidRDefault="00150382" w:rsidP="00150382">
            <w:r>
              <w:t>DCMS model</w:t>
            </w:r>
          </w:p>
        </w:tc>
        <w:tc>
          <w:tcPr>
            <w:tcW w:w="3118" w:type="dxa"/>
            <w:hideMark/>
          </w:tcPr>
          <w:p w:rsidR="00150382" w:rsidRDefault="00150382" w:rsidP="00150382">
            <w:pPr>
              <w:cnfStyle w:val="000000000000" w:firstRow="0" w:lastRow="0" w:firstColumn="0" w:lastColumn="0" w:oddVBand="0" w:evenVBand="0" w:oddHBand="0" w:evenHBand="0" w:firstRowFirstColumn="0" w:firstRowLastColumn="0" w:lastRowFirstColumn="0" w:lastRowLastColumn="0"/>
            </w:pPr>
            <w:r>
              <w:t>UK Department of Culture, Media and Sport</w:t>
            </w:r>
          </w:p>
        </w:tc>
        <w:tc>
          <w:tcPr>
            <w:tcW w:w="4678" w:type="dxa"/>
            <w:hideMark/>
          </w:tcPr>
          <w:p w:rsidR="00150382" w:rsidRDefault="00150382" w:rsidP="00150382">
            <w:pPr>
              <w:cnfStyle w:val="000000000000" w:firstRow="0" w:lastRow="0" w:firstColumn="0" w:lastColumn="0" w:oddVBand="0" w:evenVBand="0" w:oddHBand="0" w:evenHBand="0" w:firstRowFirstColumn="0" w:firstRowLastColumn="0" w:lastRowFirstColumn="0" w:lastRowLastColumn="0"/>
            </w:pPr>
            <w:r>
              <w:t>This model defines creative industries as ‘those industries which have their origin in individual creativity, skill and talent and which have a potential for wealth and job creation through the generation and exploitation of intellectual property.’</w:t>
            </w:r>
            <w:r>
              <w:rPr>
                <w:rStyle w:val="EndnoteReference"/>
              </w:rPr>
              <w:endnoteReference w:id="10"/>
            </w:r>
          </w:p>
        </w:tc>
      </w:tr>
      <w:tr w:rsidR="00150382" w:rsidTr="00763A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rsidR="00150382" w:rsidRDefault="00150382" w:rsidP="00150382">
            <w:r w:rsidRPr="00DC6096">
              <w:t>Concentric circles model</w:t>
            </w:r>
          </w:p>
        </w:tc>
        <w:tc>
          <w:tcPr>
            <w:tcW w:w="3118" w:type="dxa"/>
          </w:tcPr>
          <w:p w:rsidR="00150382" w:rsidRDefault="00150382" w:rsidP="00150382">
            <w:pPr>
              <w:cnfStyle w:val="000000010000" w:firstRow="0" w:lastRow="0" w:firstColumn="0" w:lastColumn="0" w:oddVBand="0" w:evenVBand="0" w:oddHBand="0" w:evenHBand="1" w:firstRowFirstColumn="0" w:firstRowLastColumn="0" w:lastRowFirstColumn="0" w:lastRowLastColumn="0"/>
            </w:pPr>
            <w:r>
              <w:t xml:space="preserve">Throsby, D. (2001), </w:t>
            </w:r>
            <w:r w:rsidRPr="00DC6096">
              <w:rPr>
                <w:i/>
              </w:rPr>
              <w:t>Economics and Culture</w:t>
            </w:r>
            <w:r>
              <w:t>, Cambridge: Cambridge University Press, 2001</w:t>
            </w:r>
          </w:p>
        </w:tc>
        <w:tc>
          <w:tcPr>
            <w:tcW w:w="4678" w:type="dxa"/>
          </w:tcPr>
          <w:p w:rsidR="00690C60" w:rsidRDefault="00150382" w:rsidP="00150382">
            <w:pPr>
              <w:cnfStyle w:val="000000010000" w:firstRow="0" w:lastRow="0" w:firstColumn="0" w:lastColumn="0" w:oddVBand="0" w:evenVBand="0" w:oddHBand="0" w:evenHBand="1" w:firstRowFirstColumn="0" w:firstRowLastColumn="0" w:lastRowFirstColumn="0" w:lastRowLastColumn="0"/>
            </w:pPr>
            <w:r>
              <w:t>This model was based on the origin and diffusion of creative ideas in sound, text and image from core creative arts</w:t>
            </w:r>
            <w:r w:rsidR="00690C60">
              <w:t>.</w:t>
            </w:r>
          </w:p>
          <w:p w:rsidR="00150382" w:rsidRDefault="00150382" w:rsidP="00150382">
            <w:pPr>
              <w:cnfStyle w:val="000000010000" w:firstRow="0" w:lastRow="0" w:firstColumn="0" w:lastColumn="0" w:oddVBand="0" w:evenVBand="0" w:oddHBand="0" w:evenHBand="1" w:firstRowFirstColumn="0" w:firstRowLastColumn="0" w:lastRowFirstColumn="0" w:lastRowLastColumn="0"/>
            </w:pPr>
            <w:r>
              <w:t>It was used to develop our current definition of cultural and creative activity.</w:t>
            </w:r>
          </w:p>
        </w:tc>
      </w:tr>
      <w:tr w:rsidR="00150382" w:rsidTr="00763A1C">
        <w:trPr>
          <w:cantSplit/>
        </w:trPr>
        <w:tc>
          <w:tcPr>
            <w:cnfStyle w:val="001000000000" w:firstRow="0" w:lastRow="0" w:firstColumn="1" w:lastColumn="0" w:oddVBand="0" w:evenVBand="0" w:oddHBand="0" w:evenHBand="0" w:firstRowFirstColumn="0" w:firstRowLastColumn="0" w:lastRowFirstColumn="0" w:lastRowLastColumn="0"/>
            <w:tcW w:w="1985" w:type="dxa"/>
          </w:tcPr>
          <w:p w:rsidR="00150382" w:rsidRDefault="00150382" w:rsidP="00150382">
            <w:r>
              <w:t>Nesta/ CIIC model/ QUT</w:t>
            </w:r>
          </w:p>
        </w:tc>
        <w:tc>
          <w:tcPr>
            <w:tcW w:w="3118" w:type="dxa"/>
          </w:tcPr>
          <w:p w:rsidR="00150382" w:rsidRDefault="00150382" w:rsidP="00150382">
            <w:pPr>
              <w:cnfStyle w:val="000000000000" w:firstRow="0" w:lastRow="0" w:firstColumn="0" w:lastColumn="0" w:oddVBand="0" w:evenVBand="0" w:oddHBand="0" w:evenHBand="0" w:firstRowFirstColumn="0" w:firstRowLastColumn="0" w:lastRowFirstColumn="0" w:lastRowLastColumn="0"/>
            </w:pPr>
            <w:r w:rsidRPr="009450F6">
              <w:t>National Endowment for Science, Technology and the Art</w:t>
            </w:r>
            <w:r>
              <w:t xml:space="preserve">s (UK) / Creative Industry Innovation Centre / </w:t>
            </w:r>
            <w:r w:rsidRPr="00D74D48">
              <w:t>Queensland University of Technology</w:t>
            </w:r>
          </w:p>
        </w:tc>
        <w:tc>
          <w:tcPr>
            <w:tcW w:w="4678" w:type="dxa"/>
          </w:tcPr>
          <w:p w:rsidR="00150382" w:rsidRDefault="00150382" w:rsidP="00150382">
            <w:pPr>
              <w:cnfStyle w:val="000000000000" w:firstRow="0" w:lastRow="0" w:firstColumn="0" w:lastColumn="0" w:oddVBand="0" w:evenVBand="0" w:oddHBand="0" w:evenHBand="0" w:firstRowFirstColumn="0" w:firstRowLastColumn="0" w:lastRowFirstColumn="0" w:lastRowLastColumn="0"/>
            </w:pPr>
            <w:r>
              <w:t>The Nesta/CIIC model was built based on the DCMS model. The method used focused on a measure of creative intensity, which was defined as the proportion of workers in any given creative industry engaged in a creative occupation.</w:t>
            </w:r>
            <w:r>
              <w:rPr>
                <w:rStyle w:val="EndnoteReference"/>
              </w:rPr>
              <w:endnoteReference w:id="11"/>
            </w:r>
          </w:p>
          <w:p w:rsidR="00150382" w:rsidRDefault="00150382" w:rsidP="00150382">
            <w:pPr>
              <w:cnfStyle w:val="000000000000" w:firstRow="0" w:lastRow="0" w:firstColumn="0" w:lastColumn="0" w:oddVBand="0" w:evenVBand="0" w:oddHBand="0" w:evenHBand="0" w:firstRowFirstColumn="0" w:firstRowLastColumn="0" w:lastRowFirstColumn="0" w:lastRowLastColumn="0"/>
            </w:pPr>
            <w:r>
              <w:t>In 2014, QUT applied the Nesta methodology to the Australian system of industry and occupation classifications.</w:t>
            </w:r>
            <w:r>
              <w:rPr>
                <w:rStyle w:val="EndnoteReference"/>
              </w:rPr>
              <w:endnoteReference w:id="12"/>
            </w:r>
          </w:p>
        </w:tc>
      </w:tr>
      <w:tr w:rsidR="00150382" w:rsidTr="00763A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rsidR="00150382" w:rsidRDefault="00150382" w:rsidP="00150382">
            <w:r w:rsidRPr="00824B04">
              <w:t>UIS trade-related model</w:t>
            </w:r>
          </w:p>
        </w:tc>
        <w:tc>
          <w:tcPr>
            <w:tcW w:w="3118" w:type="dxa"/>
          </w:tcPr>
          <w:p w:rsidR="00150382" w:rsidRPr="001779D1" w:rsidRDefault="00150382" w:rsidP="00150382">
            <w:pPr>
              <w:cnfStyle w:val="000000010000" w:firstRow="0" w:lastRow="0" w:firstColumn="0" w:lastColumn="0" w:oddVBand="0" w:evenVBand="0" w:oddHBand="0" w:evenHBand="1" w:firstRowFirstColumn="0" w:firstRowLastColumn="0" w:lastRowFirstColumn="0" w:lastRowLastColumn="0"/>
            </w:pPr>
            <w:r w:rsidRPr="001779D1">
              <w:t>UNESCO Institute for Statistics</w:t>
            </w:r>
          </w:p>
        </w:tc>
        <w:tc>
          <w:tcPr>
            <w:tcW w:w="4678" w:type="dxa"/>
          </w:tcPr>
          <w:p w:rsidR="00150382" w:rsidRPr="001779D1" w:rsidRDefault="00150382" w:rsidP="00150382">
            <w:pPr>
              <w:cnfStyle w:val="000000010000" w:firstRow="0" w:lastRow="0" w:firstColumn="0" w:lastColumn="0" w:oddVBand="0" w:evenVBand="0" w:oddHBand="0" w:evenHBand="1" w:firstRowFirstColumn="0" w:firstRowLastColumn="0" w:lastRowFirstColumn="0" w:lastRowLastColumn="0"/>
            </w:pPr>
            <w:r w:rsidRPr="001779D1">
              <w:t>This model was based on cultural goods and services entering international trade.</w:t>
            </w:r>
            <w:r>
              <w:rPr>
                <w:rStyle w:val="EndnoteReference"/>
              </w:rPr>
              <w:endnoteReference w:id="13"/>
            </w:r>
          </w:p>
        </w:tc>
      </w:tr>
      <w:tr w:rsidR="00150382" w:rsidTr="00763A1C">
        <w:trPr>
          <w:cantSplit/>
          <w:trHeight w:val="1080"/>
        </w:trPr>
        <w:tc>
          <w:tcPr>
            <w:cnfStyle w:val="001000000000" w:firstRow="0" w:lastRow="0" w:firstColumn="1" w:lastColumn="0" w:oddVBand="0" w:evenVBand="0" w:oddHBand="0" w:evenHBand="0" w:firstRowFirstColumn="0" w:firstRowLastColumn="0" w:lastRowFirstColumn="0" w:lastRowLastColumn="0"/>
            <w:tcW w:w="1985" w:type="dxa"/>
          </w:tcPr>
          <w:p w:rsidR="00150382" w:rsidRPr="00824B04" w:rsidRDefault="00150382" w:rsidP="00150382">
            <w:pPr>
              <w:rPr>
                <w:b w:val="0"/>
              </w:rPr>
            </w:pPr>
            <w:r w:rsidRPr="008B1541">
              <w:t>UNESCO framework</w:t>
            </w:r>
            <w:r w:rsidRPr="00DF7932">
              <w:rPr>
                <w:rStyle w:val="EndnoteReference"/>
              </w:rPr>
              <w:endnoteReference w:id="14"/>
            </w:r>
          </w:p>
        </w:tc>
        <w:tc>
          <w:tcPr>
            <w:tcW w:w="3118" w:type="dxa"/>
          </w:tcPr>
          <w:p w:rsidR="00150382" w:rsidRPr="001779D1" w:rsidRDefault="00150382" w:rsidP="00150382">
            <w:pPr>
              <w:cnfStyle w:val="000000000000" w:firstRow="0" w:lastRow="0" w:firstColumn="0" w:lastColumn="0" w:oddVBand="0" w:evenVBand="0" w:oddHBand="0" w:evenHBand="0" w:firstRowFirstColumn="0" w:firstRowLastColumn="0" w:lastRowFirstColumn="0" w:lastRowLastColumn="0"/>
            </w:pPr>
            <w:r w:rsidRPr="001779D1">
              <w:t>United Nations Educational, Scientific and Cultural Organisation</w:t>
            </w:r>
          </w:p>
        </w:tc>
        <w:tc>
          <w:tcPr>
            <w:tcW w:w="4678" w:type="dxa"/>
          </w:tcPr>
          <w:p w:rsidR="00150382" w:rsidRPr="001779D1" w:rsidRDefault="00150382" w:rsidP="00150382">
            <w:pPr>
              <w:cnfStyle w:val="000000000000" w:firstRow="0" w:lastRow="0" w:firstColumn="0" w:lastColumn="0" w:oddVBand="0" w:evenVBand="0" w:oddHBand="0" w:evenHBand="0" w:firstRowFirstColumn="0" w:firstRowLastColumn="0" w:lastRowFirstColumn="0" w:lastRowLastColumn="0"/>
            </w:pPr>
            <w:r w:rsidRPr="001779D1">
              <w:t>This publication examined multiple models and methodologies used internationally.</w:t>
            </w:r>
            <w:r>
              <w:t xml:space="preserve"> The UNESCO Framework for Cultural Statistics defines culture through the identification and measurement of the behaviours and practices resulting from the beliefs and values of a society or a social group.</w:t>
            </w:r>
            <w:r>
              <w:rPr>
                <w:rStyle w:val="EndnoteReference"/>
              </w:rPr>
              <w:endnoteReference w:id="15"/>
            </w:r>
          </w:p>
        </w:tc>
      </w:tr>
      <w:tr w:rsidR="00150382" w:rsidTr="00763A1C">
        <w:trPr>
          <w:cnfStyle w:val="000000010000" w:firstRow="0" w:lastRow="0" w:firstColumn="0" w:lastColumn="0" w:oddVBand="0" w:evenVBand="0" w:oddHBand="0" w:evenHBand="1" w:firstRowFirstColumn="0" w:firstRowLastColumn="0" w:lastRowFirstColumn="0" w:lastRowLastColumn="0"/>
          <w:cantSplit/>
          <w:trHeight w:val="1080"/>
        </w:trPr>
        <w:tc>
          <w:tcPr>
            <w:cnfStyle w:val="001000000000" w:firstRow="0" w:lastRow="0" w:firstColumn="1" w:lastColumn="0" w:oddVBand="0" w:evenVBand="0" w:oddHBand="0" w:evenHBand="0" w:firstRowFirstColumn="0" w:firstRowLastColumn="0" w:lastRowFirstColumn="0" w:lastRowLastColumn="0"/>
            <w:tcW w:w="1985" w:type="dxa"/>
          </w:tcPr>
          <w:p w:rsidR="00150382" w:rsidRPr="008B1541" w:rsidRDefault="00150382" w:rsidP="00150382">
            <w:r>
              <w:t>The European framework for cultural statistics</w:t>
            </w:r>
          </w:p>
        </w:tc>
        <w:tc>
          <w:tcPr>
            <w:tcW w:w="3118" w:type="dxa"/>
          </w:tcPr>
          <w:p w:rsidR="00150382" w:rsidRPr="001779D1" w:rsidRDefault="00150382" w:rsidP="00150382">
            <w:pPr>
              <w:cnfStyle w:val="000000010000" w:firstRow="0" w:lastRow="0" w:firstColumn="0" w:lastColumn="0" w:oddVBand="0" w:evenVBand="0" w:oddHBand="0" w:evenHBand="1" w:firstRowFirstColumn="0" w:firstRowLastColumn="0" w:lastRowFirstColumn="0" w:lastRowLastColumn="0"/>
            </w:pPr>
            <w:r w:rsidRPr="00E67C30">
              <w:t>European Statistical System Network on Culture</w:t>
            </w:r>
            <w:r>
              <w:t xml:space="preserve"> (</w:t>
            </w:r>
            <w:proofErr w:type="spellStart"/>
            <w:r>
              <w:t>ESSnet</w:t>
            </w:r>
            <w:proofErr w:type="spellEnd"/>
            <w:r>
              <w:t>-Culture)</w:t>
            </w:r>
          </w:p>
        </w:tc>
        <w:tc>
          <w:tcPr>
            <w:tcW w:w="4678" w:type="dxa"/>
          </w:tcPr>
          <w:p w:rsidR="00150382" w:rsidRPr="001779D1" w:rsidRDefault="00150382" w:rsidP="00150382">
            <w:pPr>
              <w:cnfStyle w:val="000000010000" w:firstRow="0" w:lastRow="0" w:firstColumn="0" w:lastColumn="0" w:oddVBand="0" w:evenVBand="0" w:oddHBand="0" w:evenHBand="1" w:firstRowFirstColumn="0" w:firstRowLastColumn="0" w:lastRowFirstColumn="0" w:lastRowLastColumn="0"/>
            </w:pPr>
            <w:r>
              <w:t xml:space="preserve">This framework updated </w:t>
            </w:r>
            <w:r w:rsidRPr="00E67C30">
              <w:t>the</w:t>
            </w:r>
            <w:r>
              <w:t xml:space="preserve"> framework established by the </w:t>
            </w:r>
            <w:r w:rsidRPr="00360C85">
              <w:t>Leadership Group Culture (LEG-Culture)</w:t>
            </w:r>
            <w:r>
              <w:t>, with ten cultural domains and six cultural functions being organised.</w:t>
            </w:r>
            <w:r>
              <w:rPr>
                <w:rStyle w:val="EndnoteReference"/>
              </w:rPr>
              <w:endnoteReference w:id="16"/>
            </w:r>
          </w:p>
        </w:tc>
      </w:tr>
      <w:tr w:rsidR="00150382" w:rsidTr="00763A1C">
        <w:trPr>
          <w:cantSplit/>
          <w:trHeight w:val="1080"/>
        </w:trPr>
        <w:tc>
          <w:tcPr>
            <w:cnfStyle w:val="001000000000" w:firstRow="0" w:lastRow="0" w:firstColumn="1" w:lastColumn="0" w:oddVBand="0" w:evenVBand="0" w:oddHBand="0" w:evenHBand="0" w:firstRowFirstColumn="0" w:firstRowLastColumn="0" w:lastRowFirstColumn="0" w:lastRowLastColumn="0"/>
            <w:tcW w:w="1985" w:type="dxa"/>
          </w:tcPr>
          <w:p w:rsidR="00150382" w:rsidRPr="008B1541" w:rsidRDefault="00150382" w:rsidP="00150382">
            <w:pPr>
              <w:rPr>
                <w:b w:val="0"/>
              </w:rPr>
            </w:pPr>
            <w:r w:rsidRPr="001779D1">
              <w:t>Arts and Cultural Production Satellite Account (ACPSA)</w:t>
            </w:r>
          </w:p>
        </w:tc>
        <w:tc>
          <w:tcPr>
            <w:tcW w:w="3118" w:type="dxa"/>
          </w:tcPr>
          <w:p w:rsidR="00150382" w:rsidRPr="00962D07" w:rsidRDefault="00150382" w:rsidP="00F44BE1">
            <w:pPr>
              <w:cnfStyle w:val="000000000000" w:firstRow="0" w:lastRow="0" w:firstColumn="0" w:lastColumn="0" w:oddVBand="0" w:evenVBand="0" w:oddHBand="0" w:evenHBand="0" w:firstRowFirstColumn="0" w:firstRowLastColumn="0" w:lastRowFirstColumn="0" w:lastRowLastColumn="0"/>
            </w:pPr>
            <w:r w:rsidRPr="00962D07">
              <w:t xml:space="preserve">US Bureau of </w:t>
            </w:r>
            <w:r>
              <w:t xml:space="preserve">Economic </w:t>
            </w:r>
            <w:r w:rsidRPr="00962D07">
              <w:t>Analysis and the National Endowment for the Arts</w:t>
            </w:r>
          </w:p>
        </w:tc>
        <w:tc>
          <w:tcPr>
            <w:tcW w:w="4678" w:type="dxa"/>
          </w:tcPr>
          <w:p w:rsidR="00150382" w:rsidRPr="00962D07" w:rsidRDefault="00150382" w:rsidP="00150382">
            <w:pPr>
              <w:cnfStyle w:val="000000000000" w:firstRow="0" w:lastRow="0" w:firstColumn="0" w:lastColumn="0" w:oddVBand="0" w:evenVBand="0" w:oddHBand="0" w:evenHBand="0" w:firstRowFirstColumn="0" w:firstRowLastColumn="0" w:lastRowFirstColumn="0" w:lastRowLastColumn="0"/>
            </w:pPr>
            <w:r w:rsidRPr="00962D07">
              <w:t xml:space="preserve">This model is largely consistent with the definitions used by the United Nations and the EU, and </w:t>
            </w:r>
            <w:r w:rsidRPr="00B55B9D">
              <w:t xml:space="preserve">is </w:t>
            </w:r>
            <w:r w:rsidRPr="00962D07">
              <w:t>based on</w:t>
            </w:r>
            <w:r w:rsidRPr="00B55B9D">
              <w:t xml:space="preserve"> an</w:t>
            </w:r>
            <w:r w:rsidRPr="00962D07">
              <w:t xml:space="preserve"> input-output (I-O) framework to conduct an in</w:t>
            </w:r>
            <w:r w:rsidRPr="00962D07">
              <w:noBreakHyphen/>
              <w:t>depth analysis of the arts and cultural sector’s contribution to domestic product (GDP).</w:t>
            </w:r>
            <w:r w:rsidRPr="00962D07">
              <w:rPr>
                <w:rStyle w:val="EndnoteReference"/>
              </w:rPr>
              <w:endnoteReference w:id="17"/>
            </w:r>
          </w:p>
        </w:tc>
      </w:tr>
      <w:tr w:rsidR="00150382" w:rsidTr="00763A1C">
        <w:trPr>
          <w:cnfStyle w:val="000000010000" w:firstRow="0" w:lastRow="0" w:firstColumn="0" w:lastColumn="0" w:oddVBand="0" w:evenVBand="0" w:oddHBand="0" w:evenHBand="1" w:firstRowFirstColumn="0" w:firstRowLastColumn="0" w:lastRowFirstColumn="0" w:lastRowLastColumn="0"/>
          <w:cantSplit/>
          <w:trHeight w:val="108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150382" w:rsidRPr="005A76D2" w:rsidRDefault="00150382" w:rsidP="00150382">
            <w:pPr>
              <w:rPr>
                <w:bCs/>
              </w:rPr>
            </w:pPr>
            <w:r w:rsidRPr="007B77A7">
              <w:rPr>
                <w:bCs/>
              </w:rPr>
              <w:lastRenderedPageBreak/>
              <w:t>Canadian Framework for Culture Statistics</w:t>
            </w:r>
          </w:p>
        </w:tc>
        <w:tc>
          <w:tcPr>
            <w:tcW w:w="3118" w:type="dxa"/>
            <w:shd w:val="clear" w:color="auto" w:fill="FFFFFF" w:themeFill="background1"/>
          </w:tcPr>
          <w:p w:rsidR="00150382" w:rsidRPr="001779D1" w:rsidRDefault="00150382" w:rsidP="00150382">
            <w:pPr>
              <w:cnfStyle w:val="000000010000" w:firstRow="0" w:lastRow="0" w:firstColumn="0" w:lastColumn="0" w:oddVBand="0" w:evenVBand="0" w:oddHBand="0" w:evenHBand="1" w:firstRowFirstColumn="0" w:firstRowLastColumn="0" w:lastRowFirstColumn="0" w:lastRowLastColumn="0"/>
              <w:rPr>
                <w:b/>
              </w:rPr>
            </w:pPr>
            <w:r w:rsidRPr="007B77A7">
              <w:t>Statistic</w:t>
            </w:r>
            <w:r>
              <w:t>s</w:t>
            </w:r>
            <w:r w:rsidRPr="007B77A7">
              <w:t xml:space="preserve"> Canada</w:t>
            </w:r>
          </w:p>
        </w:tc>
        <w:tc>
          <w:tcPr>
            <w:tcW w:w="4678" w:type="dxa"/>
            <w:shd w:val="clear" w:color="auto" w:fill="FFFFFF" w:themeFill="background1"/>
          </w:tcPr>
          <w:p w:rsidR="00150382" w:rsidRDefault="00150382" w:rsidP="00F44BE1">
            <w:pPr>
              <w:cnfStyle w:val="000000010000" w:firstRow="0" w:lastRow="0" w:firstColumn="0" w:lastColumn="0" w:oddVBand="0" w:evenVBand="0" w:oddHBand="0" w:evenHBand="1" w:firstRowFirstColumn="0" w:firstRowLastColumn="0" w:lastRowFirstColumn="0" w:lastRowLastColumn="0"/>
              <w:rPr>
                <w:b/>
              </w:rPr>
            </w:pPr>
            <w:r w:rsidRPr="005A7045">
              <w:t>For the purpose of measurement, culture is defined as ‘c</w:t>
            </w:r>
            <w:r w:rsidRPr="005A7045">
              <w:rPr>
                <w:bCs/>
              </w:rPr>
              <w:t>reative artistic activity and the goods and services produced by it, and the preservation of heritage’.</w:t>
            </w:r>
            <w:r w:rsidRPr="005A7045">
              <w:rPr>
                <w:rStyle w:val="EndnoteReference"/>
                <w:bCs/>
              </w:rPr>
              <w:endnoteReference w:id="18"/>
            </w:r>
          </w:p>
        </w:tc>
      </w:tr>
      <w:tr w:rsidR="00150382" w:rsidTr="00763A1C">
        <w:trPr>
          <w:cnfStyle w:val="010000000000" w:firstRow="0" w:lastRow="1" w:firstColumn="0" w:lastColumn="0" w:oddVBand="0" w:evenVBand="0" w:oddHBand="0" w:evenHBand="0" w:firstRowFirstColumn="0" w:firstRowLastColumn="0" w:lastRowFirstColumn="0" w:lastRowLastColumn="0"/>
          <w:cantSplit/>
          <w:trHeight w:val="1080"/>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tcPr>
          <w:p w:rsidR="00150382" w:rsidRPr="005A7045" w:rsidRDefault="00150382" w:rsidP="00150382">
            <w:pPr>
              <w:rPr>
                <w:bCs/>
              </w:rPr>
            </w:pPr>
            <w:r w:rsidRPr="005A7045">
              <w:rPr>
                <w:bCs/>
              </w:rPr>
              <w:t>Creative industries mapping</w:t>
            </w:r>
            <w:r>
              <w:rPr>
                <w:bCs/>
              </w:rPr>
              <w:t xml:space="preserve"> framework</w:t>
            </w:r>
          </w:p>
        </w:tc>
        <w:tc>
          <w:tcPr>
            <w:tcW w:w="3118" w:type="dxa"/>
            <w:shd w:val="clear" w:color="auto" w:fill="F2F2F2" w:themeFill="background1" w:themeFillShade="F2"/>
          </w:tcPr>
          <w:p w:rsidR="00150382" w:rsidRPr="007B77A7" w:rsidRDefault="00150382" w:rsidP="00150382">
            <w:pPr>
              <w:cnfStyle w:val="010000000000" w:firstRow="0" w:lastRow="1" w:firstColumn="0" w:lastColumn="0" w:oddVBand="0" w:evenVBand="0" w:oddHBand="0" w:evenHBand="0" w:firstRowFirstColumn="0" w:firstRowLastColumn="0" w:lastRowFirstColumn="0" w:lastRowLastColumn="0"/>
            </w:pPr>
            <w:r w:rsidRPr="00AB793A">
              <w:rPr>
                <w:b w:val="0"/>
                <w:bCs/>
              </w:rPr>
              <w:t>New Zealand Institute of Economic Research (NZIER)</w:t>
            </w:r>
          </w:p>
        </w:tc>
        <w:tc>
          <w:tcPr>
            <w:tcW w:w="4678" w:type="dxa"/>
            <w:shd w:val="clear" w:color="auto" w:fill="F2F2F2" w:themeFill="background1" w:themeFillShade="F2"/>
          </w:tcPr>
          <w:p w:rsidR="00150382" w:rsidRDefault="00150382" w:rsidP="00150382">
            <w:pPr>
              <w:cnfStyle w:val="010000000000" w:firstRow="0" w:lastRow="1" w:firstColumn="0" w:lastColumn="0" w:oddVBand="0" w:evenVBand="0" w:oddHBand="0" w:evenHBand="0" w:firstRowFirstColumn="0" w:firstRowLastColumn="0" w:lastRowFirstColumn="0" w:lastRowLastColumn="0"/>
              <w:rPr>
                <w:b w:val="0"/>
              </w:rPr>
            </w:pPr>
            <w:r w:rsidRPr="00D2252B">
              <w:rPr>
                <w:b w:val="0"/>
              </w:rPr>
              <w:t xml:space="preserve">The framework is based on the Creative Trident </w:t>
            </w:r>
            <w:r>
              <w:rPr>
                <w:b w:val="0"/>
              </w:rPr>
              <w:t>model. S</w:t>
            </w:r>
            <w:r w:rsidRPr="00056810">
              <w:rPr>
                <w:b w:val="0"/>
              </w:rPr>
              <w:t>ix creative segments are the basis for mapping and valuing the creative sector</w:t>
            </w:r>
            <w:r>
              <w:rPr>
                <w:b w:val="0"/>
              </w:rPr>
              <w:t>.</w:t>
            </w:r>
            <w:r>
              <w:rPr>
                <w:rStyle w:val="EndnoteReference"/>
                <w:b w:val="0"/>
              </w:rPr>
              <w:endnoteReference w:id="19"/>
            </w:r>
          </w:p>
        </w:tc>
      </w:tr>
    </w:tbl>
    <w:p w:rsidR="00150382" w:rsidRDefault="00150382" w:rsidP="00B371FA">
      <w:pPr>
        <w:pStyle w:val="Heading3"/>
      </w:pPr>
      <w:bookmarkStart w:id="41" w:name="_Toc126581832"/>
      <w:bookmarkStart w:id="42" w:name="_Toc128051565"/>
      <w:bookmarkEnd w:id="40"/>
      <w:r>
        <w:t>Review of current framework and methodology</w:t>
      </w:r>
      <w:bookmarkEnd w:id="41"/>
      <w:bookmarkEnd w:id="42"/>
    </w:p>
    <w:p w:rsidR="00150382" w:rsidRDefault="00150382" w:rsidP="00B371FA">
      <w:pPr>
        <w:pStyle w:val="Heading4"/>
      </w:pPr>
      <w:bookmarkStart w:id="43" w:name="_Toc126581833"/>
      <w:bookmarkStart w:id="44" w:name="_Toc128051566"/>
      <w:r>
        <w:t>Current framework</w:t>
      </w:r>
      <w:bookmarkEnd w:id="43"/>
      <w:bookmarkEnd w:id="44"/>
    </w:p>
    <w:p w:rsidR="00150382" w:rsidRDefault="00150382" w:rsidP="00150382">
      <w:pPr>
        <w:spacing w:before="80"/>
      </w:pPr>
      <w:r>
        <w:t>The current ABS cultural and creative activity satellite accounts framework,</w:t>
      </w:r>
      <w:r>
        <w:rPr>
          <w:rStyle w:val="EndnoteReference"/>
        </w:rPr>
        <w:endnoteReference w:id="20"/>
      </w:r>
      <w:r>
        <w:t xml:space="preserve"> which has been continued by BCARR, consists of two boundaries</w:t>
      </w:r>
      <w:r w:rsidDel="00C634FA">
        <w:rPr>
          <w:rStyle w:val="EndnoteReference"/>
        </w:rPr>
        <w:t xml:space="preserve"> </w:t>
      </w:r>
      <w:r>
        <w:t>(</w:t>
      </w:r>
      <w:r>
        <w:fldChar w:fldCharType="begin"/>
      </w:r>
      <w:r>
        <w:instrText xml:space="preserve"> REF _Ref119057619 \h </w:instrText>
      </w:r>
      <w:r>
        <w:fldChar w:fldCharType="separate"/>
      </w:r>
      <w:r>
        <w:t xml:space="preserve">Figure </w:t>
      </w:r>
      <w:r>
        <w:rPr>
          <w:noProof/>
        </w:rPr>
        <w:t>1</w:t>
      </w:r>
      <w:r>
        <w:fldChar w:fldCharType="end"/>
      </w:r>
      <w:r>
        <w:t>):</w:t>
      </w:r>
    </w:p>
    <w:p w:rsidR="00150382" w:rsidRDefault="00150382" w:rsidP="001A68B6">
      <w:pPr>
        <w:pStyle w:val="ListParagraph"/>
        <w:numPr>
          <w:ilvl w:val="0"/>
          <w:numId w:val="8"/>
        </w:numPr>
        <w:suppressAutoHyphens/>
        <w:spacing w:before="80" w:after="80"/>
        <w:ind w:left="567" w:hanging="567"/>
      </w:pPr>
      <w:r>
        <w:t xml:space="preserve">the national accounts basis, which captures market-based transactions; and </w:t>
      </w:r>
    </w:p>
    <w:p w:rsidR="00150382" w:rsidRPr="001B6885" w:rsidRDefault="00150382" w:rsidP="001A68B6">
      <w:pPr>
        <w:pStyle w:val="ListParagraph"/>
        <w:numPr>
          <w:ilvl w:val="0"/>
          <w:numId w:val="8"/>
        </w:numPr>
        <w:suppressAutoHyphens/>
        <w:spacing w:before="80" w:after="80"/>
        <w:ind w:left="567" w:hanging="567"/>
      </w:pPr>
      <w:r>
        <w:t xml:space="preserve">an extension beyond the national accounts production boundary </w:t>
      </w:r>
      <w:bookmarkStart w:id="45" w:name="_Ref112672771"/>
      <w:r>
        <w:t>which adds volunteer services and non-market production to the types of activity included.</w:t>
      </w:r>
    </w:p>
    <w:p w:rsidR="00150382" w:rsidRPr="00B77A00" w:rsidRDefault="00150382" w:rsidP="00B371FA">
      <w:pPr>
        <w:pStyle w:val="Tablefigureheading"/>
      </w:pPr>
      <w:bookmarkStart w:id="46" w:name="_Ref119057619"/>
      <w:bookmarkStart w:id="47" w:name="_Toc126581851"/>
      <w:bookmarkStart w:id="48" w:name="_Toc127959253"/>
      <w:bookmarkStart w:id="49" w:name="_Toc127959289"/>
      <w:r>
        <w:t xml:space="preserve">Figure </w:t>
      </w:r>
      <w:r w:rsidR="00C102F1">
        <w:fldChar w:fldCharType="begin"/>
      </w:r>
      <w:r w:rsidR="00C102F1">
        <w:instrText xml:space="preserve"> SEQ Figure \* ARABIC </w:instrText>
      </w:r>
      <w:r w:rsidR="00C102F1">
        <w:fldChar w:fldCharType="separate"/>
      </w:r>
      <w:r>
        <w:rPr>
          <w:noProof/>
        </w:rPr>
        <w:t>1</w:t>
      </w:r>
      <w:r w:rsidR="00C102F1">
        <w:rPr>
          <w:noProof/>
        </w:rPr>
        <w:fldChar w:fldCharType="end"/>
      </w:r>
      <w:bookmarkEnd w:id="45"/>
      <w:bookmarkEnd w:id="46"/>
      <w:r w:rsidRPr="002126C6">
        <w:t xml:space="preserve">. </w:t>
      </w:r>
      <w:r>
        <w:t xml:space="preserve">Current framework </w:t>
      </w:r>
      <w:r w:rsidRPr="007E063C">
        <w:t>for</w:t>
      </w:r>
      <w:r>
        <w:t xml:space="preserve"> the</w:t>
      </w:r>
      <w:r w:rsidRPr="007E063C">
        <w:t xml:space="preserve"> cultural and creative activity satellite accounts</w:t>
      </w:r>
      <w:bookmarkEnd w:id="47"/>
      <w:bookmarkEnd w:id="48"/>
      <w:bookmarkEnd w:id="49"/>
    </w:p>
    <w:p w:rsidR="00150382" w:rsidRDefault="00150382" w:rsidP="00150382">
      <w:r>
        <w:rPr>
          <w:noProof/>
          <w:lang w:eastAsia="en-AU"/>
        </w:rPr>
        <w:drawing>
          <wp:inline distT="0" distB="0" distL="0" distR="0" wp14:anchorId="6FBDA621" wp14:editId="599B2E95">
            <wp:extent cx="5815584" cy="3070364"/>
            <wp:effectExtent l="0" t="0" r="0" b="0"/>
            <wp:docPr id="21" name="Picture 21" descr="Figure 1. Current framework for the cultural and creative activity satellite accounts&#10;&#10;ABS’s cultural and creative satellite accounts framework, which has been continued by BCARR, consists of two boundaries: the national accounts basis, and an extension beyond the national accounts producti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rotWithShape="1">
                    <a:blip r:embed="rId19" cstate="print">
                      <a:extLst>
                        <a:ext uri="{28A0092B-C50C-407E-A947-70E740481C1C}">
                          <a14:useLocalDpi xmlns:a14="http://schemas.microsoft.com/office/drawing/2010/main" val="0"/>
                        </a:ext>
                      </a:extLst>
                    </a:blip>
                    <a:srcRect l="6869" t="8238" r="3983" b="6158"/>
                    <a:stretch/>
                  </pic:blipFill>
                  <pic:spPr bwMode="auto">
                    <a:xfrm>
                      <a:off x="0" y="0"/>
                      <a:ext cx="5846967" cy="3086933"/>
                    </a:xfrm>
                    <a:prstGeom prst="rect">
                      <a:avLst/>
                    </a:prstGeom>
                    <a:ln>
                      <a:noFill/>
                    </a:ln>
                    <a:extLst>
                      <a:ext uri="{53640926-AAD7-44D8-BBD7-CCE9431645EC}">
                        <a14:shadowObscured xmlns:a14="http://schemas.microsoft.com/office/drawing/2010/main"/>
                      </a:ext>
                    </a:extLst>
                  </pic:spPr>
                </pic:pic>
              </a:graphicData>
            </a:graphic>
          </wp:inline>
        </w:drawing>
      </w:r>
      <w:r w:rsidDel="00AD48B9">
        <w:rPr>
          <w:noProof/>
          <w:lang w:eastAsia="en-AU"/>
        </w:rPr>
        <w:t xml:space="preserve"> </w:t>
      </w:r>
    </w:p>
    <w:p w:rsidR="00150382" w:rsidRDefault="00150382" w:rsidP="001A68B6">
      <w:pPr>
        <w:pStyle w:val="Sourcenote"/>
      </w:pPr>
      <w:r w:rsidRPr="005B377E">
        <w:t xml:space="preserve">Source: ABS </w:t>
      </w:r>
      <w:r>
        <w:t>C</w:t>
      </w:r>
      <w:r w:rsidRPr="005B377E">
        <w:t>at.</w:t>
      </w:r>
      <w:r>
        <w:t xml:space="preserve"> no.</w:t>
      </w:r>
      <w:r w:rsidRPr="005B377E">
        <w:t xml:space="preserve"> </w:t>
      </w:r>
      <w:r>
        <w:t>5271.0</w:t>
      </w:r>
    </w:p>
    <w:p w:rsidR="00150382" w:rsidRDefault="00150382" w:rsidP="00150382">
      <w:r>
        <w:t>The national accounts production boundary captures most cultural and creative activity, accounting for 99 per cent of the economic contribution. This boundary includes two components:</w:t>
      </w:r>
    </w:p>
    <w:p w:rsidR="00690C60" w:rsidRDefault="00150382" w:rsidP="00B371FA">
      <w:pPr>
        <w:pStyle w:val="Listparagraphbullets"/>
      </w:pPr>
      <w:r w:rsidRPr="00F961F8">
        <w:rPr>
          <w:b/>
        </w:rPr>
        <w:t>Component 1</w:t>
      </w:r>
      <w:r>
        <w:t xml:space="preserve"> is activity in industries which form the supply chains for cultural and creative goods and services. This component contains the activity of industries which generate cultural and creative ideas, use these ideas to produce or manufacture cultural and creative goods and services, or distribute cultural and creative goods and services to final consumers.</w:t>
      </w:r>
      <w:r>
        <w:rPr>
          <w:rStyle w:val="EndnoteReference"/>
        </w:rPr>
        <w:endnoteReference w:id="21"/>
      </w:r>
      <w:r>
        <w:t xml:space="preserve"> This component comprises gross value added (GVA) and net taxes on products of cultural and creative industries</w:t>
      </w:r>
      <w:r w:rsidR="00690C60">
        <w:t>.</w:t>
      </w:r>
    </w:p>
    <w:p w:rsidR="00150382" w:rsidRDefault="00150382" w:rsidP="00B371FA">
      <w:pPr>
        <w:pStyle w:val="Listparagraphbullets"/>
      </w:pPr>
      <w:r w:rsidRPr="00F961F8">
        <w:rPr>
          <w:b/>
        </w:rPr>
        <w:t>Component 2</w:t>
      </w:r>
      <w:r>
        <w:t xml:space="preserve"> is activity in other industries performed by workers in cultural and creative occupations. As this component was initially valued as a share of aggregated compensation of employees (COE), it is also called ‘Imputed COE’.</w:t>
      </w:r>
    </w:p>
    <w:p w:rsidR="00150382" w:rsidRDefault="00150382" w:rsidP="00150382">
      <w:r>
        <w:lastRenderedPageBreak/>
        <w:t>Extending beyond the national accounts production boundary, cultural and creative activity is measured by two further components:</w:t>
      </w:r>
    </w:p>
    <w:p w:rsidR="00150382" w:rsidRDefault="00150382" w:rsidP="00B371FA">
      <w:pPr>
        <w:pStyle w:val="Listparagraphbullets"/>
      </w:pPr>
      <w:r w:rsidRPr="00F961F8">
        <w:rPr>
          <w:b/>
        </w:rPr>
        <w:t>Component 3</w:t>
      </w:r>
      <w:r>
        <w:t xml:space="preserve"> is volunteer services to arts and heritage organisations.</w:t>
      </w:r>
    </w:p>
    <w:p w:rsidR="00690C60" w:rsidRDefault="00150382" w:rsidP="00B371FA">
      <w:pPr>
        <w:pStyle w:val="Listparagraphbullets"/>
      </w:pPr>
      <w:r w:rsidRPr="00DE3B18">
        <w:rPr>
          <w:b/>
        </w:rPr>
        <w:t>Component 4</w:t>
      </w:r>
      <w:r w:rsidRPr="0042076A">
        <w:t xml:space="preserve"> is </w:t>
      </w:r>
      <w:r>
        <w:t xml:space="preserve">the </w:t>
      </w:r>
      <w:r w:rsidRPr="0042076A">
        <w:t xml:space="preserve">non-market output of market producers in the cultural and/or creative industries. </w:t>
      </w:r>
      <w:r w:rsidRPr="00DE3B18">
        <w:t>This refers to the value of cultural and creative goods and services supplied by non-profit institution for free, or at the prices that are not economically significant</w:t>
      </w:r>
      <w:r w:rsidR="00690C60">
        <w:t>.</w:t>
      </w:r>
    </w:p>
    <w:p w:rsidR="00690C60" w:rsidRDefault="00150382" w:rsidP="00150382">
      <w:pPr>
        <w:spacing w:after="200"/>
      </w:pPr>
      <w:r>
        <w:t xml:space="preserve">This current framework applies </w:t>
      </w:r>
      <w:r w:rsidRPr="00655724">
        <w:t xml:space="preserve">the </w:t>
      </w:r>
      <w:r w:rsidRPr="00571ADC">
        <w:t>‘creative trident’ model</w:t>
      </w:r>
      <w:r w:rsidRPr="00655724">
        <w:t>. The trident</w:t>
      </w:r>
      <w:r>
        <w:t xml:space="preserve"> model initially referred to the three locations of </w:t>
      </w:r>
      <w:r w:rsidRPr="00571ADC">
        <w:t>employment</w:t>
      </w:r>
      <w:r w:rsidRPr="007B0BD6">
        <w:t xml:space="preserve"> within</w:t>
      </w:r>
      <w:r>
        <w:t xml:space="preserve"> the </w:t>
      </w:r>
      <w:r w:rsidRPr="007048F4">
        <w:t>c</w:t>
      </w:r>
      <w:r w:rsidRPr="00E94C8B">
        <w:t xml:space="preserve">reative </w:t>
      </w:r>
      <w:r>
        <w:t>occupations and industries</w:t>
      </w:r>
      <w:r w:rsidRPr="007048F4">
        <w:t xml:space="preserve"> </w:t>
      </w:r>
      <w:r>
        <w:t xml:space="preserve">– specialist, embedded and support </w:t>
      </w:r>
      <w:r w:rsidRPr="00E94C8B">
        <w:t>workers (</w:t>
      </w:r>
      <w:r w:rsidRPr="00E94C8B">
        <w:fldChar w:fldCharType="begin"/>
      </w:r>
      <w:r w:rsidRPr="00E94C8B">
        <w:instrText xml:space="preserve"> REF _Ref120640998 \h </w:instrText>
      </w:r>
      <w:r>
        <w:instrText xml:space="preserve"> \* MERGEFORMAT </w:instrText>
      </w:r>
      <w:r w:rsidRPr="00E94C8B">
        <w:fldChar w:fldCharType="separate"/>
      </w:r>
      <w:r>
        <w:t xml:space="preserve">Figure </w:t>
      </w:r>
      <w:r>
        <w:rPr>
          <w:noProof/>
        </w:rPr>
        <w:t>2</w:t>
      </w:r>
      <w:r w:rsidRPr="00E94C8B">
        <w:fldChar w:fldCharType="end"/>
      </w:r>
      <w:r w:rsidRPr="00E94C8B">
        <w:t>).</w:t>
      </w:r>
      <w:r w:rsidRPr="00E94C8B">
        <w:rPr>
          <w:rStyle w:val="EndnoteReference"/>
        </w:rPr>
        <w:endnoteReference w:id="22"/>
      </w:r>
      <w:r>
        <w:t xml:space="preserve"> The trident model includes activity from specialist and support workers inside cultural and creative industries as well as embedded workers in cultural and creative occupations in other industries</w:t>
      </w:r>
      <w:r w:rsidR="00690C60">
        <w:t>.</w:t>
      </w:r>
    </w:p>
    <w:p w:rsidR="00150382" w:rsidRDefault="00150382" w:rsidP="00B371FA">
      <w:pPr>
        <w:pStyle w:val="Tablefigureheading"/>
      </w:pPr>
      <w:bookmarkStart w:id="50" w:name="_Ref120640998"/>
      <w:bookmarkStart w:id="51" w:name="_Toc126581852"/>
      <w:bookmarkStart w:id="52" w:name="_Toc127959254"/>
      <w:bookmarkStart w:id="53" w:name="_Toc127959290"/>
      <w:r>
        <w:t xml:space="preserve">Figure </w:t>
      </w:r>
      <w:r w:rsidR="00C102F1">
        <w:fldChar w:fldCharType="begin"/>
      </w:r>
      <w:r w:rsidR="00C102F1">
        <w:instrText xml:space="preserve"> SEQ Figure \* ARABIC </w:instrText>
      </w:r>
      <w:r w:rsidR="00C102F1">
        <w:fldChar w:fldCharType="separate"/>
      </w:r>
      <w:r>
        <w:rPr>
          <w:noProof/>
        </w:rPr>
        <w:t>2</w:t>
      </w:r>
      <w:r w:rsidR="00C102F1">
        <w:rPr>
          <w:noProof/>
        </w:rPr>
        <w:fldChar w:fldCharType="end"/>
      </w:r>
      <w:bookmarkEnd w:id="50"/>
      <w:r>
        <w:t>. The cultural and creative employment trident</w:t>
      </w:r>
      <w:bookmarkEnd w:id="51"/>
      <w:bookmarkEnd w:id="52"/>
      <w:bookmarkEnd w:id="53"/>
    </w:p>
    <w:p w:rsidR="00150382" w:rsidRDefault="00150382" w:rsidP="00150382">
      <w:pPr>
        <w:keepNext/>
      </w:pPr>
      <w:r>
        <w:rPr>
          <w:noProof/>
        </w:rPr>
        <w:drawing>
          <wp:inline distT="0" distB="0" distL="0" distR="0" wp14:anchorId="3156E7DE" wp14:editId="6E09EC0A">
            <wp:extent cx="3679279" cy="1724025"/>
            <wp:effectExtent l="0" t="0" r="0" b="0"/>
            <wp:docPr id="23" name="Picture 23" descr="Figure 2. The cultural and creative employment trident&#10;&#10;This chart shows the trident model including activity from specialist and support workers inside cultural and creative industries as well as embedded workers in cultural and creative occupations outside of these indus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5543" cy="1764446"/>
                    </a:xfrm>
                    <a:prstGeom prst="rect">
                      <a:avLst/>
                    </a:prstGeom>
                  </pic:spPr>
                </pic:pic>
              </a:graphicData>
            </a:graphic>
          </wp:inline>
        </w:drawing>
      </w:r>
    </w:p>
    <w:p w:rsidR="00150382" w:rsidRDefault="00150382" w:rsidP="00B371FA">
      <w:pPr>
        <w:pStyle w:val="Sourcenote"/>
      </w:pPr>
      <w:r w:rsidRPr="005B377E">
        <w:t xml:space="preserve">Source: </w:t>
      </w:r>
      <w:r w:rsidRPr="00A15EEE">
        <w:t>S. Cunningham and P. Higgs (2010)</w:t>
      </w:r>
    </w:p>
    <w:p w:rsidR="00150382" w:rsidRDefault="00150382" w:rsidP="00150382">
      <w:pPr>
        <w:spacing w:after="200"/>
      </w:pPr>
      <w:r>
        <w:t>In theory, these three areas of activity are mutually exclusive from each other. Estimates of activity from the production by specialist and support workers in cultural and creative industries (component 1) should not double-count income from embedded workers in other industries (component 2).</w:t>
      </w:r>
      <w:r>
        <w:rPr>
          <w:rStyle w:val="EndnoteReference"/>
        </w:rPr>
        <w:endnoteReference w:id="23"/>
      </w:r>
    </w:p>
    <w:p w:rsidR="00690C60" w:rsidRDefault="00150382" w:rsidP="00150382">
      <w:pPr>
        <w:spacing w:after="200"/>
      </w:pPr>
      <w:r>
        <w:t>However, the method for applying this approach in the context of the national accounts system differs for Components 1 and Component 2. While component 1 can be readily identified from the national accounts input-output tables, estimates of Component 2 need to be imputed using different data sources (a far more complicated process)</w:t>
      </w:r>
      <w:r w:rsidR="00690C60">
        <w:t>.</w:t>
      </w:r>
    </w:p>
    <w:p w:rsidR="00150382" w:rsidRDefault="00150382" w:rsidP="00150382">
      <w:pPr>
        <w:spacing w:after="200"/>
      </w:pPr>
      <w:r>
        <w:t>For example, the Compensation of Employees (COE) shares were calculated starting with employment data from input-output tables, Labour Force data, and the Census workforce occupation structure. This data was then combined with average earnings data from the ABS Survey of Employee Earnings and Hours to estimate employee remuneration in main jobs (the job in which most hours are usually worked) by occupation and industry. Employee remuneration in secondary jobs was estimated in this approach by using data from the ABS Survey of Employment Arrangements, Retirement and Superannuation, adjusted over time for wage inflation using the ABS Wage Price Index.</w:t>
      </w:r>
      <w:r>
        <w:rPr>
          <w:rStyle w:val="EndnoteReference"/>
        </w:rPr>
        <w:endnoteReference w:id="24"/>
      </w:r>
      <w:r>
        <w:t xml:space="preserve"> </w:t>
      </w:r>
    </w:p>
    <w:p w:rsidR="00150382" w:rsidRPr="00A15EEE" w:rsidRDefault="00150382" w:rsidP="00B371FA">
      <w:pPr>
        <w:pStyle w:val="Heading4"/>
      </w:pPr>
      <w:bookmarkStart w:id="54" w:name="_Toc126581834"/>
      <w:bookmarkStart w:id="55" w:name="_Toc102748799"/>
      <w:bookmarkStart w:id="56" w:name="_Toc128051567"/>
      <w:r w:rsidRPr="00A15EEE">
        <w:t>Review of BCARR’s 2018 methodology</w:t>
      </w:r>
      <w:bookmarkEnd w:id="54"/>
      <w:bookmarkEnd w:id="56"/>
    </w:p>
    <w:p w:rsidR="00690C60" w:rsidRDefault="00150382" w:rsidP="00150382">
      <w:pPr>
        <w:spacing w:after="120"/>
      </w:pPr>
      <w:r>
        <w:t>The methodology used in BCARR’s current cultural and creative activity estimates</w:t>
      </w:r>
      <w:r w:rsidRPr="00160E3D">
        <w:t xml:space="preserve"> </w:t>
      </w:r>
      <w:r>
        <w:t>is broadly consistent with the</w:t>
      </w:r>
      <w:r w:rsidRPr="00160E3D">
        <w:t xml:space="preserve"> ABS</w:t>
      </w:r>
      <w:r>
        <w:t>’s approach to defining the coverage of</w:t>
      </w:r>
      <w:r w:rsidRPr="00160E3D">
        <w:t xml:space="preserve"> cultural and creative activity</w:t>
      </w:r>
      <w:r w:rsidR="00690C60">
        <w:t>.</w:t>
      </w:r>
    </w:p>
    <w:p w:rsidR="00150382" w:rsidRPr="007048F4" w:rsidRDefault="00150382" w:rsidP="00150382">
      <w:pPr>
        <w:spacing w:after="120"/>
      </w:pPr>
      <w:r>
        <w:t>C</w:t>
      </w:r>
      <w:r w:rsidRPr="00B2592D">
        <w:t>ultural and creative proportions within individual Input-Output Industry Groups (IOIG) for the 2008</w:t>
      </w:r>
      <w:r w:rsidR="00B371FA">
        <w:t>–</w:t>
      </w:r>
      <w:r w:rsidRPr="00B2592D">
        <w:t>09 year</w:t>
      </w:r>
      <w:r>
        <w:t xml:space="preserve"> were replicated. To provide consistency with the ABS approach, BCARR used </w:t>
      </w:r>
      <w:r w:rsidRPr="00B2592D">
        <w:t>2008</w:t>
      </w:r>
      <w:r w:rsidR="00B371FA">
        <w:t>–</w:t>
      </w:r>
      <w:r w:rsidRPr="00B2592D">
        <w:t xml:space="preserve">09 as the base year and </w:t>
      </w:r>
      <w:r>
        <w:t>ensured the economic indicators such as GVA, net taxes on products, and imputed COE were aligned with the ABS satellite accounts</w:t>
      </w:r>
      <w:r w:rsidRPr="00B2592D">
        <w:t>.</w:t>
      </w:r>
      <w:r>
        <w:t xml:space="preserve"> Details on BCARR’s 2018 methodology can be </w:t>
      </w:r>
      <w:r w:rsidRPr="007048F4">
        <w:t xml:space="preserve">found at </w:t>
      </w:r>
      <w:hyperlink w:anchor="_Appendix_A—BCARR’s_2018" w:history="1">
        <w:r w:rsidRPr="00690C60">
          <w:rPr>
            <w:rStyle w:val="Hyperlink"/>
          </w:rPr>
          <w:t>Appendix</w:t>
        </w:r>
        <w:r w:rsidR="00B371FA" w:rsidRPr="00690C60">
          <w:rPr>
            <w:rStyle w:val="Hyperlink"/>
          </w:rPr>
          <w:t> </w:t>
        </w:r>
        <w:r w:rsidRPr="00690C60">
          <w:rPr>
            <w:rStyle w:val="Hyperlink"/>
          </w:rPr>
          <w:t>A</w:t>
        </w:r>
      </w:hyperlink>
      <w:r w:rsidRPr="007048F4">
        <w:t>.</w:t>
      </w:r>
    </w:p>
    <w:p w:rsidR="00150382" w:rsidRDefault="00150382" w:rsidP="00150382">
      <w:pPr>
        <w:spacing w:after="120"/>
      </w:pPr>
      <w:r>
        <w:lastRenderedPageBreak/>
        <w:t>Due to the unavailability of some data, BCARR estimates assume that</w:t>
      </w:r>
      <w:r w:rsidRPr="005F2AC3">
        <w:t xml:space="preserve"> the ratio of the GVA</w:t>
      </w:r>
      <w:r>
        <w:t xml:space="preserve"> for</w:t>
      </w:r>
      <w:r w:rsidRPr="005F2AC3">
        <w:t xml:space="preserve"> each cultural or creative industry class </w:t>
      </w:r>
      <w:r>
        <w:t xml:space="preserve">(ANZSIC) </w:t>
      </w:r>
      <w:r w:rsidRPr="005F2AC3">
        <w:t xml:space="preserve">makes up the same proportion of the GVA of its underlying </w:t>
      </w:r>
      <w:r>
        <w:t>Input Output Industry Groups (</w:t>
      </w:r>
      <w:r w:rsidRPr="005F2AC3">
        <w:t>IOIGs</w:t>
      </w:r>
      <w:r>
        <w:t>)</w:t>
      </w:r>
      <w:r w:rsidRPr="005F2AC3">
        <w:t xml:space="preserve"> as it did in 2008</w:t>
      </w:r>
      <w:r w:rsidR="00B371FA">
        <w:t>–</w:t>
      </w:r>
      <w:r w:rsidRPr="005F2AC3">
        <w:t xml:space="preserve">09. </w:t>
      </w:r>
      <w:r>
        <w:t>As</w:t>
      </w:r>
      <w:r w:rsidRPr="005F2AC3">
        <w:t xml:space="preserve"> more time passes since </w:t>
      </w:r>
      <w:r w:rsidR="00B371FA">
        <w:t>2008–09</w:t>
      </w:r>
      <w:r w:rsidRPr="005F2AC3">
        <w:t>, uncertainty around the granular (domain-level) GVA figures grows and the more likely it is that this assumption will generate erroneous results.</w:t>
      </w:r>
    </w:p>
    <w:p w:rsidR="00150382" w:rsidRDefault="00150382" w:rsidP="00B371FA">
      <w:pPr>
        <w:pStyle w:val="Heading3"/>
      </w:pPr>
      <w:bookmarkStart w:id="57" w:name="_Toc126581835"/>
      <w:bookmarkStart w:id="58" w:name="_Toc128051568"/>
      <w:bookmarkEnd w:id="55"/>
      <w:r>
        <w:t>Proposed update of cultural and creative activity satellite accounts</w:t>
      </w:r>
      <w:bookmarkEnd w:id="57"/>
      <w:bookmarkEnd w:id="58"/>
    </w:p>
    <w:p w:rsidR="00150382" w:rsidRPr="00907469" w:rsidRDefault="00150382" w:rsidP="00150382">
      <w:r>
        <w:t>The proposed update of cultural and creative activity satellite accounts will involve two elements that address issues highlighted in the current methodology: an update to the framework used to scope and identify cultural and creative activity; and an update to the methodology used to produce estimates.</w:t>
      </w:r>
    </w:p>
    <w:p w:rsidR="00150382" w:rsidRDefault="00150382" w:rsidP="00B371FA">
      <w:pPr>
        <w:pStyle w:val="Heading4"/>
      </w:pPr>
      <w:bookmarkStart w:id="59" w:name="_Toc126581836"/>
      <w:bookmarkStart w:id="60" w:name="_Toc128051569"/>
      <w:r>
        <w:t>Proposed framework update</w:t>
      </w:r>
      <w:bookmarkEnd w:id="59"/>
      <w:bookmarkEnd w:id="60"/>
    </w:p>
    <w:p w:rsidR="00150382" w:rsidRDefault="00150382" w:rsidP="00150382">
      <w:pPr>
        <w:spacing w:before="120" w:after="120"/>
      </w:pPr>
      <w:r w:rsidRPr="000F7DE9">
        <w:t xml:space="preserve">The proposed </w:t>
      </w:r>
      <w:r>
        <w:t xml:space="preserve">update to the </w:t>
      </w:r>
      <w:r w:rsidRPr="000F7DE9">
        <w:t xml:space="preserve">framework </w:t>
      </w:r>
      <w:r>
        <w:t>for producing estimates of cultural and creative activity</w:t>
      </w:r>
      <w:r w:rsidRPr="000F7DE9">
        <w:t xml:space="preserve"> </w:t>
      </w:r>
      <w:r>
        <w:t xml:space="preserve">described in this paper is </w:t>
      </w:r>
      <w:r w:rsidRPr="000F7DE9">
        <w:t>focus</w:t>
      </w:r>
      <w:r>
        <w:t>ed</w:t>
      </w:r>
      <w:r w:rsidRPr="000F7DE9">
        <w:t xml:space="preserve"> on the </w:t>
      </w:r>
      <w:r>
        <w:t>n</w:t>
      </w:r>
      <w:r w:rsidRPr="000F7DE9">
        <w:t xml:space="preserve">ational </w:t>
      </w:r>
      <w:r>
        <w:t>a</w:t>
      </w:r>
      <w:r w:rsidRPr="000F7DE9">
        <w:t xml:space="preserve">ccounts </w:t>
      </w:r>
      <w:r>
        <w:t>production</w:t>
      </w:r>
      <w:r w:rsidRPr="000F7DE9">
        <w:t xml:space="preserve"> boundary</w:t>
      </w:r>
      <w:r>
        <w:t xml:space="preserve">. Components within this production boundary are proposed to be captured through a new ‘trident’ framework (Figure 3). This update allows the economic value of all three types of cultural and creative activities to be captured within the </w:t>
      </w:r>
      <w:r w:rsidRPr="00F8720C">
        <w:t>production</w:t>
      </w:r>
      <w:r>
        <w:noBreakHyphen/>
        <w:t>side only, to make sure Component 1 and Component 2 are measured using a consistent approach.</w:t>
      </w:r>
      <w:bookmarkStart w:id="61" w:name="_Ref112685924"/>
      <w:bookmarkStart w:id="62" w:name="_Ref114576968"/>
    </w:p>
    <w:p w:rsidR="00150382" w:rsidRPr="00A15EEE" w:rsidRDefault="00150382" w:rsidP="00B371FA">
      <w:pPr>
        <w:pStyle w:val="Tablefigureheading"/>
        <w:rPr>
          <w:noProof/>
        </w:rPr>
      </w:pPr>
      <w:bookmarkStart w:id="63" w:name="_Toc127959255"/>
      <w:bookmarkStart w:id="64" w:name="_Toc127959291"/>
      <w:r w:rsidRPr="004766D0">
        <w:t xml:space="preserve">Figure </w:t>
      </w:r>
      <w:r w:rsidRPr="00A15EEE">
        <w:fldChar w:fldCharType="begin"/>
      </w:r>
      <w:r w:rsidRPr="004766D0">
        <w:instrText xml:space="preserve"> SEQ Figure \* ARABIC </w:instrText>
      </w:r>
      <w:r w:rsidRPr="00A15EEE">
        <w:fldChar w:fldCharType="separate"/>
      </w:r>
      <w:r>
        <w:rPr>
          <w:noProof/>
        </w:rPr>
        <w:t>3</w:t>
      </w:r>
      <w:r w:rsidRPr="00A15EEE">
        <w:rPr>
          <w:noProof/>
        </w:rPr>
        <w:fldChar w:fldCharType="end"/>
      </w:r>
      <w:bookmarkEnd w:id="61"/>
      <w:bookmarkEnd w:id="62"/>
      <w:r w:rsidRPr="004766D0">
        <w:t>. Proposed</w:t>
      </w:r>
      <w:r>
        <w:t xml:space="preserve"> new</w:t>
      </w:r>
      <w:r w:rsidRPr="00A15EEE">
        <w:t xml:space="preserve"> trident framework of cultural and creative activity</w:t>
      </w:r>
      <w:bookmarkEnd w:id="63"/>
      <w:bookmarkEnd w:id="64"/>
    </w:p>
    <w:p w:rsidR="00150382" w:rsidRDefault="00150382" w:rsidP="00150382">
      <w:pPr>
        <w:keepNext/>
      </w:pPr>
      <w:r>
        <w:rPr>
          <w:noProof/>
        </w:rPr>
        <w:drawing>
          <wp:inline distT="0" distB="0" distL="0" distR="0" wp14:anchorId="0DB124E9" wp14:editId="5FE1BA10">
            <wp:extent cx="5398292" cy="3635655"/>
            <wp:effectExtent l="0" t="0" r="0" b="3175"/>
            <wp:docPr id="24" name="Picture 24" descr="Figure 3. Proposed new trident framework of cultural and creative activity&#10;&#10;This chart shows the proposed framework of measuring cultural and creative activity through a new trid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rotWithShape="1">
                    <a:blip r:embed="rId21" cstate="print">
                      <a:extLst>
                        <a:ext uri="{28A0092B-C50C-407E-A947-70E740481C1C}">
                          <a14:useLocalDpi xmlns:a14="http://schemas.microsoft.com/office/drawing/2010/main" val="0"/>
                        </a:ext>
                      </a:extLst>
                    </a:blip>
                    <a:srcRect t="4577" b="3877"/>
                    <a:stretch/>
                  </pic:blipFill>
                  <pic:spPr bwMode="auto">
                    <a:xfrm>
                      <a:off x="0" y="0"/>
                      <a:ext cx="5408471" cy="3642511"/>
                    </a:xfrm>
                    <a:prstGeom prst="rect">
                      <a:avLst/>
                    </a:prstGeom>
                    <a:ln>
                      <a:noFill/>
                    </a:ln>
                    <a:extLst>
                      <a:ext uri="{53640926-AAD7-44D8-BBD7-CCE9431645EC}">
                        <a14:shadowObscured xmlns:a14="http://schemas.microsoft.com/office/drawing/2010/main"/>
                      </a:ext>
                    </a:extLst>
                  </pic:spPr>
                </pic:pic>
              </a:graphicData>
            </a:graphic>
          </wp:inline>
        </w:drawing>
      </w:r>
    </w:p>
    <w:p w:rsidR="00150382" w:rsidRDefault="00150382" w:rsidP="00B371FA">
      <w:pPr>
        <w:pStyle w:val="Sourcenote"/>
      </w:pPr>
      <w:r w:rsidRPr="005B377E">
        <w:t xml:space="preserve">Source: </w:t>
      </w:r>
      <w:r>
        <w:t>BCARR analysis</w:t>
      </w:r>
    </w:p>
    <w:p w:rsidR="00150382" w:rsidRDefault="00150382" w:rsidP="00150382">
      <w:r>
        <w:t xml:space="preserve">In this new trident framework, cultural and creative activity is represented as GVA and net taxes on products, and is re-identified as three activities: </w:t>
      </w:r>
    </w:p>
    <w:p w:rsidR="00150382" w:rsidRDefault="00150382" w:rsidP="00B371FA">
      <w:pPr>
        <w:pStyle w:val="Listparagraphbullets"/>
      </w:pPr>
      <w:r w:rsidRPr="008004E8">
        <w:rPr>
          <w:b/>
        </w:rPr>
        <w:t>Specialised activity</w:t>
      </w:r>
      <w:r>
        <w:t xml:space="preserve">: cultural and creative products in cultural and creative industries; </w:t>
      </w:r>
    </w:p>
    <w:p w:rsidR="00150382" w:rsidRDefault="00150382" w:rsidP="00B371FA">
      <w:pPr>
        <w:pStyle w:val="Listparagraphbullets"/>
      </w:pPr>
      <w:r w:rsidRPr="008004E8">
        <w:rPr>
          <w:b/>
        </w:rPr>
        <w:t>Embedded activity</w:t>
      </w:r>
      <w:r>
        <w:t>: cultural and creative products in other industries outside the cultural and creative scope; and</w:t>
      </w:r>
    </w:p>
    <w:p w:rsidR="00150382" w:rsidRDefault="00150382" w:rsidP="00B371FA">
      <w:pPr>
        <w:pStyle w:val="Listparagraphbullets"/>
      </w:pPr>
      <w:r w:rsidRPr="008004E8">
        <w:rPr>
          <w:b/>
        </w:rPr>
        <w:t>Support activity</w:t>
      </w:r>
      <w:r>
        <w:t>: any other products outside the scope of cultural and creative products within cultural and creative industries.</w:t>
      </w:r>
    </w:p>
    <w:p w:rsidR="00690C60" w:rsidRDefault="00150382" w:rsidP="00150382">
      <w:r>
        <w:lastRenderedPageBreak/>
        <w:t xml:space="preserve">This proposed change replaces the former ‘imputed COE’ with ‘embedded activity’ (component 2). Component 1 will continue to capture ‘specialised’ and ‘support’ activities. These activities can be identified based on the </w:t>
      </w:r>
      <w:r w:rsidRPr="00C678FE">
        <w:t>ABS input</w:t>
      </w:r>
      <w:r>
        <w:t>-</w:t>
      </w:r>
      <w:r w:rsidRPr="00C678FE">
        <w:t xml:space="preserve">output tables </w:t>
      </w:r>
      <w:r>
        <w:t>which</w:t>
      </w:r>
      <w:r w:rsidRPr="00C678FE">
        <w:t xml:space="preserve"> details</w:t>
      </w:r>
      <w:r>
        <w:t xml:space="preserve"> around 1,000 </w:t>
      </w:r>
      <w:r w:rsidRPr="00C678FE">
        <w:t>Input-Output Product Classifications (IOPCs)</w:t>
      </w:r>
      <w:r>
        <w:t xml:space="preserve"> and then links these to the four layers of the </w:t>
      </w:r>
      <w:r w:rsidRPr="006E0DFB">
        <w:t xml:space="preserve">concentric circles model of the cultural </w:t>
      </w:r>
      <w:r>
        <w:t xml:space="preserve">and creative </w:t>
      </w:r>
      <w:r w:rsidRPr="006E0DFB">
        <w:t>industries</w:t>
      </w:r>
      <w:r>
        <w:t>. Further detail is provided below (Figure 5)</w:t>
      </w:r>
      <w:r w:rsidR="00690C60">
        <w:t>.</w:t>
      </w:r>
    </w:p>
    <w:p w:rsidR="00150382" w:rsidRDefault="00150382" w:rsidP="00B371FA">
      <w:pPr>
        <w:pStyle w:val="Heading4"/>
      </w:pPr>
      <w:bookmarkStart w:id="65" w:name="_Toc126581837"/>
      <w:bookmarkStart w:id="66" w:name="_Toc128051570"/>
      <w:r>
        <w:t>Proposed update on the methodology used for the estimation process</w:t>
      </w:r>
      <w:bookmarkEnd w:id="65"/>
      <w:bookmarkEnd w:id="66"/>
    </w:p>
    <w:p w:rsidR="00150382" w:rsidRDefault="00150382" w:rsidP="00150382">
      <w:r>
        <w:t>To implement this proposed updated framework, estimates of the economic value of cultural and creative activity would be quantified using the following four step approach (</w:t>
      </w:r>
      <w:r>
        <w:fldChar w:fldCharType="begin"/>
      </w:r>
      <w:r>
        <w:instrText xml:space="preserve"> REF _Ref113451653 \h </w:instrText>
      </w:r>
      <w:r>
        <w:fldChar w:fldCharType="separate"/>
      </w:r>
      <w:r>
        <w:t xml:space="preserve">Figure </w:t>
      </w:r>
      <w:r>
        <w:rPr>
          <w:noProof/>
        </w:rPr>
        <w:t>4</w:t>
      </w:r>
      <w:r>
        <w:fldChar w:fldCharType="end"/>
      </w:r>
      <w:r>
        <w:t>).</w:t>
      </w:r>
    </w:p>
    <w:p w:rsidR="00150382" w:rsidRDefault="00150382" w:rsidP="00B371FA">
      <w:pPr>
        <w:pStyle w:val="Tablefigureheading"/>
      </w:pPr>
      <w:bookmarkStart w:id="67" w:name="_Ref113451653"/>
      <w:bookmarkStart w:id="68" w:name="_Toc126581853"/>
      <w:bookmarkStart w:id="69" w:name="_Toc127959256"/>
      <w:bookmarkStart w:id="70" w:name="_Toc127959292"/>
      <w:r>
        <w:t xml:space="preserve">Figure </w:t>
      </w:r>
      <w:r w:rsidR="00C102F1">
        <w:fldChar w:fldCharType="begin"/>
      </w:r>
      <w:r w:rsidR="00C102F1">
        <w:instrText xml:space="preserve"> SEQ Figure \* ARABIC </w:instrText>
      </w:r>
      <w:r w:rsidR="00C102F1">
        <w:fldChar w:fldCharType="separate"/>
      </w:r>
      <w:r>
        <w:rPr>
          <w:noProof/>
        </w:rPr>
        <w:t>4</w:t>
      </w:r>
      <w:r w:rsidR="00C102F1">
        <w:rPr>
          <w:noProof/>
        </w:rPr>
        <w:fldChar w:fldCharType="end"/>
      </w:r>
      <w:bookmarkEnd w:id="67"/>
      <w:r w:rsidRPr="007048F4">
        <w:t xml:space="preserve">. Proposed </w:t>
      </w:r>
      <w:r w:rsidRPr="00A15EEE">
        <w:t>estimation process to quantify the economic value of cultural and creative activity</w:t>
      </w:r>
      <w:bookmarkEnd w:id="68"/>
      <w:bookmarkEnd w:id="69"/>
      <w:bookmarkEnd w:id="70"/>
    </w:p>
    <w:p w:rsidR="00150382" w:rsidRDefault="00150382" w:rsidP="00150382">
      <w:pPr>
        <w:spacing w:after="0"/>
      </w:pPr>
      <w:r>
        <w:rPr>
          <w:noProof/>
        </w:rPr>
        <w:drawing>
          <wp:inline distT="0" distB="0" distL="0" distR="0" wp14:anchorId="71ABD339" wp14:editId="67D3229F">
            <wp:extent cx="5905960" cy="2135875"/>
            <wp:effectExtent l="0" t="0" r="0" b="0"/>
            <wp:docPr id="29" name="Picture 29" descr="Figure 4. Proposed estimation process to quantify the economic value of cultural and creative activity&#10;&#10;This chart shows the proposed estimation process to quantify the economic value of cultural and creativ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3624" cy="2145880"/>
                    </a:xfrm>
                    <a:prstGeom prst="rect">
                      <a:avLst/>
                    </a:prstGeom>
                  </pic:spPr>
                </pic:pic>
              </a:graphicData>
            </a:graphic>
          </wp:inline>
        </w:drawing>
      </w:r>
    </w:p>
    <w:p w:rsidR="00150382" w:rsidRPr="0043619E" w:rsidRDefault="00150382" w:rsidP="00B371FA">
      <w:pPr>
        <w:pStyle w:val="Sourcenote"/>
      </w:pPr>
      <w:r w:rsidRPr="005B377E">
        <w:t xml:space="preserve">Source: </w:t>
      </w:r>
      <w:r>
        <w:t>BCARR analysis</w:t>
      </w:r>
    </w:p>
    <w:p w:rsidR="00150382" w:rsidRDefault="00150382" w:rsidP="00B371FA">
      <w:pPr>
        <w:pStyle w:val="Heading5"/>
      </w:pPr>
      <w:r>
        <w:t>Step 1: Define and scope cultural and creative activity and determine its boundaries</w:t>
      </w:r>
    </w:p>
    <w:p w:rsidR="00150382" w:rsidRPr="00E1643A" w:rsidRDefault="00150382" w:rsidP="00150382">
      <w:pPr>
        <w:spacing w:before="80"/>
        <w:rPr>
          <w:b/>
          <w:iCs/>
          <w:szCs w:val="18"/>
        </w:rPr>
      </w:pPr>
      <w:r>
        <w:t>In this proposed framework we continue to follow the broad definition of cultural and creative activity as the sum of market and non-market activities that produce and support cultural and creative final goods and services. This</w:t>
      </w:r>
      <w:r w:rsidRPr="00F5409F">
        <w:t xml:space="preserve"> activity can </w:t>
      </w:r>
      <w:r>
        <w:t xml:space="preserve">also </w:t>
      </w:r>
      <w:r w:rsidRPr="00F5409F">
        <w:t>be analysed by domains</w:t>
      </w:r>
      <w:r>
        <w:t>,</w:t>
      </w:r>
      <w:r w:rsidRPr="00F5409F">
        <w:t xml:space="preserve"> which are grouped in terms of related industr</w:t>
      </w:r>
      <w:r>
        <w:t>y classifications</w:t>
      </w:r>
      <w:r w:rsidRPr="00F5409F">
        <w:t xml:space="preserve">. </w:t>
      </w:r>
      <w:r>
        <w:t>T</w:t>
      </w:r>
      <w:r w:rsidRPr="00147E9F">
        <w:t>he concentric circles model of cultural industries developed by Throsby</w:t>
      </w:r>
      <w:r>
        <w:rPr>
          <w:rStyle w:val="EndnoteReference"/>
        </w:rPr>
        <w:endnoteReference w:id="25"/>
      </w:r>
      <w:r>
        <w:t xml:space="preserve"> was adopted when scoping these domains (Figure 5).</w:t>
      </w:r>
    </w:p>
    <w:p w:rsidR="00150382" w:rsidRPr="00ED784A" w:rsidRDefault="00150382" w:rsidP="00B371FA">
      <w:pPr>
        <w:pStyle w:val="Tablefigureheading"/>
      </w:pPr>
      <w:bookmarkStart w:id="71" w:name="_Ref113881257"/>
      <w:bookmarkStart w:id="72" w:name="_Toc126581854"/>
      <w:bookmarkStart w:id="73" w:name="_Toc127959257"/>
      <w:bookmarkStart w:id="74" w:name="_Toc127959293"/>
      <w:r w:rsidRPr="007048F4">
        <w:t xml:space="preserve">Figure </w:t>
      </w:r>
      <w:r w:rsidRPr="007048F4">
        <w:fldChar w:fldCharType="begin"/>
      </w:r>
      <w:r w:rsidRPr="00524CDA">
        <w:instrText xml:space="preserve"> SEQ Figure \* ARABIC </w:instrText>
      </w:r>
      <w:r w:rsidRPr="007048F4">
        <w:fldChar w:fldCharType="separate"/>
      </w:r>
      <w:r>
        <w:rPr>
          <w:noProof/>
        </w:rPr>
        <w:t>5</w:t>
      </w:r>
      <w:r w:rsidRPr="007048F4">
        <w:rPr>
          <w:noProof/>
        </w:rPr>
        <w:fldChar w:fldCharType="end"/>
      </w:r>
      <w:bookmarkEnd w:id="71"/>
      <w:r w:rsidRPr="007048F4">
        <w:t xml:space="preserve">. </w:t>
      </w:r>
      <w:bookmarkStart w:id="75" w:name="_Hlk113898737"/>
      <w:r w:rsidRPr="00ED784A">
        <w:t>The</w:t>
      </w:r>
      <w:r w:rsidRPr="007048F4">
        <w:t xml:space="preserve"> </w:t>
      </w:r>
      <w:r w:rsidRPr="00ED784A">
        <w:t xml:space="preserve">concentric circles model </w:t>
      </w:r>
      <w:bookmarkEnd w:id="75"/>
      <w:r w:rsidRPr="00ED784A">
        <w:t>of the cultural industries</w:t>
      </w:r>
      <w:bookmarkEnd w:id="72"/>
      <w:bookmarkEnd w:id="73"/>
      <w:bookmarkEnd w:id="74"/>
    </w:p>
    <w:p w:rsidR="00150382" w:rsidRDefault="00150382" w:rsidP="00150382">
      <w:pPr>
        <w:spacing w:after="0"/>
      </w:pPr>
      <w:r>
        <w:rPr>
          <w:noProof/>
        </w:rPr>
        <w:drawing>
          <wp:inline distT="0" distB="0" distL="0" distR="0" wp14:anchorId="29E423C7" wp14:editId="303D3FFE">
            <wp:extent cx="5903976" cy="2298192"/>
            <wp:effectExtent l="0" t="0" r="1905" b="6985"/>
            <wp:docPr id="26" name="Picture 26" descr="Figure 5. The concentric circles model of the cultural industries&#10;&#10;This chart shows the concentric circles model of cultural industries developed by David Thro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3976" cy="2298192"/>
                    </a:xfrm>
                    <a:prstGeom prst="rect">
                      <a:avLst/>
                    </a:prstGeom>
                  </pic:spPr>
                </pic:pic>
              </a:graphicData>
            </a:graphic>
          </wp:inline>
        </w:drawing>
      </w:r>
    </w:p>
    <w:p w:rsidR="00150382" w:rsidRDefault="00150382" w:rsidP="00B371FA">
      <w:pPr>
        <w:pStyle w:val="Sourcenote"/>
      </w:pPr>
      <w:r w:rsidRPr="005B377E">
        <w:t xml:space="preserve">Source: </w:t>
      </w:r>
      <w:r w:rsidRPr="00ED784A">
        <w:t>Throsby, D. (2008)</w:t>
      </w:r>
    </w:p>
    <w:p w:rsidR="00150382" w:rsidRDefault="00150382" w:rsidP="00B371FA">
      <w:pPr>
        <w:keepLines/>
      </w:pPr>
      <w:r w:rsidRPr="00442AF4">
        <w:lastRenderedPageBreak/>
        <w:t>Th</w:t>
      </w:r>
      <w:r>
        <w:t>e</w:t>
      </w:r>
      <w:r w:rsidRPr="00442AF4">
        <w:t xml:space="preserve"> concentric circles model</w:t>
      </w:r>
      <w:r>
        <w:t xml:space="preserve"> identifies four layers (or circles), which can be used to classify industries that produce cultural and creative goods and services according to the definitions described earlier.</w:t>
      </w:r>
      <w:r>
        <w:rPr>
          <w:rStyle w:val="EndnoteReference"/>
        </w:rPr>
        <w:endnoteReference w:id="26"/>
      </w:r>
      <w:r>
        <w:t xml:space="preserve"> In this model, the circle at the centre represents core industries whose proportion of cultural content is deemed highest, with layers extending outwards from the centre as the cultural content falls relative to the commercial value of the commodities or services produced.</w:t>
      </w:r>
      <w:r>
        <w:rPr>
          <w:rStyle w:val="EndnoteReference"/>
        </w:rPr>
        <w:endnoteReference w:id="27"/>
      </w:r>
      <w:r>
        <w:t xml:space="preserve"> </w:t>
      </w:r>
    </w:p>
    <w:p w:rsidR="00150382" w:rsidRDefault="00150382" w:rsidP="00150382">
      <w:r>
        <w:t xml:space="preserve">However, when </w:t>
      </w:r>
      <w:r w:rsidRPr="007B0BD6">
        <w:t xml:space="preserve">scoping these domains initially, </w:t>
      </w:r>
      <w:r w:rsidRPr="008D58F8">
        <w:t xml:space="preserve">some were either categorised across different layers such as </w:t>
      </w:r>
      <w:r w:rsidRPr="00571ADC">
        <w:t>Literature and print media</w:t>
      </w:r>
      <w:r w:rsidRPr="007B0BD6">
        <w:t>, or not explicitly identified in the orig</w:t>
      </w:r>
      <w:r w:rsidRPr="008D58F8">
        <w:t xml:space="preserve">inal concentric circles model, such as </w:t>
      </w:r>
      <w:r w:rsidRPr="00571ADC">
        <w:t>Supporting activities</w:t>
      </w:r>
      <w:r w:rsidRPr="007B0BD6">
        <w:t xml:space="preserve">. Also, </w:t>
      </w:r>
      <w:r w:rsidRPr="008D58F8">
        <w:t>because</w:t>
      </w:r>
      <w:r w:rsidRPr="007E2C71">
        <w:t xml:space="preserve"> domains were defined based on the ANZSIC industry classification level only, some data issues were identified in the </w:t>
      </w:r>
      <w:r>
        <w:t>current</w:t>
      </w:r>
      <w:r w:rsidRPr="007E2C71">
        <w:t xml:space="preserve"> </w:t>
      </w:r>
      <w:r>
        <w:t>cultural and creative activity satellite accounts</w:t>
      </w:r>
      <w:r w:rsidRPr="007E2C71">
        <w:t>.</w:t>
      </w:r>
    </w:p>
    <w:p w:rsidR="00150382" w:rsidRDefault="00150382" w:rsidP="00150382">
      <w:r>
        <w:t xml:space="preserve">Twelve domains are listed in the current cultural and creative activity satellite accounts framework (see </w:t>
      </w:r>
      <w:r>
        <w:fldChar w:fldCharType="begin"/>
      </w:r>
      <w:r>
        <w:instrText xml:space="preserve"> REF _Ref117505669 \h </w:instrText>
      </w:r>
      <w:r>
        <w:fldChar w:fldCharType="separate"/>
      </w:r>
      <w:r>
        <w:t xml:space="preserve">Figure </w:t>
      </w:r>
      <w:r>
        <w:rPr>
          <w:noProof/>
        </w:rPr>
        <w:t>6</w:t>
      </w:r>
      <w:r>
        <w:fldChar w:fldCharType="end"/>
      </w:r>
      <w:r>
        <w:t xml:space="preserve"> and </w:t>
      </w:r>
      <w:hyperlink w:anchor="_Appendix_B—Cultural_and" w:history="1">
        <w:r w:rsidRPr="002C3C48">
          <w:rPr>
            <w:rStyle w:val="Hyperlink"/>
          </w:rPr>
          <w:t>Appendix B</w:t>
        </w:r>
      </w:hyperlink>
      <w:r>
        <w:t>).</w:t>
      </w:r>
    </w:p>
    <w:p w:rsidR="00150382" w:rsidRDefault="00150382" w:rsidP="00B371FA">
      <w:pPr>
        <w:pStyle w:val="Tablefigureheading"/>
      </w:pPr>
      <w:bookmarkStart w:id="76" w:name="_Ref117505669"/>
      <w:bookmarkStart w:id="77" w:name="_Toc126581855"/>
      <w:bookmarkStart w:id="78" w:name="_Toc127959258"/>
      <w:bookmarkStart w:id="79" w:name="_Toc127959294"/>
      <w:r>
        <w:t xml:space="preserve">Figure </w:t>
      </w:r>
      <w:r w:rsidR="00C102F1">
        <w:fldChar w:fldCharType="begin"/>
      </w:r>
      <w:r w:rsidR="00C102F1">
        <w:instrText xml:space="preserve"> SEQ Figure \* ARABIC </w:instrText>
      </w:r>
      <w:r w:rsidR="00C102F1">
        <w:fldChar w:fldCharType="separate"/>
      </w:r>
      <w:r>
        <w:rPr>
          <w:noProof/>
        </w:rPr>
        <w:t>6</w:t>
      </w:r>
      <w:r w:rsidR="00C102F1">
        <w:rPr>
          <w:noProof/>
        </w:rPr>
        <w:fldChar w:fldCharType="end"/>
      </w:r>
      <w:bookmarkEnd w:id="76"/>
      <w:r>
        <w:t xml:space="preserve">. </w:t>
      </w:r>
      <w:r w:rsidRPr="008C7346">
        <w:t>Cultural and creative domains</w:t>
      </w:r>
      <w:r>
        <w:t xml:space="preserve"> – ABS 2014 and BCARR’s 2018 framework</w:t>
      </w:r>
      <w:bookmarkEnd w:id="77"/>
      <w:bookmarkEnd w:id="78"/>
      <w:bookmarkEnd w:id="79"/>
    </w:p>
    <w:p w:rsidR="00150382" w:rsidRDefault="00150382" w:rsidP="00150382">
      <w:r>
        <w:rPr>
          <w:noProof/>
        </w:rPr>
        <w:drawing>
          <wp:inline distT="0" distB="0" distL="0" distR="0" wp14:anchorId="38CCBDAE" wp14:editId="21957DDA">
            <wp:extent cx="5724939" cy="3384238"/>
            <wp:effectExtent l="0" t="0" r="0" b="6985"/>
            <wp:docPr id="6" name="Picture 6" descr="Figure 6. Cultural and creative domains – ABS 2014 and BCARR’s 2018 framework&#10;&#10;This chart lists twelve domains in the current cultural and creative activity satellite accounts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611" cy="3388773"/>
                    </a:xfrm>
                    <a:prstGeom prst="rect">
                      <a:avLst/>
                    </a:prstGeom>
                  </pic:spPr>
                </pic:pic>
              </a:graphicData>
            </a:graphic>
          </wp:inline>
        </w:drawing>
      </w:r>
    </w:p>
    <w:p w:rsidR="00150382" w:rsidRDefault="00150382" w:rsidP="00B371FA">
      <w:pPr>
        <w:pStyle w:val="Sourcenote"/>
      </w:pPr>
      <w:r w:rsidRPr="005B377E">
        <w:t xml:space="preserve">Source: ABS </w:t>
      </w:r>
      <w:r>
        <w:t>C</w:t>
      </w:r>
      <w:r w:rsidRPr="005B377E">
        <w:t>at.</w:t>
      </w:r>
      <w:r>
        <w:t xml:space="preserve"> no.</w:t>
      </w:r>
      <w:r w:rsidRPr="005B377E">
        <w:t xml:space="preserve"> </w:t>
      </w:r>
      <w:r>
        <w:t>5271.0; BCARR analysis</w:t>
      </w:r>
    </w:p>
    <w:p w:rsidR="00150382" w:rsidRDefault="00150382" w:rsidP="00B371FA">
      <w:pPr>
        <w:pStyle w:val="Heading6"/>
      </w:pPr>
      <w:r>
        <w:t>Data gaps</w:t>
      </w:r>
    </w:p>
    <w:p w:rsidR="00690C60" w:rsidRDefault="00150382" w:rsidP="00150382">
      <w:pPr>
        <w:spacing w:before="80"/>
      </w:pPr>
      <w:r w:rsidRPr="00931116">
        <w:t xml:space="preserve">Consistent with the </w:t>
      </w:r>
      <w:r>
        <w:t>ABS s</w:t>
      </w:r>
      <w:r w:rsidRPr="00931116">
        <w:t xml:space="preserve">atellite </w:t>
      </w:r>
      <w:r>
        <w:t>a</w:t>
      </w:r>
      <w:r w:rsidRPr="00931116">
        <w:t xml:space="preserve">ccounts, some industries </w:t>
      </w:r>
      <w:r>
        <w:t xml:space="preserve">currently </w:t>
      </w:r>
      <w:r w:rsidRPr="00931116">
        <w:t xml:space="preserve">identified as in-scope </w:t>
      </w:r>
      <w:r>
        <w:t>contain</w:t>
      </w:r>
      <w:r w:rsidRPr="00931116">
        <w:t xml:space="preserve"> significant amounts of activity </w:t>
      </w:r>
      <w:r>
        <w:t xml:space="preserve">that may not be considered </w:t>
      </w:r>
      <w:r w:rsidRPr="00931116">
        <w:t xml:space="preserve">cultural or creative. An example used </w:t>
      </w:r>
      <w:r>
        <w:t>by the ABS</w:t>
      </w:r>
      <w:r w:rsidRPr="00931116">
        <w:t xml:space="preserve"> is higher education (a supporting industry) that covers entities engaged mainly in undergraduate or postgraduate teaching, of which only a small part is considered cultural or creative</w:t>
      </w:r>
      <w:r>
        <w:t xml:space="preserve"> activity</w:t>
      </w:r>
      <w:r w:rsidR="00690C60">
        <w:t>.</w:t>
      </w:r>
    </w:p>
    <w:p w:rsidR="00690C60" w:rsidRDefault="00150382" w:rsidP="00150382">
      <w:pPr>
        <w:spacing w:before="80"/>
      </w:pPr>
      <w:r w:rsidRPr="00931116">
        <w:t xml:space="preserve">In these cases, </w:t>
      </w:r>
      <w:r>
        <w:t xml:space="preserve">where possible, </w:t>
      </w:r>
      <w:r w:rsidRPr="00931116">
        <w:t xml:space="preserve">out-of-scope activities are </w:t>
      </w:r>
      <w:r>
        <w:t xml:space="preserve">currently </w:t>
      </w:r>
      <w:r w:rsidRPr="00931116">
        <w:t>removed from the Satellite Accounts through an apportioning process</w:t>
      </w:r>
      <w:r>
        <w:t>. When this cannot be achieved, such</w:t>
      </w:r>
      <w:r w:rsidRPr="00931116">
        <w:t xml:space="preserve"> industries are excluded</w:t>
      </w:r>
      <w:r>
        <w:t>. This is done in order</w:t>
      </w:r>
      <w:r w:rsidRPr="00931116">
        <w:t xml:space="preserve"> to prevent the accounts </w:t>
      </w:r>
      <w:r>
        <w:t>overstating the amount of cultural and creative activity</w:t>
      </w:r>
      <w:r w:rsidR="00690C60">
        <w:t>.</w:t>
      </w:r>
    </w:p>
    <w:p w:rsidR="00150382" w:rsidRDefault="00150382" w:rsidP="00150382">
      <w:pPr>
        <w:spacing w:before="80"/>
      </w:pPr>
      <w:r>
        <w:t>The i</w:t>
      </w:r>
      <w:r w:rsidRPr="00931116">
        <w:t xml:space="preserve">ndustries </w:t>
      </w:r>
      <w:r>
        <w:t xml:space="preserve">currently </w:t>
      </w:r>
      <w:r w:rsidRPr="00931116">
        <w:t>excluded for this reason</w:t>
      </w:r>
      <w:r>
        <w:t xml:space="preserve"> a</w:t>
      </w:r>
      <w:r w:rsidRPr="00931116">
        <w:t xml:space="preserve">re listed </w:t>
      </w:r>
      <w:r>
        <w:t xml:space="preserve">in </w:t>
      </w:r>
      <w:r>
        <w:fldChar w:fldCharType="begin"/>
      </w:r>
      <w:r>
        <w:instrText xml:space="preserve"> REF _Ref117506735 \h </w:instrText>
      </w:r>
      <w:r>
        <w:fldChar w:fldCharType="separate"/>
      </w:r>
      <w:r w:rsidRPr="007048F4">
        <w:t xml:space="preserve">Table </w:t>
      </w:r>
      <w:r>
        <w:rPr>
          <w:noProof/>
        </w:rPr>
        <w:t>2</w:t>
      </w:r>
      <w:r>
        <w:fldChar w:fldCharType="end"/>
      </w:r>
      <w:r w:rsidRPr="00710DCE">
        <w:t xml:space="preserve">. </w:t>
      </w:r>
      <w:r w:rsidRPr="00931116">
        <w:t xml:space="preserve">Cultural and creative activity in these industries is, however, partly captured by the </w:t>
      </w:r>
      <w:r>
        <w:t xml:space="preserve">existing methodology in the </w:t>
      </w:r>
      <w:r w:rsidRPr="00931116">
        <w:t>second component of the Satellite Accounts (compensation of employees</w:t>
      </w:r>
      <w:r>
        <w:t xml:space="preserve"> for</w:t>
      </w:r>
      <w:r w:rsidRPr="00931116">
        <w:t xml:space="preserve"> cultural and creative </w:t>
      </w:r>
      <w:r>
        <w:t>workers</w:t>
      </w:r>
      <w:r w:rsidRPr="00931116">
        <w:t xml:space="preserve"> in other industries).</w:t>
      </w:r>
      <w:r w:rsidRPr="00474732">
        <w:rPr>
          <w:vertAlign w:val="superscript"/>
        </w:rPr>
        <w:endnoteReference w:id="28"/>
      </w:r>
    </w:p>
    <w:p w:rsidR="00150382" w:rsidRPr="00FB246C" w:rsidRDefault="00150382" w:rsidP="00B371FA">
      <w:pPr>
        <w:pStyle w:val="Tablefigureheading"/>
      </w:pPr>
      <w:bookmarkStart w:id="80" w:name="_Ref117506735"/>
      <w:bookmarkStart w:id="81" w:name="_Toc126581856"/>
      <w:bookmarkStart w:id="82" w:name="_Toc127959259"/>
      <w:bookmarkStart w:id="83" w:name="_Toc127959275"/>
      <w:r w:rsidRPr="007048F4">
        <w:lastRenderedPageBreak/>
        <w:t xml:space="preserve">Table </w:t>
      </w:r>
      <w:r w:rsidRPr="007048F4">
        <w:fldChar w:fldCharType="begin"/>
      </w:r>
      <w:r w:rsidRPr="00D93622">
        <w:instrText xml:space="preserve"> SEQ Table \* ARABIC </w:instrText>
      </w:r>
      <w:r w:rsidRPr="007048F4">
        <w:fldChar w:fldCharType="separate"/>
      </w:r>
      <w:r w:rsidR="00113F51">
        <w:rPr>
          <w:noProof/>
        </w:rPr>
        <w:t>2</w:t>
      </w:r>
      <w:r w:rsidRPr="007048F4">
        <w:rPr>
          <w:noProof/>
        </w:rPr>
        <w:fldChar w:fldCharType="end"/>
      </w:r>
      <w:bookmarkEnd w:id="80"/>
      <w:r w:rsidRPr="007048F4">
        <w:t xml:space="preserve">. </w:t>
      </w:r>
      <w:r w:rsidRPr="00FB246C">
        <w:t>Data gaps for current methodology</w:t>
      </w:r>
      <w:bookmarkEnd w:id="81"/>
      <w:bookmarkEnd w:id="82"/>
      <w:bookmarkEnd w:id="83"/>
    </w:p>
    <w:tbl>
      <w:tblPr>
        <w:tblStyle w:val="DefaultTable1"/>
        <w:tblW w:w="7655" w:type="dxa"/>
        <w:tblLook w:val="04E0" w:firstRow="1" w:lastRow="1" w:firstColumn="1" w:lastColumn="0" w:noHBand="0" w:noVBand="1"/>
        <w:tblDescription w:val="Table 2. Data gaps for current methodology"/>
      </w:tblPr>
      <w:tblGrid>
        <w:gridCol w:w="1560"/>
        <w:gridCol w:w="6095"/>
      </w:tblGrid>
      <w:tr w:rsidR="00150382" w:rsidTr="00B371F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shd w:val="clear" w:color="auto" w:fill="081E3E"/>
          </w:tcPr>
          <w:p w:rsidR="00150382" w:rsidRDefault="00150382" w:rsidP="00150382">
            <w:r>
              <w:t>Code</w:t>
            </w:r>
          </w:p>
        </w:tc>
        <w:tc>
          <w:tcPr>
            <w:tcW w:w="6095" w:type="dxa"/>
            <w:shd w:val="clear" w:color="auto" w:fill="081E3E"/>
          </w:tcPr>
          <w:p w:rsidR="00150382" w:rsidRDefault="00150382" w:rsidP="00150382">
            <w:pPr>
              <w:cnfStyle w:val="100000000000" w:firstRow="1" w:lastRow="0" w:firstColumn="0" w:lastColumn="0" w:oddVBand="0" w:evenVBand="0" w:oddHBand="0" w:evenHBand="0" w:firstRowFirstColumn="0" w:firstRowLastColumn="0" w:lastRowFirstColumn="0" w:lastRowLastColumn="0"/>
            </w:pPr>
            <w:r>
              <w:t>ANZSIC Class Name</w:t>
            </w:r>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Default="00150382" w:rsidP="00150382">
            <w:r w:rsidRPr="00447165">
              <w:t>1320</w:t>
            </w:r>
          </w:p>
        </w:tc>
        <w:tc>
          <w:tcPr>
            <w:tcW w:w="6095" w:type="dxa"/>
          </w:tcPr>
          <w:p w:rsidR="00150382" w:rsidRDefault="00150382" w:rsidP="00150382">
            <w:pPr>
              <w:cnfStyle w:val="000000000000" w:firstRow="0" w:lastRow="0" w:firstColumn="0" w:lastColumn="0" w:oddVBand="0" w:evenVBand="0" w:oddHBand="0" w:evenHBand="0" w:firstRowFirstColumn="0" w:firstRowLastColumn="0" w:lastRowFirstColumn="0" w:lastRowLastColumn="0"/>
            </w:pPr>
            <w:r>
              <w:t>Leather Tanning, Fur Dressing and Leather Product Manufacturing</w:t>
            </w:r>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Default="00150382" w:rsidP="00150382">
            <w:r w:rsidRPr="00447165">
              <w:t>2029</w:t>
            </w:r>
          </w:p>
        </w:tc>
        <w:tc>
          <w:tcPr>
            <w:tcW w:w="6095" w:type="dxa"/>
          </w:tcPr>
          <w:p w:rsidR="00150382" w:rsidRDefault="00150382" w:rsidP="00150382">
            <w:pPr>
              <w:cnfStyle w:val="000000010000" w:firstRow="0" w:lastRow="0" w:firstColumn="0" w:lastColumn="0" w:oddVBand="0" w:evenVBand="0" w:oddHBand="0" w:evenHBand="1" w:firstRowFirstColumn="0" w:firstRowLastColumn="0" w:lastRowFirstColumn="0" w:lastRowLastColumn="0"/>
            </w:pPr>
            <w:r w:rsidRPr="00447165">
              <w:t>Other Ceramic Product Manufacturing</w:t>
            </w:r>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Default="00150382" w:rsidP="00150382">
            <w:r w:rsidRPr="00447165">
              <w:t>2599</w:t>
            </w:r>
          </w:p>
        </w:tc>
        <w:tc>
          <w:tcPr>
            <w:tcW w:w="6095" w:type="dxa"/>
          </w:tcPr>
          <w:p w:rsidR="00150382" w:rsidRDefault="00150382" w:rsidP="00150382">
            <w:pPr>
              <w:cnfStyle w:val="000000000000" w:firstRow="0" w:lastRow="0" w:firstColumn="0" w:lastColumn="0" w:oddVBand="0" w:evenVBand="0" w:oddHBand="0" w:evenHBand="0" w:firstRowFirstColumn="0" w:firstRowLastColumn="0" w:lastRowFirstColumn="0" w:lastRowLastColumn="0"/>
            </w:pPr>
            <w:r w:rsidRPr="00447165">
              <w:t xml:space="preserve">Other Manufacturing </w:t>
            </w:r>
            <w:proofErr w:type="spellStart"/>
            <w:r w:rsidRPr="00447165">
              <w:t>n.e.c.</w:t>
            </w:r>
            <w:proofErr w:type="spellEnd"/>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Default="00150382" w:rsidP="00150382">
            <w:r w:rsidRPr="00447165">
              <w:t>3020</w:t>
            </w:r>
          </w:p>
        </w:tc>
        <w:tc>
          <w:tcPr>
            <w:tcW w:w="6095" w:type="dxa"/>
          </w:tcPr>
          <w:p w:rsidR="00150382" w:rsidRDefault="00150382" w:rsidP="00150382">
            <w:pPr>
              <w:cnfStyle w:val="000000010000" w:firstRow="0" w:lastRow="0" w:firstColumn="0" w:lastColumn="0" w:oddVBand="0" w:evenVBand="0" w:oddHBand="0" w:evenHBand="1" w:firstRowFirstColumn="0" w:firstRowLastColumn="0" w:lastRowFirstColumn="0" w:lastRowLastColumn="0"/>
            </w:pPr>
            <w:r w:rsidRPr="00447165">
              <w:t>Non-Residential Building Construction</w:t>
            </w:r>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Default="00150382" w:rsidP="00150382">
            <w:r w:rsidRPr="00447165">
              <w:t>3109</w:t>
            </w:r>
          </w:p>
        </w:tc>
        <w:tc>
          <w:tcPr>
            <w:tcW w:w="6095" w:type="dxa"/>
          </w:tcPr>
          <w:p w:rsidR="00150382" w:rsidRDefault="00150382" w:rsidP="00150382">
            <w:pPr>
              <w:cnfStyle w:val="000000000000" w:firstRow="0" w:lastRow="0" w:firstColumn="0" w:lastColumn="0" w:oddVBand="0" w:evenVBand="0" w:oddHBand="0" w:evenHBand="0" w:firstRowFirstColumn="0" w:firstRowLastColumn="0" w:lastRowFirstColumn="0" w:lastRowLastColumn="0"/>
            </w:pPr>
            <w:r w:rsidRPr="00447165">
              <w:t>Other Heavy and Civil Engineering Construction</w:t>
            </w:r>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Default="00150382" w:rsidP="00150382">
            <w:r w:rsidRPr="00447165">
              <w:t>4520</w:t>
            </w:r>
          </w:p>
        </w:tc>
        <w:tc>
          <w:tcPr>
            <w:tcW w:w="6095" w:type="dxa"/>
          </w:tcPr>
          <w:p w:rsidR="00150382" w:rsidRDefault="00150382" w:rsidP="00150382">
            <w:pPr>
              <w:cnfStyle w:val="000000010000" w:firstRow="0" w:lastRow="0" w:firstColumn="0" w:lastColumn="0" w:oddVBand="0" w:evenVBand="0" w:oddHBand="0" w:evenHBand="1" w:firstRowFirstColumn="0" w:firstRowLastColumn="0" w:lastRowFirstColumn="0" w:lastRowLastColumn="0"/>
            </w:pPr>
            <w:r w:rsidRPr="00447165">
              <w:t>Pubs, Taverns and Bars</w:t>
            </w:r>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Default="00150382" w:rsidP="00150382">
            <w:r w:rsidRPr="00447165">
              <w:t>4530</w:t>
            </w:r>
          </w:p>
        </w:tc>
        <w:tc>
          <w:tcPr>
            <w:tcW w:w="6095" w:type="dxa"/>
          </w:tcPr>
          <w:p w:rsidR="00150382" w:rsidRDefault="00150382" w:rsidP="00150382">
            <w:pPr>
              <w:cnfStyle w:val="000000000000" w:firstRow="0" w:lastRow="0" w:firstColumn="0" w:lastColumn="0" w:oddVBand="0" w:evenVBand="0" w:oddHBand="0" w:evenHBand="0" w:firstRowFirstColumn="0" w:firstRowLastColumn="0" w:lastRowFirstColumn="0" w:lastRowLastColumn="0"/>
            </w:pPr>
            <w:r w:rsidRPr="00447165">
              <w:t>Clubs (Hospitality)</w:t>
            </w:r>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6639</w:t>
            </w:r>
          </w:p>
        </w:tc>
        <w:tc>
          <w:tcPr>
            <w:tcW w:w="6095" w:type="dxa"/>
          </w:tcPr>
          <w:p w:rsidR="00150382" w:rsidRPr="00447165" w:rsidRDefault="00150382" w:rsidP="00150382">
            <w:pPr>
              <w:cnfStyle w:val="000000010000" w:firstRow="0" w:lastRow="0" w:firstColumn="0" w:lastColumn="0" w:oddVBand="0" w:evenVBand="0" w:oddHBand="0" w:evenHBand="1" w:firstRowFirstColumn="0" w:firstRowLastColumn="0" w:lastRowFirstColumn="0" w:lastRowLastColumn="0"/>
            </w:pPr>
            <w:r w:rsidRPr="00447165">
              <w:t xml:space="preserve">Other Goods and Equipment Rental and Hiring </w:t>
            </w:r>
            <w:proofErr w:type="spellStart"/>
            <w:r w:rsidRPr="00447165">
              <w:t>n.e.c.</w:t>
            </w:r>
            <w:proofErr w:type="spellEnd"/>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6962</w:t>
            </w:r>
          </w:p>
        </w:tc>
        <w:tc>
          <w:tcPr>
            <w:tcW w:w="6095" w:type="dxa"/>
          </w:tcPr>
          <w:p w:rsidR="00150382" w:rsidRPr="00447165" w:rsidRDefault="00150382" w:rsidP="00150382">
            <w:pPr>
              <w:cnfStyle w:val="000000000000" w:firstRow="0" w:lastRow="0" w:firstColumn="0" w:lastColumn="0" w:oddVBand="0" w:evenVBand="0" w:oddHBand="0" w:evenHBand="0" w:firstRowFirstColumn="0" w:firstRowLastColumn="0" w:lastRowFirstColumn="0" w:lastRowLastColumn="0"/>
            </w:pPr>
            <w:r w:rsidRPr="00447165">
              <w:t>Management Advice and Related Consulting Services</w:t>
            </w:r>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7211</w:t>
            </w:r>
          </w:p>
        </w:tc>
        <w:tc>
          <w:tcPr>
            <w:tcW w:w="6095" w:type="dxa"/>
          </w:tcPr>
          <w:p w:rsidR="00150382" w:rsidRPr="00447165" w:rsidRDefault="00150382" w:rsidP="00150382">
            <w:pPr>
              <w:cnfStyle w:val="000000010000" w:firstRow="0" w:lastRow="0" w:firstColumn="0" w:lastColumn="0" w:oddVBand="0" w:evenVBand="0" w:oddHBand="0" w:evenHBand="1" w:firstRowFirstColumn="0" w:firstRowLastColumn="0" w:lastRowFirstColumn="0" w:lastRowLastColumn="0"/>
            </w:pPr>
            <w:r w:rsidRPr="00447165">
              <w:t>Employment Placement and Recruitment Services</w:t>
            </w:r>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7212</w:t>
            </w:r>
          </w:p>
        </w:tc>
        <w:tc>
          <w:tcPr>
            <w:tcW w:w="6095" w:type="dxa"/>
          </w:tcPr>
          <w:p w:rsidR="00150382" w:rsidRPr="00447165" w:rsidRDefault="00150382" w:rsidP="00150382">
            <w:pPr>
              <w:cnfStyle w:val="000000000000" w:firstRow="0" w:lastRow="0" w:firstColumn="0" w:lastColumn="0" w:oddVBand="0" w:evenVBand="0" w:oddHBand="0" w:evenHBand="0" w:firstRowFirstColumn="0" w:firstRowLastColumn="0" w:lastRowFirstColumn="0" w:lastRowLastColumn="0"/>
            </w:pPr>
            <w:r w:rsidRPr="00447165">
              <w:t>Labour Supply Services</w:t>
            </w:r>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7299</w:t>
            </w:r>
          </w:p>
        </w:tc>
        <w:tc>
          <w:tcPr>
            <w:tcW w:w="6095" w:type="dxa"/>
          </w:tcPr>
          <w:p w:rsidR="00150382" w:rsidRPr="00447165" w:rsidRDefault="00150382" w:rsidP="00150382">
            <w:pPr>
              <w:cnfStyle w:val="000000010000" w:firstRow="0" w:lastRow="0" w:firstColumn="0" w:lastColumn="0" w:oddVBand="0" w:evenVBand="0" w:oddHBand="0" w:evenHBand="1" w:firstRowFirstColumn="0" w:firstRowLastColumn="0" w:lastRowFirstColumn="0" w:lastRowLastColumn="0"/>
            </w:pPr>
            <w:r w:rsidRPr="00447165">
              <w:t xml:space="preserve">Other Administrative Services </w:t>
            </w:r>
            <w:proofErr w:type="spellStart"/>
            <w:r w:rsidRPr="00447165">
              <w:t>n.e.c.</w:t>
            </w:r>
            <w:proofErr w:type="spellEnd"/>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7510</w:t>
            </w:r>
          </w:p>
        </w:tc>
        <w:tc>
          <w:tcPr>
            <w:tcW w:w="6095" w:type="dxa"/>
          </w:tcPr>
          <w:p w:rsidR="00150382" w:rsidRPr="00447165" w:rsidRDefault="00150382" w:rsidP="00150382">
            <w:pPr>
              <w:cnfStyle w:val="000000000000" w:firstRow="0" w:lastRow="0" w:firstColumn="0" w:lastColumn="0" w:oddVBand="0" w:evenVBand="0" w:oddHBand="0" w:evenHBand="0" w:firstRowFirstColumn="0" w:firstRowLastColumn="0" w:lastRowFirstColumn="0" w:lastRowLastColumn="0"/>
            </w:pPr>
            <w:r w:rsidRPr="00447165">
              <w:t>Central Government Administration</w:t>
            </w:r>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7520</w:t>
            </w:r>
          </w:p>
        </w:tc>
        <w:tc>
          <w:tcPr>
            <w:tcW w:w="6095" w:type="dxa"/>
          </w:tcPr>
          <w:p w:rsidR="00150382" w:rsidRPr="00447165" w:rsidRDefault="00150382" w:rsidP="00150382">
            <w:pPr>
              <w:cnfStyle w:val="000000010000" w:firstRow="0" w:lastRow="0" w:firstColumn="0" w:lastColumn="0" w:oddVBand="0" w:evenVBand="0" w:oddHBand="0" w:evenHBand="1" w:firstRowFirstColumn="0" w:firstRowLastColumn="0" w:lastRowFirstColumn="0" w:lastRowLastColumn="0"/>
            </w:pPr>
            <w:r w:rsidRPr="00447165">
              <w:t>State Government Administration</w:t>
            </w:r>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7530</w:t>
            </w:r>
          </w:p>
        </w:tc>
        <w:tc>
          <w:tcPr>
            <w:tcW w:w="6095" w:type="dxa"/>
          </w:tcPr>
          <w:p w:rsidR="00150382" w:rsidRPr="00447165" w:rsidRDefault="00150382" w:rsidP="00150382">
            <w:pPr>
              <w:cnfStyle w:val="000000000000" w:firstRow="0" w:lastRow="0" w:firstColumn="0" w:lastColumn="0" w:oddVBand="0" w:evenVBand="0" w:oddHBand="0" w:evenHBand="0" w:firstRowFirstColumn="0" w:firstRowLastColumn="0" w:lastRowFirstColumn="0" w:lastRowLastColumn="0"/>
            </w:pPr>
            <w:r w:rsidRPr="00447165">
              <w:t>Local Government Administration</w:t>
            </w:r>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8101</w:t>
            </w:r>
          </w:p>
        </w:tc>
        <w:tc>
          <w:tcPr>
            <w:tcW w:w="6095" w:type="dxa"/>
          </w:tcPr>
          <w:p w:rsidR="00150382" w:rsidRPr="00447165" w:rsidRDefault="00150382" w:rsidP="00150382">
            <w:pPr>
              <w:cnfStyle w:val="000000010000" w:firstRow="0" w:lastRow="0" w:firstColumn="0" w:lastColumn="0" w:oddVBand="0" w:evenVBand="0" w:oddHBand="0" w:evenHBand="1" w:firstRowFirstColumn="0" w:firstRowLastColumn="0" w:lastRowFirstColumn="0" w:lastRowLastColumn="0"/>
            </w:pPr>
            <w:r w:rsidRPr="00447165">
              <w:t>Technical and Vocational Education and Training</w:t>
            </w:r>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8102</w:t>
            </w:r>
          </w:p>
        </w:tc>
        <w:tc>
          <w:tcPr>
            <w:tcW w:w="6095" w:type="dxa"/>
          </w:tcPr>
          <w:p w:rsidR="00150382" w:rsidRPr="00447165" w:rsidRDefault="00150382" w:rsidP="00150382">
            <w:pPr>
              <w:cnfStyle w:val="000000000000" w:firstRow="0" w:lastRow="0" w:firstColumn="0" w:lastColumn="0" w:oddVBand="0" w:evenVBand="0" w:oddHBand="0" w:evenHBand="0" w:firstRowFirstColumn="0" w:firstRowLastColumn="0" w:lastRowFirstColumn="0" w:lastRowLastColumn="0"/>
            </w:pPr>
            <w:r w:rsidRPr="00447165">
              <w:t>Higher Education</w:t>
            </w:r>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9499</w:t>
            </w:r>
          </w:p>
        </w:tc>
        <w:tc>
          <w:tcPr>
            <w:tcW w:w="6095" w:type="dxa"/>
          </w:tcPr>
          <w:p w:rsidR="00150382" w:rsidRPr="00447165" w:rsidRDefault="00150382" w:rsidP="00150382">
            <w:pPr>
              <w:cnfStyle w:val="000000010000" w:firstRow="0" w:lastRow="0" w:firstColumn="0" w:lastColumn="0" w:oddVBand="0" w:evenVBand="0" w:oddHBand="0" w:evenHBand="1" w:firstRowFirstColumn="0" w:firstRowLastColumn="0" w:lastRowFirstColumn="0" w:lastRowLastColumn="0"/>
            </w:pPr>
            <w:r w:rsidRPr="00447165">
              <w:t xml:space="preserve">Other Repair and Maintenance </w:t>
            </w:r>
            <w:proofErr w:type="spellStart"/>
            <w:r w:rsidRPr="00447165">
              <w:t>n.e.c.</w:t>
            </w:r>
            <w:proofErr w:type="spellEnd"/>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9551</w:t>
            </w:r>
          </w:p>
        </w:tc>
        <w:tc>
          <w:tcPr>
            <w:tcW w:w="6095" w:type="dxa"/>
          </w:tcPr>
          <w:p w:rsidR="00150382" w:rsidRPr="00447165" w:rsidRDefault="00150382" w:rsidP="00150382">
            <w:pPr>
              <w:cnfStyle w:val="000000000000" w:firstRow="0" w:lastRow="0" w:firstColumn="0" w:lastColumn="0" w:oddVBand="0" w:evenVBand="0" w:oddHBand="0" w:evenHBand="0" w:firstRowFirstColumn="0" w:firstRowLastColumn="0" w:lastRowFirstColumn="0" w:lastRowLastColumn="0"/>
            </w:pPr>
            <w:r w:rsidRPr="00447165">
              <w:t>Business and Professional Association Services</w:t>
            </w:r>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rsidR="00150382" w:rsidRPr="00447165" w:rsidRDefault="00150382" w:rsidP="00150382">
            <w:r w:rsidRPr="00447165">
              <w:t>9552</w:t>
            </w:r>
          </w:p>
        </w:tc>
        <w:tc>
          <w:tcPr>
            <w:tcW w:w="6095" w:type="dxa"/>
          </w:tcPr>
          <w:p w:rsidR="00150382" w:rsidRPr="00447165" w:rsidRDefault="00150382" w:rsidP="00150382">
            <w:pPr>
              <w:cnfStyle w:val="000000010000" w:firstRow="0" w:lastRow="0" w:firstColumn="0" w:lastColumn="0" w:oddVBand="0" w:evenVBand="0" w:oddHBand="0" w:evenHBand="1" w:firstRowFirstColumn="0" w:firstRowLastColumn="0" w:lastRowFirstColumn="0" w:lastRowLastColumn="0"/>
            </w:pPr>
            <w:r w:rsidRPr="00447165">
              <w:t>Labour Association Services</w:t>
            </w:r>
          </w:p>
        </w:tc>
      </w:tr>
      <w:tr w:rsidR="00150382" w:rsidTr="00B371FA">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150382" w:rsidRPr="00447165" w:rsidRDefault="00150382" w:rsidP="00150382">
            <w:r w:rsidRPr="00447165">
              <w:t>9559</w:t>
            </w:r>
          </w:p>
        </w:tc>
        <w:tc>
          <w:tcPr>
            <w:tcW w:w="6095" w:type="dxa"/>
            <w:shd w:val="clear" w:color="auto" w:fill="auto"/>
          </w:tcPr>
          <w:p w:rsidR="00150382" w:rsidRPr="001F5705" w:rsidRDefault="00150382" w:rsidP="00150382">
            <w:pPr>
              <w:cnfStyle w:val="010000000000" w:firstRow="0" w:lastRow="1" w:firstColumn="0" w:lastColumn="0" w:oddVBand="0" w:evenVBand="0" w:oddHBand="0" w:evenHBand="0" w:firstRowFirstColumn="0" w:firstRowLastColumn="0" w:lastRowFirstColumn="0" w:lastRowLastColumn="0"/>
              <w:rPr>
                <w:b w:val="0"/>
              </w:rPr>
            </w:pPr>
            <w:r w:rsidRPr="001F5705">
              <w:rPr>
                <w:b w:val="0"/>
              </w:rPr>
              <w:t xml:space="preserve">Other Interest Group Services </w:t>
            </w:r>
            <w:proofErr w:type="spellStart"/>
            <w:r w:rsidRPr="001F5705">
              <w:rPr>
                <w:b w:val="0"/>
              </w:rPr>
              <w:t>n.e.c.</w:t>
            </w:r>
            <w:proofErr w:type="spellEnd"/>
          </w:p>
        </w:tc>
      </w:tr>
    </w:tbl>
    <w:p w:rsidR="00150382" w:rsidRDefault="00150382" w:rsidP="00150382">
      <w:pPr>
        <w:spacing w:before="120"/>
      </w:pPr>
      <w:r w:rsidRPr="005B377E">
        <w:rPr>
          <w:sz w:val="18"/>
          <w:szCs w:val="18"/>
        </w:rPr>
        <w:t xml:space="preserve">Source: ABS </w:t>
      </w:r>
      <w:r>
        <w:rPr>
          <w:sz w:val="18"/>
          <w:szCs w:val="18"/>
        </w:rPr>
        <w:t>C</w:t>
      </w:r>
      <w:r w:rsidRPr="005B377E">
        <w:rPr>
          <w:sz w:val="18"/>
          <w:szCs w:val="18"/>
        </w:rPr>
        <w:t>at.</w:t>
      </w:r>
      <w:r>
        <w:rPr>
          <w:sz w:val="18"/>
          <w:szCs w:val="18"/>
        </w:rPr>
        <w:t xml:space="preserve"> no.</w:t>
      </w:r>
      <w:r w:rsidRPr="005B377E">
        <w:rPr>
          <w:sz w:val="18"/>
          <w:szCs w:val="18"/>
        </w:rPr>
        <w:t xml:space="preserve"> </w:t>
      </w:r>
      <w:r>
        <w:rPr>
          <w:sz w:val="18"/>
          <w:szCs w:val="18"/>
        </w:rPr>
        <w:t>5271.0</w:t>
      </w:r>
    </w:p>
    <w:p w:rsidR="00150382" w:rsidRPr="00B00399" w:rsidRDefault="00150382" w:rsidP="00B371FA">
      <w:pPr>
        <w:pStyle w:val="Heading6"/>
      </w:pPr>
      <w:r>
        <w:t>L</w:t>
      </w:r>
      <w:r w:rsidRPr="00BB1A9A">
        <w:t>inking the new trident framework with the concentric circles model</w:t>
      </w:r>
    </w:p>
    <w:p w:rsidR="00150382" w:rsidRPr="00D93622" w:rsidRDefault="00150382" w:rsidP="00150382">
      <w:pPr>
        <w:keepNext/>
      </w:pPr>
      <w:bookmarkStart w:id="84" w:name="_Toc120617244"/>
      <w:r>
        <w:rPr>
          <w:iCs/>
        </w:rPr>
        <w:t>A ‘</w:t>
      </w:r>
      <w:r w:rsidRPr="00D93622">
        <w:t>matrix</w:t>
      </w:r>
      <w:r>
        <w:rPr>
          <w:iCs/>
        </w:rPr>
        <w:t>’</w:t>
      </w:r>
      <w:r w:rsidRPr="00D93622">
        <w:t xml:space="preserve"> framework</w:t>
      </w:r>
      <w:r>
        <w:rPr>
          <w:iCs/>
        </w:rPr>
        <w:t xml:space="preserve"> is proposed to link </w:t>
      </w:r>
      <w:r w:rsidRPr="00D93622">
        <w:t>the new trident framework</w:t>
      </w:r>
      <w:r>
        <w:rPr>
          <w:iCs/>
        </w:rPr>
        <w:t xml:space="preserve"> with the concentric circles model</w:t>
      </w:r>
      <w:r w:rsidRPr="00FB246C">
        <w:t xml:space="preserve"> (</w:t>
      </w:r>
      <w:r>
        <w:t>Figure 7</w:t>
      </w:r>
      <w:r w:rsidRPr="00BB1A9A">
        <w:t xml:space="preserve">). </w:t>
      </w:r>
      <w:r w:rsidRPr="00601AA1">
        <w:t xml:space="preserve">This approach would resolve the data gap issue described above. In the matrix, cultural and creative activity can be defined and identified </w:t>
      </w:r>
      <w:r>
        <w:t>using</w:t>
      </w:r>
      <w:r w:rsidRPr="00601AA1">
        <w:t xml:space="preserve"> a two-way approach, based on both the IOPCs and ANZSIC ind</w:t>
      </w:r>
      <w:r w:rsidRPr="00D93622">
        <w:t>ustry classifications.</w:t>
      </w:r>
      <w:bookmarkEnd w:id="84"/>
    </w:p>
    <w:p w:rsidR="00150382" w:rsidRDefault="00150382" w:rsidP="00150382">
      <w:r w:rsidRPr="00780ABF">
        <w:t>The IOPC is an industry of origin product classification that has been specifically developed by the ABS for the compilation and application of the Australian Input-Output (I-O) Tables</w:t>
      </w:r>
      <w:r>
        <w:t xml:space="preserve">. The </w:t>
      </w:r>
      <w:r w:rsidRPr="00780ABF">
        <w:t>structure</w:t>
      </w:r>
      <w:r>
        <w:t xml:space="preserve"> of IOPC</w:t>
      </w:r>
      <w:r w:rsidRPr="00780ABF">
        <w:t xml:space="preserve"> is implemented based on ANZSIC, in which the first four digits of the IOPC (which form the I</w:t>
      </w:r>
      <w:r>
        <w:noBreakHyphen/>
      </w:r>
      <w:r w:rsidRPr="00780ABF">
        <w:t>O product group) typically refer to the ANZSIC class to which the product is primary</w:t>
      </w:r>
      <w:r>
        <w:t xml:space="preserve"> to that industry</w:t>
      </w:r>
      <w:r w:rsidRPr="00780ABF">
        <w:t>.</w:t>
      </w:r>
      <w:r>
        <w:rPr>
          <w:rStyle w:val="EndnoteReference"/>
        </w:rPr>
        <w:endnoteReference w:id="29"/>
      </w:r>
    </w:p>
    <w:p w:rsidR="00150382" w:rsidRDefault="00150382" w:rsidP="00150382">
      <w:r>
        <w:t>Through this process, any industry class initially identified as ‘partially in-scope’ can be removed from the original industry list:</w:t>
      </w:r>
    </w:p>
    <w:p w:rsidR="00690C60" w:rsidRDefault="00150382" w:rsidP="00B371FA">
      <w:pPr>
        <w:pStyle w:val="Listparagraphbullets"/>
      </w:pPr>
      <w:r>
        <w:t xml:space="preserve">For example, </w:t>
      </w:r>
      <w:r w:rsidRPr="00A11CB4">
        <w:rPr>
          <w:i/>
        </w:rPr>
        <w:t>ANZSIC 8102 Higher Education</w:t>
      </w:r>
      <w:r>
        <w:t xml:space="preserve"> is not identified as a cultural and creative industry. However, final cultural and creative goods and services, such as computer system design services, can still be captured by this industry through the proposed new matrix framework</w:t>
      </w:r>
      <w:r w:rsidR="00690C60">
        <w:t>.</w:t>
      </w:r>
    </w:p>
    <w:p w:rsidR="00150382" w:rsidRDefault="00150382" w:rsidP="00B371FA">
      <w:pPr>
        <w:pStyle w:val="Listparagraphbullets"/>
        <w:spacing w:after="0"/>
      </w:pPr>
      <w:r w:rsidRPr="00990385">
        <w:lastRenderedPageBreak/>
        <w:t xml:space="preserve">Another example </w:t>
      </w:r>
      <w:r>
        <w:t xml:space="preserve">relates to the events sector. </w:t>
      </w:r>
      <w:r w:rsidRPr="00A11CB4">
        <w:rPr>
          <w:i/>
        </w:rPr>
        <w:t xml:space="preserve">ANZSIC 7299 Other Administrative Services </w:t>
      </w:r>
      <w:proofErr w:type="spellStart"/>
      <w:r w:rsidRPr="00A11CB4">
        <w:rPr>
          <w:i/>
        </w:rPr>
        <w:t>n.e.c</w:t>
      </w:r>
      <w:proofErr w:type="spellEnd"/>
      <w:r w:rsidRPr="00990385">
        <w:t xml:space="preserve"> </w:t>
      </w:r>
      <w:r>
        <w:t>is an</w:t>
      </w:r>
      <w:r w:rsidRPr="00990385">
        <w:t xml:space="preserve"> industry class </w:t>
      </w:r>
      <w:r>
        <w:t xml:space="preserve">which </w:t>
      </w:r>
      <w:r w:rsidRPr="00990385">
        <w:t>consists of activities</w:t>
      </w:r>
      <w:r>
        <w:t xml:space="preserve"> which </w:t>
      </w:r>
      <w:r w:rsidRPr="00990385">
        <w:t>provid</w:t>
      </w:r>
      <w:r>
        <w:t>e</w:t>
      </w:r>
      <w:r w:rsidRPr="00990385">
        <w:t xml:space="preserve"> admini</w:t>
      </w:r>
      <w:r>
        <w:t>s</w:t>
      </w:r>
      <w:r w:rsidRPr="00990385">
        <w:t>trative services not elsewhere classified</w:t>
      </w:r>
      <w:r>
        <w:t>. E</w:t>
      </w:r>
      <w:r w:rsidRPr="00990385">
        <w:t xml:space="preserve">vents activity, such as </w:t>
      </w:r>
      <w:r>
        <w:t xml:space="preserve">those relating to </w:t>
      </w:r>
      <w:r w:rsidRPr="00990385">
        <w:t>sport</w:t>
      </w:r>
      <w:r>
        <w:t>, the</w:t>
      </w:r>
      <w:r w:rsidRPr="00990385">
        <w:t xml:space="preserve"> art</w:t>
      </w:r>
      <w:r>
        <w:t>s,</w:t>
      </w:r>
      <w:r w:rsidRPr="00990385">
        <w:t xml:space="preserve"> </w:t>
      </w:r>
      <w:r>
        <w:t>or</w:t>
      </w:r>
      <w:r w:rsidRPr="00990385">
        <w:t xml:space="preserve"> similar event</w:t>
      </w:r>
      <w:r>
        <w:t>s</w:t>
      </w:r>
      <w:r w:rsidRPr="00990385">
        <w:t xml:space="preserve"> promotion services</w:t>
      </w:r>
      <w:r>
        <w:t>,</w:t>
      </w:r>
      <w:r w:rsidRPr="00990385">
        <w:t xml:space="preserve"> is a primary component within this class. While the share of events activity is difficult to estimate separately from this </w:t>
      </w:r>
      <w:r>
        <w:t xml:space="preserve">broader </w:t>
      </w:r>
      <w:r w:rsidRPr="00990385">
        <w:t>industry</w:t>
      </w:r>
      <w:r>
        <w:t xml:space="preserve"> class</w:t>
      </w:r>
      <w:r w:rsidRPr="00990385">
        <w:t xml:space="preserve">, it can be identified from the </w:t>
      </w:r>
      <w:r>
        <w:t>i</w:t>
      </w:r>
      <w:r w:rsidRPr="00990385">
        <w:t>nput-</w:t>
      </w:r>
      <w:r>
        <w:t>o</w:t>
      </w:r>
      <w:r w:rsidRPr="00990385">
        <w:t>utput table through the two IOPCs:</w:t>
      </w:r>
    </w:p>
    <w:p w:rsidR="00150382" w:rsidRDefault="00150382" w:rsidP="00B371FA">
      <w:pPr>
        <w:pStyle w:val="Listparagraphbulletssecondlevel"/>
      </w:pPr>
      <w:r w:rsidRPr="00990385">
        <w:t>72990020 Theatre, concert and sport ticketing and booking services</w:t>
      </w:r>
      <w:r>
        <w:t>; and</w:t>
      </w:r>
    </w:p>
    <w:p w:rsidR="00150382" w:rsidRDefault="00150382" w:rsidP="00B371FA">
      <w:pPr>
        <w:pStyle w:val="Listparagraphbulletssecondlevel"/>
      </w:pPr>
      <w:r w:rsidRPr="00990385">
        <w:t>72990030 Event management or promotion (incl sport, art or similar); fund raising services (fee based) or administration services nec</w:t>
      </w:r>
      <w:r>
        <w:t>.</w:t>
      </w:r>
    </w:p>
    <w:p w:rsidR="00150382" w:rsidRDefault="00150382" w:rsidP="002C3C48">
      <w:pPr>
        <w:rPr>
          <w:b/>
          <w:iCs/>
        </w:rPr>
      </w:pPr>
      <w:bookmarkStart w:id="85" w:name="_Toc121334232"/>
      <w:bookmarkStart w:id="86" w:name="_Toc121335649"/>
      <w:bookmarkStart w:id="87" w:name="_Toc126581857"/>
      <w:r w:rsidRPr="00BF7021">
        <w:t xml:space="preserve">For any other ANZSIC industry class highlighted as a data gap </w:t>
      </w:r>
      <w:r>
        <w:t>in Table 2</w:t>
      </w:r>
      <w:r w:rsidRPr="00BF7021">
        <w:t xml:space="preserve"> and excluded from the current satellite accounts, </w:t>
      </w:r>
      <w:r>
        <w:t>the proposed approach does not</w:t>
      </w:r>
      <w:r w:rsidRPr="00BF7021">
        <w:t xml:space="preserve"> require </w:t>
      </w:r>
      <w:r>
        <w:t xml:space="preserve">it </w:t>
      </w:r>
      <w:r w:rsidRPr="00BF7021">
        <w:t>to be identified as a cultural and creative industry</w:t>
      </w:r>
      <w:r>
        <w:t>, but will capture</w:t>
      </w:r>
      <w:r w:rsidRPr="00BF7021">
        <w:t xml:space="preserve"> the cultural and creative component within this industry at the product level. Furthermore, the matrix allows for opportunities to measure other economic variables such as international trade, household and government spending, and investment based on the input-output tables.</w:t>
      </w:r>
      <w:bookmarkStart w:id="88" w:name="_Ref118970566"/>
      <w:bookmarkEnd w:id="85"/>
      <w:bookmarkEnd w:id="86"/>
      <w:bookmarkEnd w:id="87"/>
    </w:p>
    <w:p w:rsidR="00150382" w:rsidRPr="00FB246C" w:rsidRDefault="00150382" w:rsidP="00B371FA">
      <w:pPr>
        <w:pStyle w:val="Tablefigureheading"/>
      </w:pPr>
      <w:bookmarkStart w:id="89" w:name="_Toc126581858"/>
      <w:bookmarkStart w:id="90" w:name="_Toc127959260"/>
      <w:bookmarkStart w:id="91" w:name="_Toc127959295"/>
      <w:r w:rsidRPr="007048F4">
        <w:t xml:space="preserve">Figure </w:t>
      </w:r>
      <w:r w:rsidRPr="007048F4">
        <w:fldChar w:fldCharType="begin"/>
      </w:r>
      <w:r w:rsidRPr="000B708C">
        <w:instrText xml:space="preserve"> SEQ Figure \* ARABIC </w:instrText>
      </w:r>
      <w:r w:rsidRPr="007048F4">
        <w:fldChar w:fldCharType="separate"/>
      </w:r>
      <w:r>
        <w:rPr>
          <w:noProof/>
        </w:rPr>
        <w:t>7</w:t>
      </w:r>
      <w:r w:rsidRPr="007048F4">
        <w:rPr>
          <w:noProof/>
        </w:rPr>
        <w:fldChar w:fldCharType="end"/>
      </w:r>
      <w:bookmarkEnd w:id="88"/>
      <w:r w:rsidRPr="007048F4">
        <w:t xml:space="preserve">. </w:t>
      </w:r>
      <w:r w:rsidRPr="00FB246C">
        <w:t>Matrix to link</w:t>
      </w:r>
      <w:r>
        <w:t xml:space="preserve"> the</w:t>
      </w:r>
      <w:r w:rsidRPr="00FB246C">
        <w:t xml:space="preserve"> trident and concentric circle</w:t>
      </w:r>
      <w:r>
        <w:t>s</w:t>
      </w:r>
      <w:r w:rsidRPr="00FB246C">
        <w:t xml:space="preserve"> models</w:t>
      </w:r>
      <w:bookmarkEnd w:id="89"/>
      <w:bookmarkEnd w:id="90"/>
      <w:bookmarkEnd w:id="91"/>
    </w:p>
    <w:p w:rsidR="00150382" w:rsidRDefault="00150382" w:rsidP="00150382">
      <w:r>
        <w:rPr>
          <w:noProof/>
        </w:rPr>
        <w:drawing>
          <wp:inline distT="0" distB="0" distL="0" distR="0" wp14:anchorId="7F09CC2A" wp14:editId="35EA5B66">
            <wp:extent cx="6263640" cy="2423065"/>
            <wp:effectExtent l="0" t="0" r="3810" b="0"/>
            <wp:docPr id="30" name="Picture 30" descr="Figure 7. Matrix to link the trident and concentric circles models&#10;&#10;This chart shows the proposed ‘matrix’ framework linking the new trident framework with the concentric circles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067"/>
                    <a:stretch/>
                  </pic:blipFill>
                  <pic:spPr bwMode="auto">
                    <a:xfrm>
                      <a:off x="0" y="0"/>
                      <a:ext cx="6263640" cy="2423065"/>
                    </a:xfrm>
                    <a:prstGeom prst="rect">
                      <a:avLst/>
                    </a:prstGeom>
                    <a:ln>
                      <a:noFill/>
                    </a:ln>
                    <a:extLst>
                      <a:ext uri="{53640926-AAD7-44D8-BBD7-CCE9431645EC}">
                        <a14:shadowObscured xmlns:a14="http://schemas.microsoft.com/office/drawing/2010/main"/>
                      </a:ext>
                    </a:extLst>
                  </pic:spPr>
                </pic:pic>
              </a:graphicData>
            </a:graphic>
          </wp:inline>
        </w:drawing>
      </w:r>
    </w:p>
    <w:p w:rsidR="00150382" w:rsidRDefault="00150382" w:rsidP="00B371FA">
      <w:pPr>
        <w:pStyle w:val="Sourcenote"/>
      </w:pPr>
      <w:r w:rsidRPr="005B377E">
        <w:t xml:space="preserve">Source: </w:t>
      </w:r>
      <w:r>
        <w:t>BCARR analysis</w:t>
      </w:r>
    </w:p>
    <w:p w:rsidR="00690C60" w:rsidRDefault="00150382" w:rsidP="00150382">
      <w:r>
        <w:t>After setting up cultural and creative activity in this proposed new matrix framework, the second step is to establish the product and industry classifications that will capture cultural and creative activity based on the input-output tables</w:t>
      </w:r>
      <w:r w:rsidR="00690C60">
        <w:t>.</w:t>
      </w:r>
    </w:p>
    <w:p w:rsidR="00150382" w:rsidRDefault="00150382" w:rsidP="00B371FA">
      <w:pPr>
        <w:pStyle w:val="Heading5"/>
      </w:pPr>
      <w:r>
        <w:t>Step 2: Establish the product and industry classifications of cultural and creative activity from the input-output tables</w:t>
      </w:r>
    </w:p>
    <w:p w:rsidR="00150382" w:rsidRDefault="00150382" w:rsidP="00150382">
      <w:r>
        <w:t>The i</w:t>
      </w:r>
      <w:r w:rsidRPr="005D7507">
        <w:t>nput</w:t>
      </w:r>
      <w:r>
        <w:t>-</w:t>
      </w:r>
      <w:r w:rsidRPr="005D7507">
        <w:t xml:space="preserve">output tables present details for </w:t>
      </w:r>
      <w:r>
        <w:t>around 1,000</w:t>
      </w:r>
      <w:r w:rsidRPr="005D7507">
        <w:t xml:space="preserve"> IOPCs</w:t>
      </w:r>
      <w:r>
        <w:t xml:space="preserve"> in the </w:t>
      </w:r>
      <w:r w:rsidRPr="007B0BD6">
        <w:t xml:space="preserve">latest edition of the </w:t>
      </w:r>
      <w:r w:rsidRPr="008D58F8">
        <w:t xml:space="preserve">ABS release </w:t>
      </w:r>
      <w:r w:rsidRPr="00571ADC">
        <w:t>Australian National Accounts: Input-Output Tables (Product Details)</w:t>
      </w:r>
      <w:r w:rsidRPr="007B0BD6">
        <w:t>. These product</w:t>
      </w:r>
      <w:r>
        <w:t xml:space="preserve"> classification</w:t>
      </w:r>
      <w:r w:rsidRPr="005D7507">
        <w:t xml:space="preserve">s originate from </w:t>
      </w:r>
      <w:r>
        <w:t xml:space="preserve">the </w:t>
      </w:r>
      <w:r w:rsidRPr="005D7507">
        <w:t xml:space="preserve">ANZSIC </w:t>
      </w:r>
      <w:r>
        <w:t xml:space="preserve">industry classification </w:t>
      </w:r>
      <w:r w:rsidRPr="005D7507">
        <w:t>and provide the most disaggregated product classification level within the Australian National Accounts System.</w:t>
      </w:r>
      <w:r>
        <w:t xml:space="preserve"> These tables provide</w:t>
      </w:r>
      <w:r w:rsidRPr="00332CD7">
        <w:t xml:space="preserve"> rich information about the supply and use of products in the Australian economy, and the structure of, and inter-relationships between Australian industries</w:t>
      </w:r>
      <w:r>
        <w:t>,</w:t>
      </w:r>
      <w:r>
        <w:rPr>
          <w:rStyle w:val="EndnoteReference"/>
        </w:rPr>
        <w:endnoteReference w:id="30"/>
      </w:r>
      <w:r w:rsidRPr="00332CD7">
        <w:t xml:space="preserve"> which can be used as a necessary tool to identify and estimate cultural and creative activity at both product and industr</w:t>
      </w:r>
      <w:r>
        <w:t>y</w:t>
      </w:r>
      <w:r w:rsidRPr="00332CD7">
        <w:t xml:space="preserve"> levels.</w:t>
      </w:r>
    </w:p>
    <w:p w:rsidR="00690C60" w:rsidRDefault="00150382" w:rsidP="00150382">
      <w:r>
        <w:t>A ‘</w:t>
      </w:r>
      <w:r w:rsidRPr="004C2060">
        <w:t>bottom-up</w:t>
      </w:r>
      <w:r>
        <w:t>’</w:t>
      </w:r>
      <w:r w:rsidRPr="004C2060">
        <w:t xml:space="preserve"> approach was applied</w:t>
      </w:r>
      <w:r>
        <w:t xml:space="preserve"> during this process</w:t>
      </w:r>
      <w:r w:rsidRPr="004C2060">
        <w:t xml:space="preserve">, by reviewing the </w:t>
      </w:r>
      <w:r>
        <w:t>entire</w:t>
      </w:r>
      <w:r w:rsidRPr="004C2060">
        <w:t xml:space="preserve"> list of </w:t>
      </w:r>
      <w:r>
        <w:t xml:space="preserve">cultural and creative </w:t>
      </w:r>
      <w:r w:rsidRPr="004C2060">
        <w:t xml:space="preserve">products. </w:t>
      </w:r>
      <w:r>
        <w:t>D</w:t>
      </w:r>
      <w:r w:rsidRPr="004C2060">
        <w:t>uring this approach, if a product from the input</w:t>
      </w:r>
      <w:r>
        <w:noBreakHyphen/>
      </w:r>
      <w:r w:rsidRPr="004C2060">
        <w:t xml:space="preserve">output table </w:t>
      </w:r>
      <w:r>
        <w:t>was</w:t>
      </w:r>
      <w:r w:rsidRPr="004C2060">
        <w:t xml:space="preserve"> considered as partially in</w:t>
      </w:r>
      <w:r>
        <w:noBreakHyphen/>
      </w:r>
      <w:r w:rsidRPr="004C2060">
        <w:t xml:space="preserve">scope but primarily related to </w:t>
      </w:r>
      <w:r>
        <w:t>cultural and creative</w:t>
      </w:r>
      <w:r w:rsidRPr="004C2060">
        <w:t xml:space="preserve"> activity, it has been included in the total</w:t>
      </w:r>
      <w:r w:rsidR="00690C60">
        <w:t>.</w:t>
      </w:r>
    </w:p>
    <w:p w:rsidR="00150382" w:rsidRDefault="00150382" w:rsidP="00150382">
      <w:r>
        <w:t>Also, because the input</w:t>
      </w:r>
      <w:r>
        <w:noBreakHyphen/>
        <w:t xml:space="preserve">output tables publish only data for the 114 </w:t>
      </w:r>
      <w:r w:rsidRPr="00332CD7">
        <w:t>IOIGs</w:t>
      </w:r>
      <w:r>
        <w:t xml:space="preserve"> (</w:t>
      </w:r>
      <w:r w:rsidRPr="00410E60">
        <w:rPr>
          <w:szCs w:val="26"/>
        </w:rPr>
        <w:t>Input-Output Industry Groups</w:t>
      </w:r>
      <w:r>
        <w:t xml:space="preserve">) at the industry level, the estimates of ANZSIC industry classification within each IOIG needed to be </w:t>
      </w:r>
      <w:r>
        <w:lastRenderedPageBreak/>
        <w:t>weighted and impu</w:t>
      </w:r>
      <w:r w:rsidRPr="007048F4">
        <w:t xml:space="preserve">ted based on different data sources such as the ABS </w:t>
      </w:r>
      <w:r w:rsidRPr="00AB071A">
        <w:t xml:space="preserve">Australian Industry </w:t>
      </w:r>
      <w:r>
        <w:t xml:space="preserve">Survey </w:t>
      </w:r>
      <w:r w:rsidRPr="00AB071A">
        <w:t>and Census data</w:t>
      </w:r>
      <w:r w:rsidRPr="007048F4">
        <w:t>.</w:t>
      </w:r>
    </w:p>
    <w:p w:rsidR="00150382" w:rsidRDefault="00150382" w:rsidP="00150382">
      <w:r>
        <w:t>Lists</w:t>
      </w:r>
      <w:r w:rsidRPr="004C2060">
        <w:t xml:space="preserve"> of the input-output product classifications </w:t>
      </w:r>
      <w:r>
        <w:t>and industries proposed to be</w:t>
      </w:r>
      <w:r w:rsidRPr="004C2060">
        <w:t xml:space="preserve"> considered in-scope </w:t>
      </w:r>
      <w:r>
        <w:t>for</w:t>
      </w:r>
      <w:r w:rsidRPr="004C2060">
        <w:t xml:space="preserve"> </w:t>
      </w:r>
      <w:r>
        <w:t>cultural and creative</w:t>
      </w:r>
      <w:r w:rsidRPr="004C2060">
        <w:t xml:space="preserve"> </w:t>
      </w:r>
      <w:r>
        <w:t>are detailed in the a</w:t>
      </w:r>
      <w:r w:rsidRPr="004C2060">
        <w:t>ppendi</w:t>
      </w:r>
      <w:r>
        <w:t>ces</w:t>
      </w:r>
      <w:r w:rsidRPr="004C2060">
        <w:t>.</w:t>
      </w:r>
    </w:p>
    <w:p w:rsidR="00150382" w:rsidRDefault="00150382" w:rsidP="00B371FA">
      <w:pPr>
        <w:pStyle w:val="Heading5"/>
      </w:pPr>
      <w:r>
        <w:t>Step 3: Benchmark these cultural and creative goods and services to the supply use framework to generate a time series</w:t>
      </w:r>
    </w:p>
    <w:p w:rsidR="00150382" w:rsidRDefault="00150382" w:rsidP="00150382">
      <w:r w:rsidRPr="003377A2">
        <w:t xml:space="preserve">After identifying </w:t>
      </w:r>
      <w:r>
        <w:t>cultural and creative</w:t>
      </w:r>
      <w:r w:rsidRPr="003377A2">
        <w:t xml:space="preserve"> activity from the </w:t>
      </w:r>
      <w:r>
        <w:t>i</w:t>
      </w:r>
      <w:r w:rsidRPr="003377A2">
        <w:t>nput</w:t>
      </w:r>
      <w:r w:rsidRPr="003377A2">
        <w:noBreakHyphen/>
      </w:r>
      <w:r>
        <w:t>o</w:t>
      </w:r>
      <w:r w:rsidRPr="003377A2">
        <w:t xml:space="preserve">utput tables, these goods and services need to be benchmarked to the </w:t>
      </w:r>
      <w:r>
        <w:t>s</w:t>
      </w:r>
      <w:r w:rsidRPr="003377A2">
        <w:t xml:space="preserve">upply </w:t>
      </w:r>
      <w:r>
        <w:t>u</w:t>
      </w:r>
      <w:r w:rsidRPr="003377A2">
        <w:t xml:space="preserve">se framework to generate </w:t>
      </w:r>
      <w:r>
        <w:t>a</w:t>
      </w:r>
      <w:r w:rsidRPr="003377A2">
        <w:t xml:space="preserve"> time series for the analysed period. The benchmarking process is required because </w:t>
      </w:r>
      <w:r>
        <w:t>i</w:t>
      </w:r>
      <w:r w:rsidRPr="003377A2">
        <w:t>nput-</w:t>
      </w:r>
      <w:r>
        <w:t>o</w:t>
      </w:r>
      <w:r w:rsidRPr="003377A2">
        <w:t xml:space="preserve">utput tables are published only </w:t>
      </w:r>
      <w:r>
        <w:t xml:space="preserve">as </w:t>
      </w:r>
      <w:r w:rsidRPr="003377A2">
        <w:t>a point in time and are not revised once finalised</w:t>
      </w:r>
      <w:r>
        <w:t>. I</w:t>
      </w:r>
      <w:r w:rsidRPr="003377A2">
        <w:t xml:space="preserve">n contrast, </w:t>
      </w:r>
      <w:r>
        <w:t>s</w:t>
      </w:r>
      <w:r w:rsidRPr="003377A2">
        <w:t xml:space="preserve">upply </w:t>
      </w:r>
      <w:r>
        <w:t>u</w:t>
      </w:r>
      <w:r w:rsidRPr="003377A2">
        <w:t xml:space="preserve">se tables provide a time series for all periods from </w:t>
      </w:r>
      <w:r w:rsidR="00690C60">
        <w:t>1994–95</w:t>
      </w:r>
      <w:r w:rsidRPr="003377A2">
        <w:t xml:space="preserve"> up to the year preceding the latest completed financial year, and are subject to revision.</w:t>
      </w:r>
      <w:r w:rsidRPr="003D2E68">
        <w:rPr>
          <w:rStyle w:val="EndnoteReference"/>
          <w:rFonts w:cs="Times New Roman"/>
          <w:bCs/>
        </w:rPr>
        <w:endnoteReference w:id="31"/>
      </w:r>
      <w:r>
        <w:t xml:space="preserve"> </w:t>
      </w:r>
    </w:p>
    <w:p w:rsidR="00150382" w:rsidRPr="003D2E68" w:rsidRDefault="00150382" w:rsidP="00150382">
      <w:pPr>
        <w:rPr>
          <w:rFonts w:cs="Times New Roman"/>
          <w:bCs/>
        </w:rPr>
      </w:pPr>
      <w:r>
        <w:t xml:space="preserve">During this benchmarking process, a revision of cultural and creative activity satellite accounts back to </w:t>
      </w:r>
      <w:r w:rsidR="00B371FA">
        <w:t>2008–09</w:t>
      </w:r>
      <w:r>
        <w:t xml:space="preserve"> will be applied accordingly.</w:t>
      </w:r>
    </w:p>
    <w:p w:rsidR="00150382" w:rsidRDefault="00150382" w:rsidP="00B371FA">
      <w:pPr>
        <w:pStyle w:val="Heading5"/>
      </w:pPr>
      <w:r>
        <w:t>Step 4: Identify the industries responsible for producing these goods and services within the supply use framework</w:t>
      </w:r>
    </w:p>
    <w:p w:rsidR="00150382" w:rsidRDefault="00150382" w:rsidP="00150382">
      <w:r w:rsidRPr="003377A2">
        <w:t>The industries responsible for producing these</w:t>
      </w:r>
      <w:r>
        <w:t xml:space="preserve"> cultural and creative</w:t>
      </w:r>
      <w:r w:rsidRPr="003377A2">
        <w:t xml:space="preserve"> products </w:t>
      </w:r>
      <w:r>
        <w:t>can be</w:t>
      </w:r>
      <w:r w:rsidRPr="003377A2">
        <w:t xml:space="preserve"> identified</w:t>
      </w:r>
      <w:r>
        <w:t xml:space="preserve"> after step 3</w:t>
      </w:r>
      <w:r w:rsidRPr="003377A2">
        <w:t xml:space="preserve">. </w:t>
      </w:r>
      <w:r>
        <w:t>Output can be estimated by aggregating the product output across industries. Total intermediate use is estimated by assuming it comprises the same ratio of total industry intermediate consumption to total industry output. GVA can then be derived as the difference between the output and total intermediate use.</w:t>
      </w:r>
    </w:p>
    <w:p w:rsidR="00150382" w:rsidRDefault="00150382" w:rsidP="00B371FA">
      <w:pPr>
        <w:pStyle w:val="Heading3"/>
      </w:pPr>
      <w:bookmarkStart w:id="92" w:name="_Toc126581838"/>
      <w:bookmarkStart w:id="93" w:name="_Toc128051571"/>
      <w:r>
        <w:t>Opportunities for additional cultural and creative statistics</w:t>
      </w:r>
      <w:bookmarkEnd w:id="92"/>
      <w:bookmarkEnd w:id="93"/>
    </w:p>
    <w:p w:rsidR="00150382" w:rsidRPr="00067E1F" w:rsidRDefault="00150382" w:rsidP="00150382">
      <w:r w:rsidRPr="00067E1F">
        <w:t xml:space="preserve">Adopting the approach described above may help unlock additional sources of information and statistics about Australia’s cultural and creative economy that are not provided by the current satellite accounts. This section outlines some of the opportunities that </w:t>
      </w:r>
      <w:r>
        <w:t>could</w:t>
      </w:r>
      <w:r w:rsidRPr="00067E1F">
        <w:t xml:space="preserve"> be explored in subsequent research</w:t>
      </w:r>
      <w:r>
        <w:t>.</w:t>
      </w:r>
    </w:p>
    <w:p w:rsidR="00150382" w:rsidRDefault="00150382" w:rsidP="00B371FA">
      <w:pPr>
        <w:pStyle w:val="Heading4"/>
      </w:pPr>
      <w:bookmarkStart w:id="94" w:name="_Toc126581839"/>
      <w:bookmarkStart w:id="95" w:name="_Toc128051572"/>
      <w:r>
        <w:t>Employment</w:t>
      </w:r>
      <w:bookmarkEnd w:id="94"/>
      <w:bookmarkEnd w:id="95"/>
    </w:p>
    <w:p w:rsidR="00150382" w:rsidRDefault="00150382" w:rsidP="00150382">
      <w:pPr>
        <w:spacing w:before="80"/>
      </w:pPr>
      <w:r>
        <w:t>BCARR’s current cultural and creative activity satellite accounts do not provide an estimate of cultural and creative employment. Employment estimates could be included in this refreshed process, based on the trident framework. The occupations defined as being within the scope of the cultural and creative sectors would be consistent with the ABS 2014 publication of cultural and creative activity satellite accounts (</w:t>
      </w:r>
      <w:hyperlink w:anchor="_Appendix_E—Proposed_occupation" w:history="1">
        <w:r w:rsidRPr="002C3C48">
          <w:rPr>
            <w:rStyle w:val="Hyperlink"/>
          </w:rPr>
          <w:t>Appendix E</w:t>
        </w:r>
      </w:hyperlink>
      <w:r>
        <w:t>).</w:t>
      </w:r>
    </w:p>
    <w:p w:rsidR="00150382" w:rsidRDefault="00150382" w:rsidP="00150382">
      <w:r>
        <w:t xml:space="preserve">These occupations will be determined by </w:t>
      </w:r>
      <w:r w:rsidRPr="007B0BD6">
        <w:t xml:space="preserve">analysing </w:t>
      </w:r>
      <w:r w:rsidRPr="008D58F8">
        <w:t xml:space="preserve">data included in the ABS </w:t>
      </w:r>
      <w:r w:rsidRPr="00571ADC">
        <w:t>Census of Population and Housing</w:t>
      </w:r>
      <w:r w:rsidRPr="007B0BD6">
        <w:t xml:space="preserve">, </w:t>
      </w:r>
      <w:r w:rsidRPr="00571ADC">
        <w:t>Labour Force Australia (Detailed)</w:t>
      </w:r>
      <w:r w:rsidRPr="007B0BD6">
        <w:t xml:space="preserve">, and </w:t>
      </w:r>
      <w:r w:rsidRPr="00571ADC">
        <w:t>Labour Account Australia</w:t>
      </w:r>
      <w:r w:rsidRPr="007B0BD6">
        <w:t>. They</w:t>
      </w:r>
      <w:r>
        <w:t xml:space="preserve"> can be then used to generate an annual time series at both national and state/territory levels.</w:t>
      </w:r>
    </w:p>
    <w:p w:rsidR="00150382" w:rsidRDefault="00150382" w:rsidP="00B371FA">
      <w:pPr>
        <w:pStyle w:val="Heading4"/>
      </w:pPr>
      <w:bookmarkStart w:id="96" w:name="_Toc126581840"/>
      <w:bookmarkStart w:id="97" w:name="_Toc128051573"/>
      <w:r>
        <w:t>Other types of cultural and creative statistics</w:t>
      </w:r>
      <w:bookmarkEnd w:id="96"/>
      <w:bookmarkEnd w:id="97"/>
    </w:p>
    <w:p w:rsidR="00690C60" w:rsidRDefault="00150382" w:rsidP="00150382">
      <w:pPr>
        <w:spacing w:before="80"/>
      </w:pPr>
      <w:r>
        <w:t>Other types of cultural and creative statistics may be possible under the proposed new approach, including economic variables such as chain volume measures, international trade, household final consumption expenditure (HFCE), government final consumption expenditure (GFCE), and gross fixed capital formation (GFCF). These new cultural and creative statistics</w:t>
      </w:r>
      <w:r w:rsidRPr="00B451C5">
        <w:t xml:space="preserve"> </w:t>
      </w:r>
      <w:r>
        <w:t>would provide further scope for</w:t>
      </w:r>
      <w:r w:rsidRPr="00B451C5">
        <w:t xml:space="preserve"> cross-industry comparisons and trend analysis</w:t>
      </w:r>
      <w:r w:rsidR="00690C60">
        <w:t>.</w:t>
      </w:r>
    </w:p>
    <w:p w:rsidR="00150382" w:rsidRDefault="00150382" w:rsidP="00150382">
      <w:r>
        <w:t xml:space="preserve">The cultural and creative economic contributions of states and territories have not been covered in the current satellite accounts. Possible data sources that could be used to develop these estimates include ABS Census data, labour force data, labour account data and the </w:t>
      </w:r>
      <w:r w:rsidRPr="00C004FC">
        <w:t>State Accounts</w:t>
      </w:r>
      <w:r>
        <w:t xml:space="preserve"> data. Due to less </w:t>
      </w:r>
      <w:r>
        <w:lastRenderedPageBreak/>
        <w:t>availability of the state-level input data, such estimates, if possible at all, would have less industry detail than at the national level.</w:t>
      </w:r>
    </w:p>
    <w:p w:rsidR="00150382" w:rsidRPr="007963B1" w:rsidRDefault="00150382" w:rsidP="00B371FA">
      <w:pPr>
        <w:pStyle w:val="Heading4"/>
      </w:pPr>
      <w:bookmarkStart w:id="98" w:name="_Toc126581841"/>
      <w:bookmarkStart w:id="99" w:name="_Toc128051574"/>
      <w:r w:rsidRPr="007963B1">
        <w:t>Events activity</w:t>
      </w:r>
      <w:bookmarkEnd w:id="98"/>
      <w:bookmarkEnd w:id="99"/>
    </w:p>
    <w:p w:rsidR="00150382" w:rsidRPr="007963B1" w:rsidRDefault="00150382" w:rsidP="00150382">
      <w:r w:rsidRPr="007963B1">
        <w:t xml:space="preserve">The proposed </w:t>
      </w:r>
      <w:r>
        <w:t>updated</w:t>
      </w:r>
      <w:r w:rsidRPr="007963B1">
        <w:t xml:space="preserve"> methodology also provides options to better capture other activities such as events activity. As mentioned earlier, event</w:t>
      </w:r>
      <w:r>
        <w:t>s</w:t>
      </w:r>
      <w:r w:rsidRPr="007963B1">
        <w:t xml:space="preserve"> activity is out of scope </w:t>
      </w:r>
      <w:r>
        <w:t>for the</w:t>
      </w:r>
      <w:r w:rsidRPr="007963B1">
        <w:t xml:space="preserve"> current satellite accounts framework</w:t>
      </w:r>
      <w:r>
        <w:t xml:space="preserve"> because it cannot be</w:t>
      </w:r>
      <w:r w:rsidRPr="007963B1">
        <w:t xml:space="preserve"> identified directly from the latest ANZSIC classification. The</w:t>
      </w:r>
      <w:r>
        <w:t xml:space="preserve"> proposed </w:t>
      </w:r>
      <w:r w:rsidRPr="007963B1">
        <w:t>refresh</w:t>
      </w:r>
      <w:r>
        <w:t xml:space="preserve">ed </w:t>
      </w:r>
      <w:r w:rsidRPr="007963B1">
        <w:t xml:space="preserve">methodology </w:t>
      </w:r>
      <w:r>
        <w:t>could</w:t>
      </w:r>
      <w:r w:rsidRPr="007963B1">
        <w:t xml:space="preserve"> </w:t>
      </w:r>
      <w:r>
        <w:t xml:space="preserve">resolve this issue by identifying </w:t>
      </w:r>
      <w:r w:rsidRPr="007963B1">
        <w:t>events</w:t>
      </w:r>
      <w:r>
        <w:t xml:space="preserve"> activity</w:t>
      </w:r>
      <w:r w:rsidRPr="007963B1">
        <w:t xml:space="preserve"> through the product details level.</w:t>
      </w:r>
    </w:p>
    <w:p w:rsidR="00150382" w:rsidRDefault="00150382" w:rsidP="00150382">
      <w:r w:rsidRPr="007963B1">
        <w:t xml:space="preserve">In this paper, the definition of events activity refers to activities </w:t>
      </w:r>
      <w:r>
        <w:t xml:space="preserve">that </w:t>
      </w:r>
      <w:r w:rsidRPr="007963B1">
        <w:t>provide event management, promotion and ticketing services, as well as other events-related administration services. It also includes theatre and concert booking services.</w:t>
      </w:r>
    </w:p>
    <w:p w:rsidR="00150382" w:rsidRDefault="00150382">
      <w:pPr>
        <w:spacing w:line="259" w:lineRule="auto"/>
      </w:pPr>
      <w:r>
        <w:br w:type="page"/>
      </w:r>
    </w:p>
    <w:p w:rsidR="00150382" w:rsidRDefault="00150382" w:rsidP="00B371FA">
      <w:pPr>
        <w:pStyle w:val="Heading2"/>
      </w:pPr>
      <w:bookmarkStart w:id="100" w:name="_Toc126581842"/>
      <w:bookmarkStart w:id="101" w:name="_Toc128051575"/>
      <w:r>
        <w:lastRenderedPageBreak/>
        <w:t>Request for feedback</w:t>
      </w:r>
      <w:bookmarkEnd w:id="100"/>
      <w:bookmarkEnd w:id="101"/>
    </w:p>
    <w:p w:rsidR="00150382" w:rsidRDefault="00150382" w:rsidP="00150382">
      <w:pPr>
        <w:spacing w:before="80"/>
      </w:pPr>
      <w:r>
        <w:t>Australia’s cultural and creative activity satellite account has been an important framework for helping people understand the cultural and creative economy and how this contribution has changed over time. The proposed refresh of the definition, scope and methodology is an important step to improve the satellite accounts framework and ensure the relevance of future estimates.</w:t>
      </w:r>
    </w:p>
    <w:p w:rsidR="00150382" w:rsidRDefault="00150382" w:rsidP="00150382">
      <w:pPr>
        <w:spacing w:before="80"/>
      </w:pPr>
      <w:r>
        <w:t>BCARR welcomes input and feedback on these proposed updates. This could include feedback on the following questions:</w:t>
      </w:r>
    </w:p>
    <w:p w:rsidR="00150382" w:rsidRPr="00AB071A" w:rsidRDefault="00150382" w:rsidP="00B371FA">
      <w:pPr>
        <w:pStyle w:val="ListParagraph"/>
        <w:numPr>
          <w:ilvl w:val="0"/>
          <w:numId w:val="23"/>
        </w:numPr>
        <w:suppressAutoHyphens/>
        <w:spacing w:after="120" w:line="360" w:lineRule="auto"/>
        <w:ind w:left="567" w:hanging="567"/>
        <w:rPr>
          <w:i/>
        </w:rPr>
      </w:pPr>
      <w:r w:rsidRPr="00AB071A">
        <w:rPr>
          <w:i/>
        </w:rPr>
        <w:t>How do you currently use the cultural and creative activity satellite accounts and estimates?</w:t>
      </w:r>
    </w:p>
    <w:p w:rsidR="00150382" w:rsidRPr="00AB071A" w:rsidRDefault="00150382" w:rsidP="00B371FA">
      <w:pPr>
        <w:pStyle w:val="ListParagraph"/>
        <w:numPr>
          <w:ilvl w:val="0"/>
          <w:numId w:val="23"/>
        </w:numPr>
        <w:suppressAutoHyphens/>
        <w:spacing w:after="120" w:line="360" w:lineRule="auto"/>
        <w:ind w:left="567" w:hanging="567"/>
        <w:rPr>
          <w:i/>
        </w:rPr>
      </w:pPr>
      <w:r w:rsidRPr="00AB071A">
        <w:rPr>
          <w:i/>
        </w:rPr>
        <w:t xml:space="preserve">Are there further studies in the cultural and creative literature relevant for this analysis? </w:t>
      </w:r>
    </w:p>
    <w:p w:rsidR="00150382" w:rsidRDefault="00150382" w:rsidP="00B371FA">
      <w:pPr>
        <w:pStyle w:val="ListParagraph"/>
        <w:numPr>
          <w:ilvl w:val="0"/>
          <w:numId w:val="23"/>
        </w:numPr>
        <w:suppressAutoHyphens/>
        <w:spacing w:after="120" w:line="360" w:lineRule="auto"/>
        <w:ind w:left="567" w:hanging="567"/>
        <w:rPr>
          <w:i/>
        </w:rPr>
      </w:pPr>
      <w:r w:rsidRPr="00AB071A">
        <w:rPr>
          <w:i/>
        </w:rPr>
        <w:t>What are your thoughts on the proposed new trident framework? Do you think this will address current issues and</w:t>
      </w:r>
      <w:r w:rsidRPr="00AB071A" w:rsidDel="004759FB">
        <w:rPr>
          <w:i/>
        </w:rPr>
        <w:t xml:space="preserve"> </w:t>
      </w:r>
      <w:r w:rsidRPr="00AB071A">
        <w:rPr>
          <w:i/>
        </w:rPr>
        <w:t>provide better estimates of cultural and creative activity?</w:t>
      </w:r>
    </w:p>
    <w:p w:rsidR="00150382" w:rsidRDefault="00150382" w:rsidP="00B371FA">
      <w:pPr>
        <w:pStyle w:val="ListParagraph"/>
        <w:numPr>
          <w:ilvl w:val="0"/>
          <w:numId w:val="23"/>
        </w:numPr>
        <w:suppressAutoHyphens/>
        <w:spacing w:after="120" w:line="360" w:lineRule="auto"/>
        <w:ind w:left="567" w:hanging="567"/>
        <w:rPr>
          <w:i/>
        </w:rPr>
      </w:pPr>
      <w:r>
        <w:rPr>
          <w:i/>
        </w:rPr>
        <w:t>What are your thoughts on the scope of proposed layers, domains and categories of cultural and creative activity?</w:t>
      </w:r>
    </w:p>
    <w:p w:rsidR="00150382" w:rsidRPr="00AB071A" w:rsidRDefault="00150382" w:rsidP="00B371FA">
      <w:pPr>
        <w:pStyle w:val="ListParagraph"/>
        <w:numPr>
          <w:ilvl w:val="0"/>
          <w:numId w:val="23"/>
        </w:numPr>
        <w:suppressAutoHyphens/>
        <w:spacing w:after="120" w:line="360" w:lineRule="auto"/>
        <w:ind w:left="567" w:hanging="567"/>
        <w:rPr>
          <w:i/>
        </w:rPr>
      </w:pPr>
      <w:r w:rsidRPr="00015F08">
        <w:rPr>
          <w:i/>
        </w:rPr>
        <w:t>What are your thoughts on the scope of industries and occupations included in the proposed definition of cultural and creative sector?</w:t>
      </w:r>
    </w:p>
    <w:p w:rsidR="00150382" w:rsidRPr="00AB071A" w:rsidRDefault="00150382" w:rsidP="00B371FA">
      <w:pPr>
        <w:pStyle w:val="ListParagraph"/>
        <w:numPr>
          <w:ilvl w:val="0"/>
          <w:numId w:val="24"/>
        </w:numPr>
        <w:suppressAutoHyphens/>
        <w:spacing w:after="120" w:line="360" w:lineRule="auto"/>
        <w:ind w:left="1134" w:hanging="567"/>
        <w:rPr>
          <w:i/>
        </w:rPr>
      </w:pPr>
      <w:r w:rsidRPr="00AB071A">
        <w:rPr>
          <w:i/>
        </w:rPr>
        <w:t xml:space="preserve">What products, industries or occupations are still </w:t>
      </w:r>
      <w:r w:rsidRPr="007048F4">
        <w:rPr>
          <w:i/>
        </w:rPr>
        <w:t>not captured</w:t>
      </w:r>
      <w:r w:rsidRPr="00AB071A">
        <w:rPr>
          <w:i/>
        </w:rPr>
        <w:t xml:space="preserve"> in the proposed definition of cultural and creative activity?</w:t>
      </w:r>
    </w:p>
    <w:p w:rsidR="00150382" w:rsidRPr="00AB071A" w:rsidRDefault="00150382" w:rsidP="00B371FA">
      <w:pPr>
        <w:pStyle w:val="ListParagraph"/>
        <w:numPr>
          <w:ilvl w:val="0"/>
          <w:numId w:val="24"/>
        </w:numPr>
        <w:suppressAutoHyphens/>
        <w:spacing w:after="120" w:line="360" w:lineRule="auto"/>
        <w:ind w:left="1134" w:hanging="567"/>
        <w:rPr>
          <w:i/>
        </w:rPr>
      </w:pPr>
      <w:r w:rsidRPr="00AB071A">
        <w:rPr>
          <w:i/>
        </w:rPr>
        <w:t xml:space="preserve">Do you have suggestions on </w:t>
      </w:r>
      <w:r>
        <w:rPr>
          <w:i/>
        </w:rPr>
        <w:t>which</w:t>
      </w:r>
      <w:r w:rsidRPr="00AB071A">
        <w:rPr>
          <w:i/>
        </w:rPr>
        <w:t xml:space="preserve"> products, industries or occupations should be included, ex</w:t>
      </w:r>
      <w:r>
        <w:rPr>
          <w:i/>
        </w:rPr>
        <w:t>c</w:t>
      </w:r>
      <w:r w:rsidRPr="00AB071A">
        <w:rPr>
          <w:i/>
        </w:rPr>
        <w:t>luded or modified?</w:t>
      </w:r>
    </w:p>
    <w:p w:rsidR="00150382" w:rsidRPr="00C663F6" w:rsidRDefault="00150382" w:rsidP="00B371FA">
      <w:pPr>
        <w:pStyle w:val="ListParagraph"/>
        <w:numPr>
          <w:ilvl w:val="0"/>
          <w:numId w:val="23"/>
        </w:numPr>
        <w:suppressAutoHyphens/>
        <w:spacing w:after="120" w:line="360" w:lineRule="auto"/>
        <w:ind w:left="567" w:hanging="567"/>
        <w:rPr>
          <w:i/>
        </w:rPr>
      </w:pPr>
      <w:r w:rsidRPr="00AB071A">
        <w:rPr>
          <w:i/>
        </w:rPr>
        <w:t xml:space="preserve">What </w:t>
      </w:r>
      <w:r w:rsidRPr="007048F4">
        <w:rPr>
          <w:i/>
        </w:rPr>
        <w:t>other</w:t>
      </w:r>
      <w:r w:rsidRPr="00C663F6">
        <w:rPr>
          <w:i/>
        </w:rPr>
        <w:t xml:space="preserve"> datasets could BCARR use to </w:t>
      </w:r>
      <w:r>
        <w:rPr>
          <w:i/>
        </w:rPr>
        <w:t xml:space="preserve">further </w:t>
      </w:r>
      <w:r w:rsidRPr="00C663F6">
        <w:rPr>
          <w:i/>
        </w:rPr>
        <w:t>improve the estimates?</w:t>
      </w:r>
    </w:p>
    <w:p w:rsidR="00150382" w:rsidRPr="00997376" w:rsidRDefault="00150382" w:rsidP="00150382">
      <w:pPr>
        <w:spacing w:before="80"/>
      </w:pPr>
      <w:r w:rsidRPr="00C02970">
        <w:t xml:space="preserve">If you have any </w:t>
      </w:r>
      <w:r>
        <w:t xml:space="preserve">feedback </w:t>
      </w:r>
      <w:r w:rsidRPr="00C02970">
        <w:t xml:space="preserve">or comments on aspects </w:t>
      </w:r>
      <w:r>
        <w:t xml:space="preserve">of this proposed refresh, please contact the </w:t>
      </w:r>
      <w:r w:rsidRPr="00C02970">
        <w:t>Bureau of Communications, Arts and Regional Research</w:t>
      </w:r>
      <w:r>
        <w:t xml:space="preserve"> by </w:t>
      </w:r>
      <w:r w:rsidRPr="00997376">
        <w:t xml:space="preserve">email </w:t>
      </w:r>
      <w:hyperlink r:id="rId26" w:history="1">
        <w:r w:rsidRPr="00997376">
          <w:rPr>
            <w:rStyle w:val="Hyperlink"/>
          </w:rPr>
          <w:t>bcarr@infrastructure.gov.au</w:t>
        </w:r>
      </w:hyperlink>
      <w:r w:rsidRPr="00997376">
        <w:t>.</w:t>
      </w:r>
    </w:p>
    <w:p w:rsidR="00150382" w:rsidRPr="00C02970" w:rsidRDefault="00150382" w:rsidP="00150382">
      <w:pPr>
        <w:spacing w:before="80"/>
      </w:pPr>
      <w:r>
        <w:rPr>
          <w:lang w:val="en-US"/>
        </w:rPr>
        <w:t xml:space="preserve">Feedback on </w:t>
      </w:r>
      <w:r w:rsidRPr="00997376">
        <w:rPr>
          <w:lang w:val="en-US"/>
        </w:rPr>
        <w:t xml:space="preserve">this paper is sought by </w:t>
      </w:r>
      <w:r w:rsidRPr="00997376">
        <w:rPr>
          <w:b/>
          <w:lang w:val="en-US"/>
        </w:rPr>
        <w:t>Friday, 26 May 2023.</w:t>
      </w:r>
      <w:r>
        <w:rPr>
          <w:highlight w:val="lightGray"/>
        </w:rPr>
        <w:br w:type="page"/>
      </w:r>
    </w:p>
    <w:p w:rsidR="00150382" w:rsidRDefault="00B371FA" w:rsidP="00B371FA">
      <w:pPr>
        <w:pStyle w:val="Heading2"/>
      </w:pPr>
      <w:bookmarkStart w:id="102" w:name="_Appendix_A—BCARR’s_2018"/>
      <w:bookmarkStart w:id="103" w:name="_Toc126581843"/>
      <w:bookmarkStart w:id="104" w:name="_Toc128051576"/>
      <w:bookmarkEnd w:id="102"/>
      <w:r>
        <w:lastRenderedPageBreak/>
        <w:t>Appendix A—</w:t>
      </w:r>
      <w:r w:rsidR="00150382">
        <w:t>BCARR’s 2018 Methodology</w:t>
      </w:r>
      <w:bookmarkEnd w:id="103"/>
      <w:bookmarkEnd w:id="104"/>
    </w:p>
    <w:p w:rsidR="00150382" w:rsidRPr="00EC6EC4" w:rsidRDefault="00EC6EC4" w:rsidP="00411CF9">
      <w:pPr>
        <w:pStyle w:val="Tablefigureheading"/>
        <w:rPr>
          <w:i/>
        </w:rPr>
      </w:pPr>
      <w:bookmarkStart w:id="105" w:name="_Toc121334234"/>
      <w:bookmarkStart w:id="106" w:name="_Toc121335651"/>
      <w:bookmarkStart w:id="107" w:name="_Toc126581859"/>
      <w:bookmarkStart w:id="108" w:name="_Toc127959276"/>
      <w:r w:rsidRPr="00EC6EC4">
        <w:t xml:space="preserve">Table </w:t>
      </w:r>
      <w:r w:rsidR="00C102F1">
        <w:fldChar w:fldCharType="begin"/>
      </w:r>
      <w:r w:rsidR="00C102F1">
        <w:instrText xml:space="preserve"> SEQ Table \* ARABIC </w:instrText>
      </w:r>
      <w:r w:rsidR="00C102F1">
        <w:fldChar w:fldCharType="separate"/>
      </w:r>
      <w:r w:rsidR="00E60E07">
        <w:rPr>
          <w:noProof/>
        </w:rPr>
        <w:t>3</w:t>
      </w:r>
      <w:r w:rsidR="00C102F1">
        <w:rPr>
          <w:noProof/>
        </w:rPr>
        <w:fldChar w:fldCharType="end"/>
      </w:r>
      <w:r w:rsidRPr="00EC6EC4">
        <w:t xml:space="preserve">. </w:t>
      </w:r>
      <w:r w:rsidR="00150382" w:rsidRPr="00EC6EC4">
        <w:t>Component 1 and 2: Cultural and creative industry supply chains and Imputed COE</w:t>
      </w:r>
      <w:bookmarkEnd w:id="105"/>
      <w:bookmarkEnd w:id="106"/>
      <w:bookmarkEnd w:id="107"/>
      <w:bookmarkEnd w:id="108"/>
    </w:p>
    <w:tbl>
      <w:tblPr>
        <w:tblStyle w:val="DefaultTable1"/>
        <w:tblW w:w="0" w:type="auto"/>
        <w:tblLook w:val="04E0" w:firstRow="1" w:lastRow="1" w:firstColumn="1" w:lastColumn="0" w:noHBand="0" w:noVBand="1"/>
        <w:tblDescription w:val="Component 1 and 2: Cultural and creative industry supply chains and Imputed COE"/>
      </w:tblPr>
      <w:tblGrid>
        <w:gridCol w:w="2816"/>
        <w:gridCol w:w="6659"/>
      </w:tblGrid>
      <w:tr w:rsidR="00150382" w:rsidTr="00B371F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shd w:val="clear" w:color="auto" w:fill="081E3E"/>
          </w:tcPr>
          <w:p w:rsidR="00150382" w:rsidRDefault="00150382" w:rsidP="00150382">
            <w:r>
              <w:t>Indicator</w:t>
            </w:r>
          </w:p>
        </w:tc>
        <w:tc>
          <w:tcPr>
            <w:tcW w:w="6804" w:type="dxa"/>
            <w:shd w:val="clear" w:color="auto" w:fill="081E3E"/>
          </w:tcPr>
          <w:p w:rsidR="00150382" w:rsidRDefault="00150382" w:rsidP="00150382">
            <w:pPr>
              <w:cnfStyle w:val="100000000000" w:firstRow="1" w:lastRow="0" w:firstColumn="0" w:lastColumn="0" w:oddVBand="0" w:evenVBand="0" w:oddHBand="0" w:evenHBand="0" w:firstRowFirstColumn="0" w:firstRowLastColumn="0" w:lastRowFirstColumn="0" w:lastRowLastColumn="0"/>
            </w:pPr>
            <w:r>
              <w:t>BCARR 2018 Methodology</w:t>
            </w:r>
          </w:p>
        </w:tc>
      </w:tr>
      <w:tr w:rsidR="00150382" w:rsidTr="00B371FA">
        <w:trPr>
          <w:cantSplit/>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ED7D31" w:themeColor="accent2"/>
            </w:tcBorders>
          </w:tcPr>
          <w:p w:rsidR="00150382" w:rsidRDefault="00150382" w:rsidP="00150382">
            <w:r w:rsidRPr="009734DB">
              <w:t>GVA of cultural and creative industries</w:t>
            </w:r>
          </w:p>
        </w:tc>
        <w:tc>
          <w:tcPr>
            <w:tcW w:w="6804" w:type="dxa"/>
            <w:tcBorders>
              <w:bottom w:val="single" w:sz="4" w:space="0" w:color="ED7D31" w:themeColor="accent2"/>
            </w:tcBorders>
          </w:tcPr>
          <w:p w:rsidR="00150382" w:rsidRDefault="00150382" w:rsidP="00F44BE1">
            <w:pPr>
              <w:pStyle w:val="ListParagraph"/>
              <w:numPr>
                <w:ilvl w:val="0"/>
                <w:numId w:val="19"/>
              </w:numPr>
              <w:spacing w:before="0" w:after="160" w:line="259" w:lineRule="auto"/>
              <w:ind w:left="317" w:hanging="283"/>
              <w:cnfStyle w:val="000000000000" w:firstRow="0" w:lastRow="0" w:firstColumn="0" w:lastColumn="0" w:oddVBand="0" w:evenVBand="0" w:oddHBand="0" w:evenHBand="0" w:firstRowFirstColumn="0" w:firstRowLastColumn="0" w:lastRowFirstColumn="0" w:lastRowLastColumn="0"/>
            </w:pPr>
            <w:r w:rsidRPr="00C5604B">
              <w:t>Replicate Satellite Accounts (</w:t>
            </w:r>
            <w:r>
              <w:t xml:space="preserve">ABS Cat. no. </w:t>
            </w:r>
            <w:r w:rsidRPr="00C5604B">
              <w:t>5271.0) cultural and creative proportions within individual Input-Output Industry Groups (IOIG)</w:t>
            </w:r>
            <w:r>
              <w:t xml:space="preserve"> for the </w:t>
            </w:r>
            <w:r w:rsidR="00B371FA">
              <w:t>2008–09</w:t>
            </w:r>
            <w:r>
              <w:t xml:space="preserve"> year</w:t>
            </w:r>
            <w:r w:rsidRPr="00C5604B">
              <w:t xml:space="preserve">. </w:t>
            </w:r>
            <w:r>
              <w:t>This s</w:t>
            </w:r>
            <w:r w:rsidRPr="00C5604B">
              <w:t>et</w:t>
            </w:r>
            <w:r>
              <w:t xml:space="preserve">s up </w:t>
            </w:r>
            <w:r w:rsidR="00B371FA">
              <w:t>2008–09</w:t>
            </w:r>
            <w:r>
              <w:t xml:space="preserve"> as the base year, and aligns the GVA with ABS Cat. no. 5271.0.</w:t>
            </w:r>
          </w:p>
          <w:p w:rsidR="00150382" w:rsidRDefault="00150382" w:rsidP="00F44BE1">
            <w:pPr>
              <w:pStyle w:val="ListParagraph"/>
              <w:numPr>
                <w:ilvl w:val="0"/>
                <w:numId w:val="19"/>
              </w:numPr>
              <w:spacing w:before="0" w:after="160" w:line="259" w:lineRule="auto"/>
              <w:ind w:left="317" w:hanging="283"/>
              <w:cnfStyle w:val="000000000000" w:firstRow="0" w:lastRow="0" w:firstColumn="0" w:lastColumn="0" w:oddVBand="0" w:evenVBand="0" w:oddHBand="0" w:evenHBand="0" w:firstRowFirstColumn="0" w:firstRowLastColumn="0" w:lastRowFirstColumn="0" w:lastRowLastColumn="0"/>
            </w:pPr>
            <w:r>
              <w:t xml:space="preserve">Apply the current price movement from the </w:t>
            </w:r>
            <w:r w:rsidRPr="007B0BD6">
              <w:t xml:space="preserve">2016-17 publication of </w:t>
            </w:r>
            <w:r w:rsidRPr="00571ADC">
              <w:t>Australian System of National Accounts</w:t>
            </w:r>
            <w:r w:rsidRPr="007B0BD6">
              <w:t xml:space="preserve"> (</w:t>
            </w:r>
            <w:r w:rsidRPr="008D58F8">
              <w:t>ABS Ca</w:t>
            </w:r>
            <w:r>
              <w:t xml:space="preserve">t. no. 5204.0) to step 1. This </w:t>
            </w:r>
            <w:r w:rsidRPr="00E732D8">
              <w:t>generate</w:t>
            </w:r>
            <w:r>
              <w:t>s</w:t>
            </w:r>
            <w:r w:rsidRPr="00E732D8">
              <w:t xml:space="preserve"> the time series from </w:t>
            </w:r>
            <w:r w:rsidR="00B371FA">
              <w:t>2008–09</w:t>
            </w:r>
            <w:r w:rsidRPr="00E732D8">
              <w:t xml:space="preserve"> to 2016-17 as well as incorporate any revisions during the period.</w:t>
            </w:r>
          </w:p>
          <w:p w:rsidR="00150382" w:rsidRPr="00C5604B" w:rsidRDefault="00150382" w:rsidP="00F44BE1">
            <w:pPr>
              <w:pStyle w:val="ListParagraph"/>
              <w:numPr>
                <w:ilvl w:val="0"/>
                <w:numId w:val="19"/>
              </w:numPr>
              <w:spacing w:before="0" w:after="160" w:line="259" w:lineRule="auto"/>
              <w:ind w:left="317" w:hanging="283"/>
              <w:cnfStyle w:val="000000000000" w:firstRow="0" w:lastRow="0" w:firstColumn="0" w:lastColumn="0" w:oddVBand="0" w:evenVBand="0" w:oddHBand="0" w:evenHBand="0" w:firstRowFirstColumn="0" w:firstRowLastColumn="0" w:lastRowFirstColumn="0" w:lastRowLastColumn="0"/>
            </w:pPr>
            <w:r w:rsidRPr="00C5604B">
              <w:t>Split total GVA into IOIGs by using the proportions from</w:t>
            </w:r>
            <w:r>
              <w:t xml:space="preserve"> each corresponding Input-Output table (ABS Cat. no. 5209.0)</w:t>
            </w:r>
            <w:r w:rsidRPr="00C5604B">
              <w:t>.</w:t>
            </w:r>
          </w:p>
          <w:p w:rsidR="00150382" w:rsidRPr="00C5604B" w:rsidRDefault="00150382" w:rsidP="00F44BE1">
            <w:pPr>
              <w:pStyle w:val="ListParagraph"/>
              <w:numPr>
                <w:ilvl w:val="0"/>
                <w:numId w:val="19"/>
              </w:numPr>
              <w:spacing w:before="0" w:after="160" w:line="259" w:lineRule="auto"/>
              <w:ind w:left="317" w:hanging="283"/>
              <w:cnfStyle w:val="000000000000" w:firstRow="0" w:lastRow="0" w:firstColumn="0" w:lastColumn="0" w:oddVBand="0" w:evenVBand="0" w:oddHBand="0" w:evenHBand="0" w:firstRowFirstColumn="0" w:firstRowLastColumn="0" w:lastRowFirstColumn="0" w:lastRowLastColumn="0"/>
            </w:pPr>
            <w:r w:rsidRPr="00C5604B">
              <w:t>Apply cultural and creative ratio</w:t>
            </w:r>
            <w:r>
              <w:t>s</w:t>
            </w:r>
            <w:r w:rsidRPr="00C5604B">
              <w:t xml:space="preserve"> to every financial year to derive each cultural and creative industry GVA.</w:t>
            </w:r>
          </w:p>
          <w:p w:rsidR="00150382" w:rsidRDefault="00150382" w:rsidP="00F44BE1">
            <w:pPr>
              <w:pStyle w:val="ListParagraph"/>
              <w:numPr>
                <w:ilvl w:val="0"/>
                <w:numId w:val="19"/>
              </w:numPr>
              <w:spacing w:before="0" w:after="160" w:line="259" w:lineRule="auto"/>
              <w:ind w:left="317" w:hanging="283"/>
              <w:cnfStyle w:val="000000000000" w:firstRow="0" w:lastRow="0" w:firstColumn="0" w:lastColumn="0" w:oddVBand="0" w:evenVBand="0" w:oddHBand="0" w:evenHBand="0" w:firstRowFirstColumn="0" w:firstRowLastColumn="0" w:lastRowFirstColumn="0" w:lastRowLastColumn="0"/>
            </w:pPr>
            <w:r w:rsidRPr="00C5604B">
              <w:t>Aggregate all cultural and creative industr</w:t>
            </w:r>
            <w:r>
              <w:t>y GVAs</w:t>
            </w:r>
            <w:r w:rsidRPr="00C5604B">
              <w:t>.</w:t>
            </w:r>
          </w:p>
        </w:tc>
      </w:tr>
      <w:tr w:rsidR="00150382" w:rsidTr="00B371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rsidR="00150382" w:rsidRPr="00571ADC" w:rsidRDefault="00150382" w:rsidP="00150382">
            <w:pPr>
              <w:rPr>
                <w:b w:val="0"/>
              </w:rPr>
            </w:pPr>
            <w:r w:rsidRPr="00D0026B">
              <w:t>Net taxes on products of cultural and creative industries</w:t>
            </w:r>
          </w:p>
        </w:tc>
        <w:tc>
          <w:tcPr>
            <w:tcW w:w="6804" w:type="dxa"/>
            <w:shd w:val="clear" w:color="auto" w:fill="auto"/>
          </w:tcPr>
          <w:p w:rsidR="00150382" w:rsidRPr="00D0026B" w:rsidRDefault="00150382" w:rsidP="00F44BE1">
            <w:pPr>
              <w:pStyle w:val="ListParagraph"/>
              <w:numPr>
                <w:ilvl w:val="0"/>
                <w:numId w:val="20"/>
              </w:numPr>
              <w:spacing w:before="0" w:after="160" w:line="259" w:lineRule="auto"/>
              <w:ind w:left="315" w:hanging="284"/>
              <w:cnfStyle w:val="000000010000" w:firstRow="0" w:lastRow="0" w:firstColumn="0" w:lastColumn="0" w:oddVBand="0" w:evenVBand="0" w:oddHBand="0" w:evenHBand="1" w:firstRowFirstColumn="0" w:firstRowLastColumn="0" w:lastRowFirstColumn="0" w:lastRowLastColumn="0"/>
            </w:pPr>
            <w:r w:rsidRPr="00D0026B">
              <w:t xml:space="preserve">Replicate Satellite Accounts (ABS Cat. no. 5271.0) cultural and creative proportions within individual IOIG for the </w:t>
            </w:r>
            <w:r w:rsidR="00B371FA">
              <w:t>2008–09</w:t>
            </w:r>
            <w:r w:rsidRPr="00D0026B">
              <w:t xml:space="preserve"> year. This sets up </w:t>
            </w:r>
            <w:r w:rsidR="00B371FA">
              <w:t>2008–09</w:t>
            </w:r>
            <w:r w:rsidRPr="00D0026B">
              <w:t xml:space="preserve"> as the base year, and aligns the net taxes on products with ABS Cat. no. 5271.0.</w:t>
            </w:r>
          </w:p>
          <w:p w:rsidR="00150382" w:rsidRPr="00D0026B" w:rsidRDefault="00150382" w:rsidP="00F44BE1">
            <w:pPr>
              <w:pStyle w:val="ListParagraph"/>
              <w:numPr>
                <w:ilvl w:val="0"/>
                <w:numId w:val="20"/>
              </w:numPr>
              <w:spacing w:before="0" w:after="160" w:line="259" w:lineRule="auto"/>
              <w:ind w:left="315" w:hanging="284"/>
              <w:cnfStyle w:val="000000010000" w:firstRow="0" w:lastRow="0" w:firstColumn="0" w:lastColumn="0" w:oddVBand="0" w:evenVBand="0" w:oddHBand="0" w:evenHBand="1" w:firstRowFirstColumn="0" w:firstRowLastColumn="0" w:lastRowFirstColumn="0" w:lastRowLastColumn="0"/>
            </w:pPr>
            <w:r w:rsidRPr="00D0026B">
              <w:t xml:space="preserve">Apply the current price movement from the </w:t>
            </w:r>
            <w:r w:rsidRPr="007B0BD6">
              <w:t xml:space="preserve">2016-17 publication of </w:t>
            </w:r>
            <w:r w:rsidRPr="00571ADC">
              <w:t>Australian System of National Accounts</w:t>
            </w:r>
            <w:r w:rsidRPr="007B0BD6">
              <w:t xml:space="preserve"> (</w:t>
            </w:r>
            <w:r w:rsidRPr="008D58F8">
              <w:t>ABS Cat.</w:t>
            </w:r>
            <w:r w:rsidRPr="00D0026B">
              <w:t xml:space="preserve"> no. 5204.0) to step 1. This will generate the time series from </w:t>
            </w:r>
            <w:r w:rsidR="00B371FA">
              <w:t>2008–09</w:t>
            </w:r>
            <w:r w:rsidRPr="00D0026B">
              <w:t xml:space="preserve"> to 2016-17 as well as incorporate any revisions during the period.</w:t>
            </w:r>
          </w:p>
          <w:p w:rsidR="00150382" w:rsidRPr="00D0026B" w:rsidRDefault="00150382" w:rsidP="00F44BE1">
            <w:pPr>
              <w:pStyle w:val="ListParagraph"/>
              <w:numPr>
                <w:ilvl w:val="0"/>
                <w:numId w:val="20"/>
              </w:numPr>
              <w:spacing w:before="0" w:after="160" w:line="259" w:lineRule="auto"/>
              <w:ind w:left="315" w:hanging="284"/>
              <w:cnfStyle w:val="000000010000" w:firstRow="0" w:lastRow="0" w:firstColumn="0" w:lastColumn="0" w:oddVBand="0" w:evenVBand="0" w:oddHBand="0" w:evenHBand="1" w:firstRowFirstColumn="0" w:firstRowLastColumn="0" w:lastRowFirstColumn="0" w:lastRowLastColumn="0"/>
            </w:pPr>
            <w:r w:rsidRPr="00D0026B">
              <w:t>Split total net taxes on products into IOIGs by using the proportions from Input-Output tables (ABS Cat. no. 5209.0).</w:t>
            </w:r>
          </w:p>
          <w:p w:rsidR="00150382" w:rsidRPr="00D0026B" w:rsidRDefault="00150382" w:rsidP="00F44BE1">
            <w:pPr>
              <w:pStyle w:val="ListParagraph"/>
              <w:numPr>
                <w:ilvl w:val="0"/>
                <w:numId w:val="20"/>
              </w:numPr>
              <w:spacing w:before="0" w:after="160" w:line="259" w:lineRule="auto"/>
              <w:ind w:left="315" w:hanging="284"/>
              <w:cnfStyle w:val="000000010000" w:firstRow="0" w:lastRow="0" w:firstColumn="0" w:lastColumn="0" w:oddVBand="0" w:evenVBand="0" w:oddHBand="0" w:evenHBand="1" w:firstRowFirstColumn="0" w:firstRowLastColumn="0" w:lastRowFirstColumn="0" w:lastRowLastColumn="0"/>
            </w:pPr>
            <w:r w:rsidRPr="00D0026B">
              <w:t>Apply cultural and creative ratio to every financial year, to derive cultural and creative activity net taxes on products for each industry.</w:t>
            </w:r>
          </w:p>
          <w:p w:rsidR="00150382" w:rsidRPr="00D0026B" w:rsidRDefault="00150382" w:rsidP="00F44BE1">
            <w:pPr>
              <w:pStyle w:val="ListParagraph"/>
              <w:numPr>
                <w:ilvl w:val="0"/>
                <w:numId w:val="20"/>
              </w:numPr>
              <w:spacing w:before="0" w:after="160" w:line="259" w:lineRule="auto"/>
              <w:ind w:left="315" w:hanging="284"/>
              <w:cnfStyle w:val="000000010000" w:firstRow="0" w:lastRow="0" w:firstColumn="0" w:lastColumn="0" w:oddVBand="0" w:evenVBand="0" w:oddHBand="0" w:evenHBand="1" w:firstRowFirstColumn="0" w:firstRowLastColumn="0" w:lastRowFirstColumn="0" w:lastRowLastColumn="0"/>
            </w:pPr>
            <w:r w:rsidRPr="00D0026B">
              <w:t>Aggregate the net taxes on products for all cultural and creative industries.</w:t>
            </w:r>
          </w:p>
          <w:p w:rsidR="00150382" w:rsidRPr="00D0026B" w:rsidRDefault="00150382" w:rsidP="00F44BE1">
            <w:pPr>
              <w:pStyle w:val="ListParagraph"/>
              <w:numPr>
                <w:ilvl w:val="0"/>
                <w:numId w:val="20"/>
              </w:numPr>
              <w:spacing w:before="0" w:after="0"/>
              <w:ind w:left="315" w:hanging="284"/>
              <w:cnfStyle w:val="000000010000" w:firstRow="0" w:lastRow="0" w:firstColumn="0" w:lastColumn="0" w:oddVBand="0" w:evenVBand="0" w:oddHBand="0" w:evenHBand="1" w:firstRowFirstColumn="0" w:firstRowLastColumn="0" w:lastRowFirstColumn="0" w:lastRowLastColumn="0"/>
              <w:rPr>
                <w:rFonts w:eastAsiaTheme="minorEastAsia"/>
              </w:rPr>
            </w:pPr>
            <w:r w:rsidRPr="00D0026B">
              <w:t xml:space="preserve">Apply the below ratio to Gross Fixed Capital Formation (Private) and Exports </w:t>
            </w:r>
          </w:p>
          <w:p w:rsidR="00150382" w:rsidRPr="00D0026B" w:rsidRDefault="00C102F1" w:rsidP="00150382">
            <w:pPr>
              <w:spacing w:after="0"/>
              <w:ind w:left="31"/>
              <w:cnfStyle w:val="000000010000" w:firstRow="0" w:lastRow="0" w:firstColumn="0" w:lastColumn="0" w:oddVBand="0" w:evenVBand="0" w:oddHBand="0" w:evenHBand="1" w:firstRowFirstColumn="0" w:firstRowLastColumn="0" w:lastRowFirstColumn="0" w:lastRowLastColumn="0"/>
              <w:rPr>
                <w:rFonts w:eastAsiaTheme="minorEastAsia"/>
                <w:sz w:val="16"/>
                <w:szCs w:val="16"/>
              </w:rPr>
            </w:pPr>
            <m:oMathPara>
              <m:oMath>
                <m:f>
                  <m:fPr>
                    <m:ctrlPr>
                      <w:rPr>
                        <w:rFonts w:ascii="Cambria Math" w:hAnsi="Cambria Math"/>
                        <w:sz w:val="16"/>
                        <w:szCs w:val="16"/>
                      </w:rPr>
                    </m:ctrlPr>
                  </m:fPr>
                  <m:num>
                    <m:r>
                      <m:rPr>
                        <m:sty m:val="p"/>
                      </m:rPr>
                      <w:rPr>
                        <w:rFonts w:ascii="Cambria Math" w:hAnsi="Cambria Math"/>
                        <w:sz w:val="16"/>
                        <w:szCs w:val="16"/>
                      </w:rPr>
                      <m:t>Total net taxes on products for cultural and creative industries</m:t>
                    </m:r>
                  </m:num>
                  <m:den>
                    <m:r>
                      <m:rPr>
                        <m:sty m:val="p"/>
                      </m:rPr>
                      <w:rPr>
                        <w:rFonts w:ascii="Cambria Math" w:hAnsi="Cambria Math" w:cs="Cambria Math"/>
                        <w:sz w:val="16"/>
                        <w:szCs w:val="16"/>
                      </w:rPr>
                      <m:t>Total net taxes on products for cultural and creative activity related IOIGs</m:t>
                    </m:r>
                  </m:den>
                </m:f>
                <m:r>
                  <w:rPr>
                    <w:rFonts w:ascii="Cambria Math" w:hAnsi="Cambria Math"/>
                    <w:sz w:val="16"/>
                    <w:szCs w:val="16"/>
                  </w:rPr>
                  <m:t>×100%</m:t>
                </m:r>
              </m:oMath>
            </m:oMathPara>
          </w:p>
          <w:p w:rsidR="00150382" w:rsidRPr="00571ADC" w:rsidRDefault="00150382" w:rsidP="00F44BE1">
            <w:pPr>
              <w:pStyle w:val="ListParagraph"/>
              <w:numPr>
                <w:ilvl w:val="0"/>
                <w:numId w:val="20"/>
              </w:numPr>
              <w:spacing w:before="0" w:after="0"/>
              <w:ind w:left="315" w:hanging="284"/>
              <w:cnfStyle w:val="000000010000" w:firstRow="0" w:lastRow="0" w:firstColumn="0" w:lastColumn="0" w:oddVBand="0" w:evenVBand="0" w:oddHBand="0" w:evenHBand="1" w:firstRowFirstColumn="0" w:firstRowLastColumn="0" w:lastRowFirstColumn="0" w:lastRowLastColumn="0"/>
            </w:pPr>
            <w:r w:rsidRPr="00D0026B">
              <w:t>Add figures from Step 5 and Step 6 to generate the total of net taxes on products for cultural and creative activity</w:t>
            </w:r>
          </w:p>
        </w:tc>
      </w:tr>
      <w:tr w:rsidR="00150382" w:rsidTr="00B371FA">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rsidR="00150382" w:rsidRPr="009734DB" w:rsidRDefault="00150382" w:rsidP="00150382">
            <w:r w:rsidRPr="00C5604B">
              <w:t>COE for cultural and creative occupations in other industries</w:t>
            </w:r>
          </w:p>
        </w:tc>
        <w:tc>
          <w:tcPr>
            <w:tcW w:w="6804" w:type="dxa"/>
            <w:shd w:val="clear" w:color="auto" w:fill="auto"/>
          </w:tcPr>
          <w:p w:rsidR="00150382" w:rsidRPr="000F5C92" w:rsidRDefault="00150382" w:rsidP="00F44BE1">
            <w:pPr>
              <w:pStyle w:val="ListParagraph"/>
              <w:numPr>
                <w:ilvl w:val="0"/>
                <w:numId w:val="21"/>
              </w:numPr>
              <w:spacing w:before="0" w:after="160" w:line="259" w:lineRule="auto"/>
              <w:ind w:left="315" w:hanging="284"/>
              <w:cnfStyle w:val="010000000000" w:firstRow="0" w:lastRow="1" w:firstColumn="0" w:lastColumn="0" w:oddVBand="0" w:evenVBand="0" w:oddHBand="0" w:evenHBand="0" w:firstRowFirstColumn="0" w:firstRowLastColumn="0" w:lastRowFirstColumn="0" w:lastRowLastColumn="0"/>
              <w:rPr>
                <w:b w:val="0"/>
              </w:rPr>
            </w:pPr>
            <w:r w:rsidRPr="000F5C92">
              <w:t xml:space="preserve">Replicate </w:t>
            </w:r>
            <w:r w:rsidR="00B371FA">
              <w:t>2008–09</w:t>
            </w:r>
            <w:r w:rsidRPr="000F5C92">
              <w:t xml:space="preserve"> Satellite Accounts (ABS Cat. no. 5271.0) cultural and creative proportions of COE</w:t>
            </w:r>
            <w:r w:rsidRPr="000F5C92">
              <w:rPr>
                <w:rStyle w:val="FootnoteReference"/>
              </w:rPr>
              <w:footnoteReference w:id="11"/>
            </w:r>
            <w:r w:rsidRPr="000F5C92">
              <w:t xml:space="preserve"> for cultural and creative occupations in other industries by industry division. This sets up </w:t>
            </w:r>
            <w:r w:rsidR="00B371FA">
              <w:t>2008–09</w:t>
            </w:r>
            <w:r w:rsidRPr="000F5C92">
              <w:t xml:space="preserve"> as the base year, and aligns the COE for cultural and creative occupations in other industries with ABS Cat. no. 5271.0.</w:t>
            </w:r>
          </w:p>
          <w:p w:rsidR="00150382" w:rsidRPr="00FA625D" w:rsidRDefault="00150382" w:rsidP="00F44BE1">
            <w:pPr>
              <w:pStyle w:val="ListParagraph"/>
              <w:numPr>
                <w:ilvl w:val="0"/>
                <w:numId w:val="21"/>
              </w:numPr>
              <w:spacing w:before="0" w:after="160" w:line="259" w:lineRule="auto"/>
              <w:ind w:left="315" w:hanging="284"/>
              <w:cnfStyle w:val="010000000000" w:firstRow="0" w:lastRow="1" w:firstColumn="0" w:lastColumn="0" w:oddVBand="0" w:evenVBand="0" w:oddHBand="0" w:evenHBand="0" w:firstRowFirstColumn="0" w:firstRowLastColumn="0" w:lastRowFirstColumn="0" w:lastRowLastColumn="0"/>
              <w:rPr>
                <w:b w:val="0"/>
              </w:rPr>
            </w:pPr>
            <w:r w:rsidRPr="00FA625D">
              <w:rPr>
                <w:b w:val="0"/>
              </w:rPr>
              <w:t xml:space="preserve">Apply the proportions from step 1 to the COE data for financial years after </w:t>
            </w:r>
            <w:r w:rsidR="00B371FA">
              <w:rPr>
                <w:b w:val="0"/>
              </w:rPr>
              <w:t>2008–09</w:t>
            </w:r>
            <w:r w:rsidRPr="00FA625D">
              <w:rPr>
                <w:b w:val="0"/>
              </w:rPr>
              <w:t>.</w:t>
            </w:r>
          </w:p>
        </w:tc>
      </w:tr>
    </w:tbl>
    <w:p w:rsidR="00150382" w:rsidRDefault="00150382" w:rsidP="00150382">
      <w:r>
        <w:t>Outside the national accounts boundary, the current approach for quantifying volunteer services and non</w:t>
      </w:r>
      <w:r>
        <w:noBreakHyphen/>
        <w:t>market output for cultural and creative activities assumes these two components as a share of total cultural and creative activity on a national account basis remains stable over the analysed period.</w:t>
      </w:r>
    </w:p>
    <w:p w:rsidR="00150382" w:rsidRPr="001B1416" w:rsidRDefault="001B1416" w:rsidP="00B1364F">
      <w:pPr>
        <w:pStyle w:val="Tablefigureheading"/>
      </w:pPr>
      <w:bookmarkStart w:id="109" w:name="_Toc121334235"/>
      <w:bookmarkStart w:id="110" w:name="_Toc121335652"/>
      <w:bookmarkStart w:id="111" w:name="_Toc126581860"/>
      <w:bookmarkStart w:id="112" w:name="_Toc127959277"/>
      <w:r w:rsidRPr="001B1416">
        <w:lastRenderedPageBreak/>
        <w:t xml:space="preserve">Table </w:t>
      </w:r>
      <w:r w:rsidR="00C102F1">
        <w:fldChar w:fldCharType="begin"/>
      </w:r>
      <w:r w:rsidR="00C102F1">
        <w:instrText xml:space="preserve"> SEQ Table \* ARABIC </w:instrText>
      </w:r>
      <w:r w:rsidR="00C102F1">
        <w:fldChar w:fldCharType="separate"/>
      </w:r>
      <w:r w:rsidR="00113F51">
        <w:rPr>
          <w:noProof/>
        </w:rPr>
        <w:t>4</w:t>
      </w:r>
      <w:r w:rsidR="00C102F1">
        <w:rPr>
          <w:noProof/>
        </w:rPr>
        <w:fldChar w:fldCharType="end"/>
      </w:r>
      <w:r>
        <w:t xml:space="preserve">. </w:t>
      </w:r>
      <w:r w:rsidR="00150382" w:rsidRPr="001B1416">
        <w:t>Component 3 and 4: Volunteer services and non-market output of cultural and creative activities</w:t>
      </w:r>
      <w:bookmarkEnd w:id="109"/>
      <w:bookmarkEnd w:id="110"/>
      <w:bookmarkEnd w:id="111"/>
      <w:bookmarkEnd w:id="112"/>
      <w:r w:rsidR="00150382" w:rsidRPr="001B1416">
        <w:t xml:space="preserve"> </w:t>
      </w:r>
    </w:p>
    <w:tbl>
      <w:tblPr>
        <w:tblStyle w:val="DefaultTable1"/>
        <w:tblW w:w="0" w:type="auto"/>
        <w:tblLook w:val="04E0" w:firstRow="1" w:lastRow="1" w:firstColumn="1" w:lastColumn="0" w:noHBand="0" w:noVBand="1"/>
        <w:tblDescription w:val="Component 3 and 4: Volunteer services and non-market output of cultural and creative activities "/>
      </w:tblPr>
      <w:tblGrid>
        <w:gridCol w:w="2906"/>
        <w:gridCol w:w="6569"/>
      </w:tblGrid>
      <w:tr w:rsidR="00150382" w:rsidRPr="00C73325" w:rsidTr="000C60D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595959" w:themeColor="text1" w:themeTint="A6"/>
            </w:tcBorders>
            <w:shd w:val="clear" w:color="auto" w:fill="081E3E"/>
          </w:tcPr>
          <w:p w:rsidR="00150382" w:rsidRPr="00C73325" w:rsidRDefault="00150382" w:rsidP="00150382">
            <w:r w:rsidRPr="00C73325">
              <w:t>Indicator</w:t>
            </w:r>
          </w:p>
        </w:tc>
        <w:tc>
          <w:tcPr>
            <w:tcW w:w="6804" w:type="dxa"/>
            <w:tcBorders>
              <w:bottom w:val="single" w:sz="4" w:space="0" w:color="595959" w:themeColor="text1" w:themeTint="A6"/>
            </w:tcBorders>
            <w:shd w:val="clear" w:color="auto" w:fill="081E3E"/>
          </w:tcPr>
          <w:p w:rsidR="00150382" w:rsidRPr="00C73325" w:rsidRDefault="00150382" w:rsidP="00150382">
            <w:pPr>
              <w:cnfStyle w:val="100000000000" w:firstRow="1" w:lastRow="0" w:firstColumn="0" w:lastColumn="0" w:oddVBand="0" w:evenVBand="0" w:oddHBand="0" w:evenHBand="0" w:firstRowFirstColumn="0" w:firstRowLastColumn="0" w:lastRowFirstColumn="0" w:lastRowLastColumn="0"/>
            </w:pPr>
            <w:r w:rsidRPr="00C73325">
              <w:t>BCARR 2018 Methodology</w:t>
            </w:r>
          </w:p>
        </w:tc>
      </w:tr>
      <w:tr w:rsidR="00150382" w:rsidTr="000C60DF">
        <w:trPr>
          <w:cantSplit/>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rsidR="00150382" w:rsidRDefault="00150382" w:rsidP="00150382">
            <w:r w:rsidRPr="00C5604B">
              <w:t>Volunteer services to arts/ heritage organisations</w:t>
            </w:r>
          </w:p>
        </w:tc>
        <w:tc>
          <w:tcPr>
            <w:tcW w:w="6804" w:type="dxa"/>
            <w:shd w:val="clear" w:color="auto" w:fill="FFFFFF" w:themeFill="background1"/>
          </w:tcPr>
          <w:p w:rsidR="00150382" w:rsidRPr="00FA625D" w:rsidRDefault="00150382" w:rsidP="00150382">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FA625D">
              <w:t>The current approach assumes that the volunteer services to arts/heritage organisations retains a constant share of total cultural and creative activity on a national accounts basis over the period.</w:t>
            </w:r>
          </w:p>
        </w:tc>
      </w:tr>
      <w:tr w:rsidR="00150382" w:rsidTr="000C60DF">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shd w:val="clear" w:color="auto" w:fill="FFFFFF" w:themeFill="background1"/>
          </w:tcPr>
          <w:p w:rsidR="00150382" w:rsidRPr="00C5604B" w:rsidRDefault="00150382" w:rsidP="00150382">
            <w:r w:rsidRPr="00C5604B">
              <w:t>Non-market output of market producers in the cultural and creative industries</w:t>
            </w:r>
          </w:p>
        </w:tc>
        <w:tc>
          <w:tcPr>
            <w:tcW w:w="6804" w:type="dxa"/>
            <w:tcBorders>
              <w:bottom w:val="single" w:sz="4" w:space="0" w:color="auto"/>
            </w:tcBorders>
            <w:shd w:val="clear" w:color="auto" w:fill="FFFFFF" w:themeFill="background1"/>
          </w:tcPr>
          <w:p w:rsidR="00150382" w:rsidRPr="00626518" w:rsidRDefault="00150382" w:rsidP="00150382">
            <w:pPr>
              <w:spacing w:before="0" w:after="160" w:line="259" w:lineRule="auto"/>
              <w:cnfStyle w:val="010000000000" w:firstRow="0" w:lastRow="1" w:firstColumn="0" w:lastColumn="0" w:oddVBand="0" w:evenVBand="0" w:oddHBand="0" w:evenHBand="0" w:firstRowFirstColumn="0" w:firstRowLastColumn="0" w:lastRowFirstColumn="0" w:lastRowLastColumn="0"/>
              <w:rPr>
                <w:b w:val="0"/>
              </w:rPr>
            </w:pPr>
            <w:r w:rsidRPr="00626518">
              <w:rPr>
                <w:b w:val="0"/>
              </w:rPr>
              <w:t>The current approach assumes that non-market output of market producers in the cultural and creative industries retains a constant share of total cultural and creative activity on a national accounts basis over the period.</w:t>
            </w:r>
          </w:p>
        </w:tc>
      </w:tr>
    </w:tbl>
    <w:p w:rsidR="00150382" w:rsidRDefault="00150382" w:rsidP="00150382">
      <w:r>
        <w:br w:type="page"/>
      </w:r>
    </w:p>
    <w:p w:rsidR="00150382" w:rsidRDefault="000C60DF" w:rsidP="000C60DF">
      <w:pPr>
        <w:pStyle w:val="Heading2"/>
      </w:pPr>
      <w:bookmarkStart w:id="113" w:name="_Toc126581844"/>
      <w:bookmarkStart w:id="114" w:name="_Appendix_B—Cultural_and"/>
      <w:bookmarkStart w:id="115" w:name="_Toc128051577"/>
      <w:bookmarkEnd w:id="114"/>
      <w:r>
        <w:lastRenderedPageBreak/>
        <w:t>Appendix B—</w:t>
      </w:r>
      <w:r w:rsidR="00150382" w:rsidRPr="00B935C6">
        <w:t xml:space="preserve">Cultural and creative domains – BCARR’s </w:t>
      </w:r>
      <w:r w:rsidR="00150382">
        <w:t>current framework</w:t>
      </w:r>
      <w:bookmarkEnd w:id="113"/>
      <w:bookmarkEnd w:id="115"/>
    </w:p>
    <w:p w:rsidR="00113F51" w:rsidRPr="00113F51" w:rsidRDefault="00113F51" w:rsidP="00411CF9">
      <w:pPr>
        <w:pStyle w:val="Tablefigureheading"/>
        <w:rPr>
          <w:i/>
        </w:rPr>
      </w:pPr>
      <w:bookmarkStart w:id="116" w:name="_Toc127959278"/>
      <w:r w:rsidRPr="00113F51">
        <w:t xml:space="preserve">Table </w:t>
      </w:r>
      <w:r w:rsidR="00C102F1">
        <w:fldChar w:fldCharType="begin"/>
      </w:r>
      <w:r w:rsidR="00C102F1">
        <w:instrText xml:space="preserve"> SEQ Table \* A</w:instrText>
      </w:r>
      <w:r w:rsidR="00C102F1">
        <w:instrText xml:space="preserve">RABIC </w:instrText>
      </w:r>
      <w:r w:rsidR="00C102F1">
        <w:fldChar w:fldCharType="separate"/>
      </w:r>
      <w:r>
        <w:rPr>
          <w:noProof/>
        </w:rPr>
        <w:t>5</w:t>
      </w:r>
      <w:r w:rsidR="00C102F1">
        <w:rPr>
          <w:noProof/>
        </w:rPr>
        <w:fldChar w:fldCharType="end"/>
      </w:r>
      <w:r>
        <w:t xml:space="preserve">. </w:t>
      </w:r>
      <w:r w:rsidRPr="00113F51">
        <w:t>Cultural and creative domains – BCARR’s current framework</w:t>
      </w:r>
      <w:bookmarkEnd w:id="116"/>
    </w:p>
    <w:tbl>
      <w:tblPr>
        <w:tblStyle w:val="DefaultTable1"/>
        <w:tblW w:w="4937" w:type="pct"/>
        <w:tblBorders>
          <w:top w:val="none" w:sz="0" w:space="0" w:color="auto"/>
          <w:bottom w:val="single" w:sz="4" w:space="0" w:color="auto"/>
          <w:insideH w:val="single" w:sz="4" w:space="0" w:color="auto"/>
        </w:tblBorders>
        <w:tblLayout w:type="fixed"/>
        <w:tblLook w:val="04E0" w:firstRow="1" w:lastRow="1" w:firstColumn="1" w:lastColumn="0" w:noHBand="0" w:noVBand="1"/>
        <w:tblCaption w:val="Cultural and creative domains – BCARR’s current framework"/>
        <w:tblDescription w:val="Cultural and creative domains – BCARR’s current framework"/>
      </w:tblPr>
      <w:tblGrid>
        <w:gridCol w:w="539"/>
        <w:gridCol w:w="1894"/>
        <w:gridCol w:w="2249"/>
        <w:gridCol w:w="1983"/>
        <w:gridCol w:w="992"/>
        <w:gridCol w:w="1699"/>
      </w:tblGrid>
      <w:tr w:rsidR="00376B6E" w:rsidRPr="00376B6E" w:rsidTr="00376B6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shd w:val="clear" w:color="auto" w:fill="081E3E"/>
          </w:tcPr>
          <w:p w:rsidR="00150382" w:rsidRPr="00376B6E" w:rsidRDefault="00150382" w:rsidP="00376B6E">
            <w:pPr>
              <w:spacing w:before="0" w:after="0"/>
              <w:rPr>
                <w:rFonts w:asciiTheme="minorHAnsi" w:hAnsiTheme="minorHAnsi" w:cstheme="minorHAnsi"/>
                <w:sz w:val="22"/>
                <w:szCs w:val="22"/>
              </w:rPr>
            </w:pPr>
            <w:r w:rsidRPr="00376B6E">
              <w:rPr>
                <w:rFonts w:asciiTheme="minorHAnsi" w:hAnsiTheme="minorHAnsi" w:cstheme="minorHAnsi"/>
                <w:sz w:val="22"/>
                <w:szCs w:val="22"/>
              </w:rPr>
              <w:t>No.</w:t>
            </w:r>
          </w:p>
        </w:tc>
        <w:tc>
          <w:tcPr>
            <w:tcW w:w="1012" w:type="pct"/>
            <w:shd w:val="clear" w:color="auto" w:fill="081E3E"/>
          </w:tcPr>
          <w:p w:rsidR="00150382" w:rsidRPr="00376B6E" w:rsidRDefault="00150382" w:rsidP="00376B6E">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Domain</w:t>
            </w:r>
          </w:p>
        </w:tc>
        <w:tc>
          <w:tcPr>
            <w:tcW w:w="1202" w:type="pct"/>
            <w:shd w:val="clear" w:color="auto" w:fill="081E3E"/>
          </w:tcPr>
          <w:p w:rsidR="00150382" w:rsidRPr="00376B6E" w:rsidRDefault="00150382" w:rsidP="00376B6E">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ANZSIC Name and Code</w:t>
            </w:r>
          </w:p>
        </w:tc>
        <w:tc>
          <w:tcPr>
            <w:tcW w:w="1060" w:type="pct"/>
            <w:shd w:val="clear" w:color="auto" w:fill="081E3E"/>
          </w:tcPr>
          <w:p w:rsidR="00150382" w:rsidRPr="00376B6E" w:rsidRDefault="00150382" w:rsidP="00376B6E">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Layer of concentric circles model</w:t>
            </w:r>
          </w:p>
        </w:tc>
        <w:tc>
          <w:tcPr>
            <w:tcW w:w="530" w:type="pct"/>
            <w:shd w:val="clear" w:color="auto" w:fill="081E3E"/>
          </w:tcPr>
          <w:p w:rsidR="00150382" w:rsidRPr="00376B6E" w:rsidRDefault="00150382" w:rsidP="00376B6E">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Segment</w:t>
            </w:r>
          </w:p>
        </w:tc>
        <w:tc>
          <w:tcPr>
            <w:tcW w:w="909" w:type="pct"/>
            <w:shd w:val="clear" w:color="auto" w:fill="081E3E"/>
          </w:tcPr>
          <w:p w:rsidR="00150382" w:rsidRPr="00376B6E" w:rsidRDefault="00150382" w:rsidP="00376B6E">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bottom w:val="single" w:sz="4" w:space="0" w:color="auto"/>
            </w:tcBorders>
          </w:tcPr>
          <w:p w:rsidR="00150382"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1.</w:t>
            </w:r>
          </w:p>
        </w:tc>
        <w:tc>
          <w:tcPr>
            <w:tcW w:w="1012" w:type="pct"/>
            <w:tcBorders>
              <w:bottom w:val="single" w:sz="4" w:space="0" w:color="auto"/>
            </w:tcBorders>
          </w:tcPr>
          <w:p w:rsidR="00150382" w:rsidRPr="00376B6E" w:rsidRDefault="00150382"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Museums</w:t>
            </w:r>
          </w:p>
        </w:tc>
        <w:tc>
          <w:tcPr>
            <w:tcW w:w="1202" w:type="pct"/>
          </w:tcPr>
          <w:p w:rsidR="00150382" w:rsidRPr="00376B6E" w:rsidRDefault="00150382"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Museum Operation (8910)</w:t>
            </w:r>
          </w:p>
        </w:tc>
        <w:tc>
          <w:tcPr>
            <w:tcW w:w="1060" w:type="pct"/>
          </w:tcPr>
          <w:p w:rsidR="00150382" w:rsidRPr="00376B6E" w:rsidRDefault="00150382"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core creative industries</w:t>
            </w:r>
          </w:p>
        </w:tc>
        <w:tc>
          <w:tcPr>
            <w:tcW w:w="530" w:type="pct"/>
          </w:tcPr>
          <w:p w:rsidR="00150382" w:rsidRPr="00376B6E" w:rsidRDefault="00150382"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tcPr>
          <w:p w:rsidR="00150382" w:rsidRPr="00376B6E" w:rsidRDefault="00150382"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2</w:t>
            </w:r>
            <w:r w:rsidR="00376B6E" w:rsidRPr="00376B6E">
              <w:rPr>
                <w:rFonts w:asciiTheme="minorHAnsi" w:hAnsiTheme="minorHAnsi" w:cstheme="minorHAnsi"/>
                <w:sz w:val="22"/>
                <w:szCs w:val="22"/>
              </w:rPr>
              <w:t>.</w:t>
            </w:r>
          </w:p>
        </w:tc>
        <w:tc>
          <w:tcPr>
            <w:tcW w:w="1012" w:type="pct"/>
            <w:tcBorders>
              <w:top w:val="single" w:sz="4" w:space="0" w:color="auto"/>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Environmental heritage</w:t>
            </w: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Zoological and Botanical Gardens Operation (8921)</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Nature Reserves and Conservation Parks Operation (8922)</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bottom w:val="single" w:sz="4" w:space="0" w:color="auto"/>
            </w:tcBorders>
            <w:shd w:val="clear" w:color="auto" w:fill="FFFFFF" w:themeFill="background1"/>
          </w:tcPr>
          <w:p w:rsidR="00530143" w:rsidRPr="00376B6E" w:rsidRDefault="00376B6E"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3.</w:t>
            </w:r>
          </w:p>
        </w:tc>
        <w:tc>
          <w:tcPr>
            <w:tcW w:w="1012" w:type="pct"/>
            <w:tcBorders>
              <w:bottom w:val="single" w:sz="4" w:space="0" w:color="auto"/>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Libraries and archives</w:t>
            </w: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Libraries and Archives (6010)</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core creative industries</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4.</w:t>
            </w:r>
          </w:p>
        </w:tc>
        <w:tc>
          <w:tcPr>
            <w:tcW w:w="1012" w:type="pct"/>
            <w:tcBorders>
              <w:top w:val="single" w:sz="4" w:space="0" w:color="auto"/>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Literature and print media</w:t>
            </w: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Printing (1611)</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Photocopying is out-of-scope.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Printing Support Services (1612)</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uppressAutoHyphens/>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Book and Magazine Wholesaling (3735)</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Newspaper and Book Retailing (4244)</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Newspaper Publishing (5411)</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Magazine and Other Periodical Publishing (5412)</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Racing forms publishing is out-of-scope.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Book Publishing (5413)</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single" w:sz="4" w:space="0" w:color="auto"/>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single" w:sz="4" w:space="0" w:color="auto"/>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Publishing (except Software, Music and Internet) (5419)</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Calendar and diary publishing is out-of-scope.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5.</w:t>
            </w:r>
          </w:p>
        </w:tc>
        <w:tc>
          <w:tcPr>
            <w:tcW w:w="1012" w:type="pct"/>
            <w:tcBorders>
              <w:top w:val="single" w:sz="4" w:space="0" w:color="auto"/>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Performing arts</w:t>
            </w: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Pubs, Taverns and Bars (4520)</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x-none"/>
              </w:rPr>
            </w:pPr>
            <w:r w:rsidRPr="00376B6E">
              <w:rPr>
                <w:rFonts w:asciiTheme="minorHAnsi" w:hAnsiTheme="minorHAnsi" w:cstheme="minorHAnsi"/>
                <w:sz w:val="22"/>
                <w:szCs w:val="22"/>
              </w:rPr>
              <w:t xml:space="preserve">Partially in-scope. </w:t>
            </w:r>
            <w:r w:rsidRPr="00376B6E">
              <w:rPr>
                <w:rFonts w:asciiTheme="minorHAnsi" w:hAnsiTheme="minorHAnsi" w:cstheme="minorHAnsi"/>
                <w:sz w:val="22"/>
                <w:szCs w:val="22"/>
                <w:lang w:val="x-none"/>
              </w:rPr>
              <w:t>Included for</w:t>
            </w:r>
            <w:r w:rsidRPr="00376B6E">
              <w:rPr>
                <w:rFonts w:asciiTheme="minorHAnsi" w:hAnsiTheme="minorHAnsi" w:cstheme="minorHAnsi"/>
                <w:sz w:val="22"/>
                <w:szCs w:val="22"/>
              </w:rPr>
              <w:t xml:space="preserve"> </w:t>
            </w:r>
            <w:r w:rsidRPr="00376B6E">
              <w:rPr>
                <w:rFonts w:asciiTheme="minorHAnsi" w:hAnsiTheme="minorHAnsi" w:cstheme="minorHAnsi"/>
                <w:sz w:val="22"/>
                <w:szCs w:val="22"/>
                <w:lang w:val="x-none"/>
              </w:rPr>
              <w:t>the activity generated at venues</w:t>
            </w:r>
            <w:r w:rsidRPr="00376B6E">
              <w:rPr>
                <w:rFonts w:asciiTheme="minorHAnsi" w:hAnsiTheme="minorHAnsi" w:cstheme="minorHAnsi"/>
                <w:sz w:val="22"/>
                <w:szCs w:val="22"/>
              </w:rPr>
              <w:t xml:space="preserve"> </w:t>
            </w:r>
            <w:r w:rsidRPr="00376B6E">
              <w:rPr>
                <w:rFonts w:asciiTheme="minorHAnsi" w:hAnsiTheme="minorHAnsi" w:cstheme="minorHAnsi"/>
                <w:sz w:val="22"/>
                <w:szCs w:val="22"/>
                <w:lang w:val="x-none"/>
              </w:rPr>
              <w:t>during live entertainment</w:t>
            </w:r>
          </w:p>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lang w:val="x-none"/>
              </w:rPr>
              <w:t>performances.</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Clubs (Hospitality) (4530)</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the activity generated at venues during live entertainment performances.</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Performing Arts Operation (9001)</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Core creative arts</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 Artists, Musicians, Writers and Performers (9002)</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Core creative arts</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single" w:sz="4" w:space="0" w:color="auto"/>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single" w:sz="4" w:space="0" w:color="auto"/>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Performing Arts Venue Operation (9003)</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Core creative arts</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6.</w:t>
            </w:r>
          </w:p>
        </w:tc>
        <w:tc>
          <w:tcPr>
            <w:tcW w:w="1012" w:type="pct"/>
            <w:tcBorders>
              <w:top w:val="single" w:sz="4" w:space="0" w:color="auto"/>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Design</w:t>
            </w: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Architectural Services (6921)</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Specialised Design Services (6924)</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Advertising Services (6940)</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single" w:sz="4" w:space="0" w:color="auto"/>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single" w:sz="4" w:space="0" w:color="auto"/>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Computer System Design and Related Services (7000)</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7.</w:t>
            </w:r>
          </w:p>
        </w:tc>
        <w:tc>
          <w:tcPr>
            <w:tcW w:w="1012" w:type="pct"/>
            <w:tcBorders>
              <w:top w:val="single" w:sz="4" w:space="0" w:color="auto"/>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Broadcasting, electronic or digital media, and film</w:t>
            </w: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Software Publishing (5420)</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Motion Picture and Video Production (5511)</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Motion Picture and Video Distribution (5512)</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Motion Picture Exhibition (5513)</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Post-production Services and Other Motion Picture and Video Activities (5514)</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Radio Broadcasting (5610)</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Free-to-Air Television Broadcasting (5621)</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Cable and Other Subscription Broadcasting (5622)</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Internet Publishing and Broadcasting (5700)</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single" w:sz="4" w:space="0" w:color="auto"/>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single" w:sz="4" w:space="0" w:color="auto"/>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 xml:space="preserve">Video and </w:t>
            </w:r>
            <w:proofErr w:type="gramStart"/>
            <w:r w:rsidRPr="00376B6E">
              <w:rPr>
                <w:rFonts w:asciiTheme="minorHAnsi" w:hAnsiTheme="minorHAnsi" w:cstheme="minorHAnsi"/>
                <w:sz w:val="22"/>
                <w:szCs w:val="22"/>
              </w:rPr>
              <w:t>Other</w:t>
            </w:r>
            <w:proofErr w:type="gramEnd"/>
            <w:r w:rsidRPr="00376B6E">
              <w:rPr>
                <w:rFonts w:asciiTheme="minorHAnsi" w:hAnsiTheme="minorHAnsi" w:cstheme="minorHAnsi"/>
                <w:sz w:val="22"/>
                <w:szCs w:val="22"/>
              </w:rPr>
              <w:t xml:space="preserve"> Electronic Media Rental and Hiring (6632)</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8.</w:t>
            </w:r>
          </w:p>
        </w:tc>
        <w:tc>
          <w:tcPr>
            <w:tcW w:w="1012" w:type="pct"/>
            <w:tcBorders>
              <w:top w:val="single" w:sz="4" w:space="0" w:color="auto"/>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Music composition and publishing</w:t>
            </w: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Music Publishing (5521)</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single" w:sz="4" w:space="0" w:color="auto"/>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single" w:sz="4" w:space="0" w:color="auto"/>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Music and Other Sound Recording Activities (5522)</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9.</w:t>
            </w:r>
          </w:p>
        </w:tc>
        <w:tc>
          <w:tcPr>
            <w:tcW w:w="1012" w:type="pct"/>
            <w:tcBorders>
              <w:top w:val="single" w:sz="4" w:space="0" w:color="auto"/>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Visual arts and crafts</w:t>
            </w: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Leather Tanning, Fur Dressing and Leather Product Manufacturing (1320)</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Associated with crafts.</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Ceramic Product Manufacturing (2029)</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Associated with crafts.</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Jewellery and Silverware Manufacturing (2591)</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Coin minting is out-of-scope.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Jewellery and Watch Wholesaling (3732)</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Watch and clock wholesaling are out-of- 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Watch and Jewellery Retailing (4253)</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Watch retailing is out-of-scope.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single" w:sz="4" w:space="0" w:color="auto"/>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p>
        </w:tc>
        <w:tc>
          <w:tcPr>
            <w:tcW w:w="1012" w:type="pct"/>
            <w:tcBorders>
              <w:top w:val="nil"/>
              <w:bottom w:val="single" w:sz="4" w:space="0" w:color="auto"/>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Professional Photographic Services (6991)</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core cultural industries</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10.</w:t>
            </w:r>
          </w:p>
        </w:tc>
        <w:tc>
          <w:tcPr>
            <w:tcW w:w="1012" w:type="pct"/>
            <w:tcBorders>
              <w:top w:val="single" w:sz="4" w:space="0" w:color="auto"/>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Fashion</w:t>
            </w: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Clothing Manufacturing (1351)</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Footwear Manufacturing (1352)</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Clothing and Footwear Wholesaling (3712)</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Clothing Retailing (4251)</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Footwear Retailing (4252)</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single" w:sz="4" w:space="0" w:color="auto"/>
            </w:tcBorders>
            <w:shd w:val="clear" w:color="auto" w:fill="F2F2F2"/>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single" w:sz="4" w:space="0" w:color="auto"/>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Personal Accessory Retailing (4259)</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Creative</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Briefcase and luggage retailing are out-of-scope.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bottom w:val="nil"/>
            </w:tcBorders>
            <w:shd w:val="clear" w:color="auto" w:fill="FFFFFF" w:themeFill="background1"/>
          </w:tcPr>
          <w:p w:rsidR="00530143"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11.</w:t>
            </w:r>
          </w:p>
        </w:tc>
        <w:tc>
          <w:tcPr>
            <w:tcW w:w="1012" w:type="pct"/>
            <w:tcBorders>
              <w:top w:val="single" w:sz="4" w:space="0" w:color="auto"/>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culture goods manufacturing and sales</w:t>
            </w: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Reproduction of Recorded Media (1620)</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Manufacturing nec (2599)</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musical instrument manufacturing.</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roofErr w:type="gramStart"/>
            <w:r w:rsidRPr="00376B6E">
              <w:rPr>
                <w:rFonts w:asciiTheme="minorHAnsi" w:hAnsiTheme="minorHAnsi" w:cstheme="minorHAnsi"/>
                <w:sz w:val="22"/>
                <w:szCs w:val="22"/>
              </w:rPr>
              <w:t>Other</w:t>
            </w:r>
            <w:proofErr w:type="gramEnd"/>
            <w:r w:rsidRPr="00376B6E">
              <w:rPr>
                <w:rFonts w:asciiTheme="minorHAnsi" w:hAnsiTheme="minorHAnsi" w:cstheme="minorHAnsi"/>
                <w:sz w:val="22"/>
                <w:szCs w:val="22"/>
              </w:rPr>
              <w:t xml:space="preserve"> Goods Wholesaling nec (3739)</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musical instrument and recorded media wholesaling.</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Commission-Based Wholesaling (3800)</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its role in reselling cultural and creative goods.</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Entertainment Media Retailing (4242)</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Wider cultural industries</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Antique and Used Goods Retailing (4273)</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Coin and stamp dealing are out-of-scope.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Store-Based Retailing nec (4279)</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retail art gallery operation and musical instrument retailing.</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Non-Store Retailing (4310)</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direct selling of books.</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FFFFF" w:themeFill="background1"/>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Retail Commission-Based Buying and/or Selling (4320)</w:t>
            </w:r>
          </w:p>
        </w:tc>
        <w:tc>
          <w:tcPr>
            <w:tcW w:w="106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FFFFF" w:themeFill="background1"/>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selling and buying of books.</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single" w:sz="4" w:space="0" w:color="auto"/>
            </w:tcBorders>
            <w:shd w:val="clear" w:color="auto" w:fill="FFFFFF" w:themeFill="background1"/>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single" w:sz="4" w:space="0" w:color="auto"/>
            </w:tcBorders>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Goods and Equipment Rental and Hiring nec (6639)</w:t>
            </w:r>
          </w:p>
        </w:tc>
        <w:tc>
          <w:tcPr>
            <w:tcW w:w="106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Both</w:t>
            </w:r>
          </w:p>
        </w:tc>
        <w:tc>
          <w:tcPr>
            <w:tcW w:w="909" w:type="pct"/>
            <w:shd w:val="clear" w:color="auto" w:fill="FFFFFF" w:themeFill="background1"/>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art work, video recorder and sound equipment rental.</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bottom w:val="nil"/>
            </w:tcBorders>
            <w:shd w:val="clear" w:color="auto" w:fill="F2F2F2"/>
          </w:tcPr>
          <w:p w:rsidR="00530143" w:rsidRPr="00376B6E" w:rsidRDefault="00530143" w:rsidP="00376B6E">
            <w:pPr>
              <w:suppressAutoHyphens/>
              <w:spacing w:before="0" w:after="0"/>
              <w:rPr>
                <w:rFonts w:asciiTheme="minorHAnsi" w:hAnsiTheme="minorHAnsi" w:cstheme="minorHAnsi"/>
                <w:sz w:val="22"/>
                <w:szCs w:val="22"/>
              </w:rPr>
            </w:pPr>
            <w:r w:rsidRPr="00376B6E">
              <w:rPr>
                <w:rFonts w:asciiTheme="minorHAnsi" w:hAnsiTheme="minorHAnsi" w:cstheme="minorHAnsi"/>
                <w:sz w:val="22"/>
                <w:szCs w:val="22"/>
              </w:rPr>
              <w:t>12.</w:t>
            </w:r>
          </w:p>
        </w:tc>
        <w:tc>
          <w:tcPr>
            <w:tcW w:w="1012" w:type="pct"/>
            <w:tcBorders>
              <w:top w:val="single" w:sz="4" w:space="0" w:color="auto"/>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Supporting activities</w:t>
            </w: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Non-Residential Building Construction (3020)</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construction of cultural facilities.</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Heavy and Civil Engineering Construction (3109)</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Related industries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construction of cultural facilities.</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Management Advice and Related Consulting Services (6962)</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artist / entertainer management services.</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Employment Placement and Recruitment Services (7211)</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casting agency operation.</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Labour Supply Services (7212)</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Administrative Services nec (7299)</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cultural event management, arts promotion and theatre and concert booking services.</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Central Government Administration (7510)</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State Government Administration (7520)</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Local Government Administration (7530)</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Technical and Vocational Education and Training (8101)</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Higher Education (8102)</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Arts Education (8212)</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Core creative arts</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Wholly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Other Repair and Maintenance nec (9499)</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 Included for jewellery and musical instrument repair.</w:t>
            </w:r>
          </w:p>
        </w:tc>
      </w:tr>
      <w:tr w:rsidR="00376B6E" w:rsidRPr="00376B6E" w:rsidTr="00376B6E">
        <w:trPr>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Business and Professional Association Services (9551)</w:t>
            </w:r>
          </w:p>
        </w:tc>
        <w:tc>
          <w:tcPr>
            <w:tcW w:w="106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w:t>
            </w:r>
          </w:p>
        </w:tc>
      </w:tr>
      <w:tr w:rsidR="00376B6E" w:rsidRPr="00376B6E" w:rsidTr="00376B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bottom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bottom w:val="nil"/>
            </w:tcBorders>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Labour Association Services (9552)</w:t>
            </w:r>
          </w:p>
        </w:tc>
        <w:tc>
          <w:tcPr>
            <w:tcW w:w="106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Not in the concentric circles model</w:t>
            </w:r>
          </w:p>
        </w:tc>
        <w:tc>
          <w:tcPr>
            <w:tcW w:w="530"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Cultural</w:t>
            </w:r>
          </w:p>
        </w:tc>
        <w:tc>
          <w:tcPr>
            <w:tcW w:w="909" w:type="pct"/>
            <w:shd w:val="clear" w:color="auto" w:fill="F2F2F2"/>
          </w:tcPr>
          <w:p w:rsidR="00530143" w:rsidRPr="00376B6E" w:rsidRDefault="00530143" w:rsidP="00376B6E">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6B6E">
              <w:rPr>
                <w:rFonts w:asciiTheme="minorHAnsi" w:hAnsiTheme="minorHAnsi" w:cstheme="minorHAnsi"/>
                <w:sz w:val="22"/>
                <w:szCs w:val="22"/>
              </w:rPr>
              <w:t>Partially in-scope</w:t>
            </w:r>
          </w:p>
        </w:tc>
      </w:tr>
      <w:tr w:rsidR="00376B6E" w:rsidRPr="00376B6E" w:rsidTr="00376B6E">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 w:type="pct"/>
            <w:tcBorders>
              <w:top w:val="nil"/>
            </w:tcBorders>
            <w:shd w:val="clear" w:color="auto" w:fill="F2F2F2"/>
          </w:tcPr>
          <w:p w:rsidR="00530143" w:rsidRPr="00376B6E" w:rsidRDefault="00530143" w:rsidP="00376B6E">
            <w:pPr>
              <w:spacing w:before="0" w:after="0"/>
              <w:rPr>
                <w:rFonts w:asciiTheme="minorHAnsi" w:hAnsiTheme="minorHAnsi" w:cstheme="minorHAnsi"/>
                <w:b w:val="0"/>
                <w:sz w:val="22"/>
                <w:szCs w:val="22"/>
              </w:rPr>
            </w:pPr>
          </w:p>
        </w:tc>
        <w:tc>
          <w:tcPr>
            <w:tcW w:w="1012" w:type="pct"/>
            <w:tcBorders>
              <w:top w:val="nil"/>
            </w:tcBorders>
            <w:shd w:val="clear" w:color="auto" w:fill="F2F2F2"/>
          </w:tcPr>
          <w:p w:rsidR="00530143" w:rsidRPr="00376B6E" w:rsidRDefault="00530143" w:rsidP="00376B6E">
            <w:pPr>
              <w:spacing w:before="0" w:after="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202" w:type="pct"/>
            <w:shd w:val="clear" w:color="auto" w:fill="F2F2F2"/>
          </w:tcPr>
          <w:p w:rsidR="00530143" w:rsidRPr="00376B6E" w:rsidRDefault="00530143" w:rsidP="00376B6E">
            <w:pPr>
              <w:spacing w:before="0" w:after="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376B6E">
              <w:rPr>
                <w:rFonts w:asciiTheme="minorHAnsi" w:hAnsiTheme="minorHAnsi" w:cstheme="minorHAnsi"/>
                <w:b w:val="0"/>
                <w:sz w:val="22"/>
                <w:szCs w:val="22"/>
              </w:rPr>
              <w:t>Other Interest Group Services nec (9559)</w:t>
            </w:r>
          </w:p>
        </w:tc>
        <w:tc>
          <w:tcPr>
            <w:tcW w:w="1060" w:type="pct"/>
            <w:shd w:val="clear" w:color="auto" w:fill="F2F2F2"/>
          </w:tcPr>
          <w:p w:rsidR="00530143" w:rsidRPr="00376B6E" w:rsidRDefault="00530143" w:rsidP="00376B6E">
            <w:pPr>
              <w:spacing w:before="0" w:after="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376B6E">
              <w:rPr>
                <w:rFonts w:asciiTheme="minorHAnsi" w:hAnsiTheme="minorHAnsi" w:cstheme="minorHAnsi"/>
                <w:b w:val="0"/>
                <w:sz w:val="22"/>
                <w:szCs w:val="22"/>
              </w:rPr>
              <w:t>Not in the concentric circles model</w:t>
            </w:r>
          </w:p>
        </w:tc>
        <w:tc>
          <w:tcPr>
            <w:tcW w:w="530" w:type="pct"/>
            <w:shd w:val="clear" w:color="auto" w:fill="F2F2F2"/>
          </w:tcPr>
          <w:p w:rsidR="00530143" w:rsidRPr="00376B6E" w:rsidRDefault="00530143" w:rsidP="00376B6E">
            <w:pPr>
              <w:spacing w:before="0" w:after="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376B6E">
              <w:rPr>
                <w:rFonts w:asciiTheme="minorHAnsi" w:hAnsiTheme="minorHAnsi" w:cstheme="minorHAnsi"/>
                <w:b w:val="0"/>
                <w:sz w:val="22"/>
                <w:szCs w:val="22"/>
              </w:rPr>
              <w:t>Cultural</w:t>
            </w:r>
          </w:p>
        </w:tc>
        <w:tc>
          <w:tcPr>
            <w:tcW w:w="909" w:type="pct"/>
            <w:shd w:val="clear" w:color="auto" w:fill="F2F2F2"/>
          </w:tcPr>
          <w:p w:rsidR="00530143" w:rsidRPr="00376B6E" w:rsidRDefault="00530143" w:rsidP="00376B6E">
            <w:pPr>
              <w:spacing w:before="0" w:after="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376B6E">
              <w:rPr>
                <w:rFonts w:asciiTheme="minorHAnsi" w:hAnsiTheme="minorHAnsi" w:cstheme="minorHAnsi"/>
                <w:b w:val="0"/>
                <w:sz w:val="22"/>
                <w:szCs w:val="22"/>
              </w:rPr>
              <w:t>Partially in-scope</w:t>
            </w:r>
          </w:p>
        </w:tc>
      </w:tr>
    </w:tbl>
    <w:p w:rsidR="00150382" w:rsidRDefault="00150382" w:rsidP="00150382">
      <w:r>
        <w:br w:type="page"/>
      </w:r>
    </w:p>
    <w:p w:rsidR="00150382" w:rsidRDefault="000C60DF" w:rsidP="000C60DF">
      <w:pPr>
        <w:pStyle w:val="Heading2"/>
      </w:pPr>
      <w:bookmarkStart w:id="117" w:name="_Toc126581845"/>
      <w:bookmarkStart w:id="118" w:name="_Toc128051578"/>
      <w:r>
        <w:lastRenderedPageBreak/>
        <w:t>Appendix C—</w:t>
      </w:r>
      <w:r w:rsidR="00150382">
        <w:t>Proposed IOPC list of cultural and creative activity</w:t>
      </w:r>
      <w:bookmarkEnd w:id="117"/>
      <w:bookmarkEnd w:id="118"/>
    </w:p>
    <w:p w:rsidR="00113F51" w:rsidRPr="00113F51" w:rsidRDefault="00113F51" w:rsidP="00411CF9">
      <w:pPr>
        <w:pStyle w:val="Tablefigureheading"/>
        <w:rPr>
          <w:i/>
        </w:rPr>
      </w:pPr>
      <w:bookmarkStart w:id="119" w:name="_Toc127959279"/>
      <w:r w:rsidRPr="00113F51">
        <w:t xml:space="preserve">Table </w:t>
      </w:r>
      <w:r w:rsidR="00C102F1">
        <w:fldChar w:fldCharType="begin"/>
      </w:r>
      <w:r w:rsidR="00C102F1">
        <w:instrText xml:space="preserve"> SEQ Table \* ARABIC </w:instrText>
      </w:r>
      <w:r w:rsidR="00C102F1">
        <w:fldChar w:fldCharType="separate"/>
      </w:r>
      <w:r>
        <w:rPr>
          <w:noProof/>
        </w:rPr>
        <w:t>6</w:t>
      </w:r>
      <w:r w:rsidR="00C102F1">
        <w:rPr>
          <w:noProof/>
        </w:rPr>
        <w:fldChar w:fldCharType="end"/>
      </w:r>
      <w:r>
        <w:t xml:space="preserve">. </w:t>
      </w:r>
      <w:r w:rsidRPr="00113F51">
        <w:t>Proposed IOPC list of cultural and creative activity</w:t>
      </w:r>
      <w:bookmarkEnd w:id="119"/>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roposed IOPC list of cultural and creative activity"/>
        <w:tblDescription w:val="Proposed IOPC list of cultural and creative activity"/>
      </w:tblPr>
      <w:tblGrid>
        <w:gridCol w:w="1087"/>
        <w:gridCol w:w="3444"/>
        <w:gridCol w:w="1730"/>
        <w:gridCol w:w="1771"/>
        <w:gridCol w:w="1221"/>
      </w:tblGrid>
      <w:tr w:rsidR="00150382" w:rsidRPr="006B3AF8" w:rsidTr="00690C60">
        <w:trPr>
          <w:cantSplit/>
          <w:trHeight w:val="300"/>
          <w:tblHeader/>
          <w:jc w:val="center"/>
        </w:trPr>
        <w:tc>
          <w:tcPr>
            <w:tcW w:w="587" w:type="pct"/>
            <w:shd w:val="clear" w:color="auto" w:fill="081E3E"/>
            <w:noWrap/>
            <w:vAlign w:val="center"/>
            <w:hideMark/>
          </w:tcPr>
          <w:p w:rsidR="00150382" w:rsidRPr="006B3AF8" w:rsidRDefault="00150382" w:rsidP="00690C60">
            <w:pPr>
              <w:pStyle w:val="Tablerowcolumnheading"/>
              <w:rPr>
                <w:lang w:eastAsia="en-AU"/>
              </w:rPr>
            </w:pPr>
            <w:r w:rsidRPr="006B3AF8">
              <w:rPr>
                <w:lang w:eastAsia="en-AU"/>
              </w:rPr>
              <w:t>IOPC</w:t>
            </w:r>
          </w:p>
        </w:tc>
        <w:tc>
          <w:tcPr>
            <w:tcW w:w="1861" w:type="pct"/>
            <w:shd w:val="clear" w:color="auto" w:fill="081E3E"/>
            <w:noWrap/>
            <w:vAlign w:val="center"/>
            <w:hideMark/>
          </w:tcPr>
          <w:p w:rsidR="00150382" w:rsidRPr="006B3AF8" w:rsidRDefault="00150382" w:rsidP="00690C60">
            <w:pPr>
              <w:pStyle w:val="Tablerowcolumnheading"/>
              <w:rPr>
                <w:lang w:eastAsia="en-AU"/>
              </w:rPr>
            </w:pPr>
            <w:r w:rsidRPr="006B3AF8">
              <w:rPr>
                <w:lang w:eastAsia="en-AU"/>
              </w:rPr>
              <w:t>IOPC Description</w:t>
            </w:r>
          </w:p>
        </w:tc>
        <w:tc>
          <w:tcPr>
            <w:tcW w:w="935" w:type="pct"/>
            <w:shd w:val="clear" w:color="auto" w:fill="081E3E"/>
            <w:noWrap/>
            <w:vAlign w:val="center"/>
            <w:hideMark/>
          </w:tcPr>
          <w:p w:rsidR="00150382" w:rsidRPr="006B3AF8" w:rsidRDefault="00150382" w:rsidP="00690C60">
            <w:pPr>
              <w:pStyle w:val="Tablerowcolumnheading"/>
              <w:jc w:val="center"/>
              <w:rPr>
                <w:lang w:eastAsia="en-AU"/>
              </w:rPr>
            </w:pPr>
            <w:r w:rsidRPr="006B3AF8">
              <w:rPr>
                <w:lang w:eastAsia="en-AU"/>
              </w:rPr>
              <w:t>Layer</w:t>
            </w:r>
          </w:p>
        </w:tc>
        <w:tc>
          <w:tcPr>
            <w:tcW w:w="957" w:type="pct"/>
            <w:shd w:val="clear" w:color="auto" w:fill="081E3E"/>
            <w:noWrap/>
            <w:vAlign w:val="center"/>
            <w:hideMark/>
          </w:tcPr>
          <w:p w:rsidR="00150382" w:rsidRPr="006B3AF8" w:rsidRDefault="00150382" w:rsidP="00690C60">
            <w:pPr>
              <w:pStyle w:val="Tablerowcolumnheading"/>
              <w:jc w:val="center"/>
              <w:rPr>
                <w:lang w:eastAsia="en-AU"/>
              </w:rPr>
            </w:pPr>
            <w:r w:rsidRPr="006B3AF8">
              <w:rPr>
                <w:lang w:eastAsia="en-AU"/>
              </w:rPr>
              <w:t>Domain</w:t>
            </w:r>
          </w:p>
        </w:tc>
        <w:tc>
          <w:tcPr>
            <w:tcW w:w="660" w:type="pct"/>
            <w:shd w:val="clear" w:color="auto" w:fill="081E3E"/>
          </w:tcPr>
          <w:p w:rsidR="00150382" w:rsidRPr="006B3AF8" w:rsidRDefault="00150382" w:rsidP="00690C60">
            <w:pPr>
              <w:pStyle w:val="Tablerowcolumnheading"/>
              <w:jc w:val="center"/>
              <w:rPr>
                <w:lang w:eastAsia="en-AU"/>
              </w:rPr>
            </w:pPr>
            <w:r>
              <w:rPr>
                <w:lang w:eastAsia="en-AU"/>
              </w:rPr>
              <w:t>Segment</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13200051</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Handbags, suitcases (incl canvas), bags (of leather or leather substitute) (incl toiletry bags, purses, wallets) (excl bags for packaging)</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13510011</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Men's and boys' clothing (excl shirts, blouses, T-shirts)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Women's and girls' clothing (excl shirts, blouses, T-shirts)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13510040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Shirts and blouses (with collars)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13510050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T-shirts and tank tops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13510061</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Swimwear and wetsuits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13510071</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Underwear and foundation garments (incl brassieres, corsets, girdles)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13510090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Outer nightwear (incl dressing gowns and robes) and sleepwear</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13510101</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Plastic clothing and clothing accessories nec (incl waterproof, headwear) (excl footwear, handbags, rubber clothing accessories)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13510130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Fur and sheepskin clothing and clothing accessories (excl headwear, footwear, handbags, toys)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13510140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Hats and other headgear (excl safety, rubber or plastic)</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13510151</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Safety headgear and eyewear (industrial or sporting) (incl goggles)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13510170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Clothing and clothing accessories nec (incl textile or leather belts, gloves) (excl headwear, footwear, handbags, rubber clothing accessories)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Footwear with plastic or rubber uppers (incl waterproof footwear, thongs) (excl sports footwear)</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13520030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Sports footwear</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lastRenderedPageBreak/>
              <w:t>13520041</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Footwear with leather uppers (incl leather footwear with outer soles of rubber or plastic) (excl sports footwear)</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13520050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Footwear nec (incl steel capped footwear)</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13520060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Footwear parts nec (incl plastic heels)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Fashion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15100020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Newsprint</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15290020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Paper festival, carnival or other entertainment articles (incl conjuring tricks, novelties, Christmas decorations)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Visual crafts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16110010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Books (incl atlases &amp; touring guides), maps, charts, plans, sheet music printed but not published by this business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16110020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Newspapers, journals and periodicals printed but not published by this business once a week or more</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16110030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Newspapers, journals and periodicals printed but not published by this business less than weekly</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16110060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Letter and correspondence cards (printed but not published), postcards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4B2B7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16110070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Trade advertising material or commercial catalogues printed but not published by this business; other printed matter nec</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Advertising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16120010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Typesetting and prepared printing plates/cylinders, or other media for use in printing</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16120020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Printing trade services nec (excluding desktop publishing)</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16200011</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Pre-recorded Audio media, manufactured but not published by this business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support activities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16200020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Reproduced computer software, manufactured but not published by this business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support activities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lastRenderedPageBreak/>
              <w:t>16200040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Other pre-recorded media (including records), manufactured but not published by this business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support activities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20290040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Tableware, ornamental pottery and domestic ware nec</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Visual crafts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24110020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Photographic goods nec (excl sensitised photographic film, paper, plates &amp; chemicals)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core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Photography</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24190080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Radio and radar equipment, navigational aids, and radio remote control equipment</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24210061</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Printing and photocopying machinery and parts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24220022</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Radio and television studio equipment (incl cameras, transmitters and transceivers)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24220060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Parts for radio and television studio equipment, transmitters and radio transceivers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24220070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Television antennae parts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24290010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Television receiving sets (excl parts)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24290020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Radio receiving sets (incl car radios and clock radios) (excl parts)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24290030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Sound and video recording and reproducing equipment (incl CD players, record players) (excl parts)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Sound recording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24290060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Video games, poker machines and other coin or disc operated games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Video and computer games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24290070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Prepared unrecorded media for sound or video recording (incl blank CDs, magnetic tapes)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Sound recording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24290080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Other audio and video equipment and accessories (excl parts)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Video and computer games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24290090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Parts for television and radio receiving sets, sound and video recording and reproducing equipment, other audio and video equipment</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24690100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Printing machinery and parts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24690120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Machinery and parts for paper or book-binding</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25910020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Jewellery and silverware</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Visual crafts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lastRenderedPageBreak/>
              <w:t>25910030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Imitation jewellery (excl incorporating precious metal except as plating or as minor constituents)(excl watch straps)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Visual crafts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rPr>
              <w:t>25990030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rPr>
              <w:t>Advertising signs, name-plates and sign-plates (excl electric and metal)</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Advertising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25990070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Musical instruments (incl parts and accessories)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support activities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54110010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Newspaper publishing (incl printed and published by the same business) published once a week or more</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54110020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Newspaper publishing (incl printed and published by the same business) published less than weekly</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54110030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Newspapers - advertising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Advertising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54110040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Copyright leasing - newspapers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Magazine and other periodical publishing (incl printed and published by the same business)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54120030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Magazines and other periodicals - advertising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Advertising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54120040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Copyright leasing - magazines and other periodicals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54130010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Book publishing (incl textbooks, encyclopedias, travel guides and atlases) (incl printed and published by the same business)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54130030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Books - advertising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Advertising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54130040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Copyright leasing - books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rPr>
              <w:t>54140030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rPr>
              <w:t>Directory, mailing list, collection or compilation - advertising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Advertising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54190010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Other publishing nec (incl maps, greeting cards, postcards and calendars) (incl printed and published by the same business)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54190030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Other publishing - advertising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Advertising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54190040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Copyright leasing - other</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54200010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Software publishing services (non-customised)</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lastRenderedPageBreak/>
              <w:t>54200020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Copyright leasing - software (non-customised)</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55110010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Motion picture and video production</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Video and computer games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55120010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Motion picture and video distribution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Video and computer games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55120020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Copyright leasing - motion pictures and videos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Video and computer games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55130010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Motion picture theatre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Core creative arts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Film</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55140010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Post-production services and other motion picture and video activities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Video and computer games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55210010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Music publishing nec (incl sheet music)</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Core creative arts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Music</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55210030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Music copyrights (Acquiring, registering and selling)</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Core creative arts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Music</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55220010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Music and other sound recording studios operation (incl pre-recorded radio programming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Core creative arts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Music</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56100010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Radio broadcasting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56210010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Free-to-air television broadcasting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56220010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Cable (Pay TV) and other subscription broadcasting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57000010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Internet publishing and broadcasting services (incl radio, television, books, newspapers and magazines)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Publishing and print media</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57000020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Internet publishing - advertising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Advertising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60100010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Library and archive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core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Libraries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60200010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Other information services (incl radio and television new collection and telephone based recorded information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Television and radio</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66320010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 xml:space="preserve">Video and </w:t>
            </w:r>
            <w:proofErr w:type="gramStart"/>
            <w:r w:rsidRPr="000C60DF">
              <w:rPr>
                <w:rFonts w:asciiTheme="minorHAnsi" w:hAnsiTheme="minorHAnsi" w:cstheme="minorHAnsi"/>
                <w:szCs w:val="22"/>
                <w:lang w:eastAsia="en-AU"/>
              </w:rPr>
              <w:t>other</w:t>
            </w:r>
            <w:proofErr w:type="gramEnd"/>
            <w:r w:rsidRPr="000C60DF">
              <w:rPr>
                <w:rFonts w:asciiTheme="minorHAnsi" w:hAnsiTheme="minorHAnsi" w:cstheme="minorHAnsi"/>
                <w:szCs w:val="22"/>
                <w:lang w:eastAsia="en-AU"/>
              </w:rPr>
              <w:t xml:space="preserve"> electronic media rental or hire</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Video and computer games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66390010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Other goods and equipment rental hire nec (incl art works, household goods and office machinery)</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support activities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69000020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Architectural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Architecture</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lastRenderedPageBreak/>
              <w:t>69000050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Engineering design and consulting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Architecture</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69000060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Commercial art and display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Design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69000070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Specialised design services nec (incl fashion, interior and jewellery design)</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Design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69000110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Advertising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Advertising</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69000150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Management services (incl business, artists, entertainers and sporting professionals)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support activities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69000180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Photography services nec (incl Video filming of Weddings etc)</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core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Photography</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69000200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Interpreting and translating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support activities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70000010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Computer systems, hardware and software design and development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Design</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72990020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Theatre, concert and sport ticketing and booking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Events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72990030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Event management or promotion (incl sport, art or similar); fund raising services (fee based) or administration services nec</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Events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82120010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Arts education services (excl vocational)</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Related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support activities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89100010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Museum and art gallery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core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Museums and galleries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89210010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Zoological and botanical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Heritage services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89220010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Nature reserve and conservation park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Wider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Heritage services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Cultural</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90010010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Performing arts operation nec (incl theatre restaurants and circuses)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Core creative arts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Performing arts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90020010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Services of independent creative artists, writers and performers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Core creative arts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Literature and/ or creative arts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90020020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Theatre lighting, costume design and set design services</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Core creative arts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Literature and/ or creative arts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90030010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Performing arts venue operation</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Core creative arts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Performing arts</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Both</w:t>
            </w:r>
          </w:p>
        </w:tc>
      </w:tr>
      <w:tr w:rsidR="00150382" w:rsidRPr="008B1541" w:rsidTr="000C60DF">
        <w:trPr>
          <w:cantSplit/>
          <w:trHeight w:val="300"/>
          <w:jc w:val="center"/>
        </w:trPr>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 w:val="20"/>
                <w:lang w:eastAsia="en-AU"/>
              </w:rPr>
            </w:pPr>
            <w:r w:rsidRPr="000C60DF">
              <w:rPr>
                <w:rFonts w:asciiTheme="minorHAnsi" w:hAnsiTheme="minorHAnsi" w:cstheme="minorHAnsi"/>
                <w:sz w:val="20"/>
                <w:lang w:eastAsia="en-AU"/>
              </w:rPr>
              <w:t>95320010</w:t>
            </w:r>
          </w:p>
        </w:tc>
        <w:tc>
          <w:tcPr>
            <w:tcW w:w="1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
              <w:rPr>
                <w:rFonts w:asciiTheme="minorHAnsi" w:hAnsiTheme="minorHAnsi" w:cstheme="minorHAnsi"/>
                <w:szCs w:val="22"/>
                <w:lang w:eastAsia="en-AU"/>
              </w:rPr>
            </w:pPr>
            <w:r w:rsidRPr="000C60DF">
              <w:rPr>
                <w:rFonts w:asciiTheme="minorHAnsi" w:hAnsiTheme="minorHAnsi" w:cstheme="minorHAnsi"/>
                <w:szCs w:val="22"/>
                <w:lang w:eastAsia="en-AU"/>
              </w:rPr>
              <w:t>Photographic film processing</w:t>
            </w:r>
          </w:p>
        </w:tc>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Other core cultural activities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Photography</w:t>
            </w:r>
          </w:p>
        </w:tc>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0382" w:rsidRPr="000C60DF" w:rsidRDefault="00150382" w:rsidP="000C60DF">
            <w:pPr>
              <w:pStyle w:val="Tabletextcentred"/>
              <w:rPr>
                <w:rFonts w:asciiTheme="minorHAnsi" w:hAnsiTheme="minorHAnsi" w:cstheme="minorHAnsi"/>
                <w:szCs w:val="22"/>
                <w:lang w:eastAsia="en-AU"/>
              </w:rPr>
            </w:pPr>
            <w:r w:rsidRPr="000C60DF">
              <w:rPr>
                <w:rFonts w:asciiTheme="minorHAnsi" w:hAnsiTheme="minorHAnsi" w:cstheme="minorHAnsi"/>
                <w:szCs w:val="22"/>
                <w:lang w:eastAsia="en-AU"/>
              </w:rPr>
              <w:t>Creative</w:t>
            </w:r>
          </w:p>
        </w:tc>
      </w:tr>
    </w:tbl>
    <w:p w:rsidR="00150382" w:rsidRDefault="00150382">
      <w:pPr>
        <w:spacing w:line="259" w:lineRule="auto"/>
      </w:pPr>
      <w:r>
        <w:br w:type="page"/>
      </w:r>
    </w:p>
    <w:p w:rsidR="00150382" w:rsidRDefault="000C60DF" w:rsidP="000C60DF">
      <w:pPr>
        <w:pStyle w:val="Heading2"/>
      </w:pPr>
      <w:bookmarkStart w:id="120" w:name="_Toc126581846"/>
      <w:bookmarkStart w:id="121" w:name="_Toc128051579"/>
      <w:r>
        <w:lastRenderedPageBreak/>
        <w:t>Appendix D—</w:t>
      </w:r>
      <w:r w:rsidR="00150382">
        <w:t>Proposed industry classification list of cultural and creative activity</w:t>
      </w:r>
      <w:bookmarkEnd w:id="120"/>
      <w:bookmarkEnd w:id="121"/>
    </w:p>
    <w:p w:rsidR="00113F51" w:rsidRPr="00113F51" w:rsidRDefault="00113F51" w:rsidP="00B1364F">
      <w:pPr>
        <w:pStyle w:val="Tablefigureheading"/>
      </w:pPr>
      <w:bookmarkStart w:id="122" w:name="_Toc127959280"/>
      <w:r w:rsidRPr="00113F51">
        <w:t xml:space="preserve">Table </w:t>
      </w:r>
      <w:r w:rsidR="00C102F1">
        <w:fldChar w:fldCharType="begin"/>
      </w:r>
      <w:r w:rsidR="00C102F1">
        <w:instrText xml:space="preserve"> SEQ Table \* ARABIC </w:instrText>
      </w:r>
      <w:r w:rsidR="00C102F1">
        <w:fldChar w:fldCharType="separate"/>
      </w:r>
      <w:r>
        <w:rPr>
          <w:noProof/>
        </w:rPr>
        <w:t>7</w:t>
      </w:r>
      <w:r w:rsidR="00C102F1">
        <w:rPr>
          <w:noProof/>
        </w:rPr>
        <w:fldChar w:fldCharType="end"/>
      </w:r>
      <w:r>
        <w:t xml:space="preserve">. </w:t>
      </w:r>
      <w:r w:rsidRPr="00113F51">
        <w:t>Proposed industry classification list of cultural and creative activity</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NZSIC industry classification list of cultural and creative activity"/>
        <w:tblDescription w:val="ANZSIC industry classification list of cultural and creative activity"/>
      </w:tblPr>
      <w:tblGrid>
        <w:gridCol w:w="947"/>
        <w:gridCol w:w="1636"/>
        <w:gridCol w:w="680"/>
        <w:gridCol w:w="2043"/>
        <w:gridCol w:w="1590"/>
        <w:gridCol w:w="1471"/>
        <w:gridCol w:w="1098"/>
      </w:tblGrid>
      <w:tr w:rsidR="00150382" w:rsidRPr="00D615CF" w:rsidTr="000C60DF">
        <w:trPr>
          <w:cantSplit/>
          <w:trHeight w:val="300"/>
          <w:tblHeader/>
        </w:trPr>
        <w:tc>
          <w:tcPr>
            <w:tcW w:w="501" w:type="pct"/>
            <w:shd w:val="clear" w:color="auto" w:fill="081E3E"/>
            <w:noWrap/>
            <w:vAlign w:val="center"/>
            <w:hideMark/>
          </w:tcPr>
          <w:p w:rsidR="00150382" w:rsidRPr="004500E3" w:rsidRDefault="00150382" w:rsidP="000C60DF">
            <w:pPr>
              <w:pStyle w:val="Tablerowcolumnheading"/>
              <w:rPr>
                <w:lang w:eastAsia="en-AU"/>
              </w:rPr>
            </w:pPr>
            <w:r w:rsidRPr="004500E3">
              <w:rPr>
                <w:lang w:eastAsia="en-AU"/>
              </w:rPr>
              <w:t>ANZSIC</w:t>
            </w:r>
          </w:p>
        </w:tc>
        <w:tc>
          <w:tcPr>
            <w:tcW w:w="864" w:type="pct"/>
            <w:shd w:val="clear" w:color="auto" w:fill="081E3E"/>
            <w:noWrap/>
            <w:vAlign w:val="center"/>
            <w:hideMark/>
          </w:tcPr>
          <w:p w:rsidR="00150382" w:rsidRPr="004500E3" w:rsidRDefault="00150382" w:rsidP="000C60DF">
            <w:pPr>
              <w:pStyle w:val="Tablerowcolumnheading"/>
              <w:rPr>
                <w:lang w:eastAsia="en-AU"/>
              </w:rPr>
            </w:pPr>
            <w:r w:rsidRPr="004500E3">
              <w:rPr>
                <w:lang w:eastAsia="en-AU"/>
              </w:rPr>
              <w:t>ANZSIC Description</w:t>
            </w:r>
          </w:p>
        </w:tc>
        <w:tc>
          <w:tcPr>
            <w:tcW w:w="359" w:type="pct"/>
            <w:shd w:val="clear" w:color="auto" w:fill="081E3E"/>
            <w:vAlign w:val="center"/>
          </w:tcPr>
          <w:p w:rsidR="00150382" w:rsidRPr="004500E3" w:rsidRDefault="00150382" w:rsidP="000C60DF">
            <w:pPr>
              <w:pStyle w:val="Tablerowcolumnheading"/>
              <w:rPr>
                <w:lang w:eastAsia="en-AU"/>
              </w:rPr>
            </w:pPr>
            <w:r>
              <w:rPr>
                <w:lang w:eastAsia="en-AU"/>
              </w:rPr>
              <w:t>IOIG</w:t>
            </w:r>
          </w:p>
        </w:tc>
        <w:tc>
          <w:tcPr>
            <w:tcW w:w="1079" w:type="pct"/>
            <w:shd w:val="clear" w:color="auto" w:fill="081E3E"/>
            <w:vAlign w:val="center"/>
          </w:tcPr>
          <w:p w:rsidR="00150382" w:rsidRPr="004500E3" w:rsidRDefault="00150382" w:rsidP="000C60DF">
            <w:pPr>
              <w:pStyle w:val="Tablerowcolumnheading"/>
              <w:rPr>
                <w:lang w:eastAsia="en-AU"/>
              </w:rPr>
            </w:pPr>
            <w:r>
              <w:rPr>
                <w:lang w:eastAsia="en-AU"/>
              </w:rPr>
              <w:t>IOIG Description</w:t>
            </w:r>
          </w:p>
        </w:tc>
        <w:tc>
          <w:tcPr>
            <w:tcW w:w="840" w:type="pct"/>
            <w:shd w:val="clear" w:color="auto" w:fill="081E3E"/>
            <w:noWrap/>
            <w:vAlign w:val="center"/>
            <w:hideMark/>
          </w:tcPr>
          <w:p w:rsidR="00150382" w:rsidRPr="004500E3" w:rsidRDefault="00150382" w:rsidP="000C60DF">
            <w:pPr>
              <w:pStyle w:val="Tablerowcolumnheading"/>
              <w:rPr>
                <w:lang w:eastAsia="en-AU"/>
              </w:rPr>
            </w:pPr>
            <w:r w:rsidRPr="004500E3">
              <w:rPr>
                <w:lang w:eastAsia="en-AU"/>
              </w:rPr>
              <w:t>Layer</w:t>
            </w:r>
          </w:p>
        </w:tc>
        <w:tc>
          <w:tcPr>
            <w:tcW w:w="777" w:type="pct"/>
            <w:shd w:val="clear" w:color="auto" w:fill="081E3E"/>
            <w:noWrap/>
            <w:vAlign w:val="center"/>
            <w:hideMark/>
          </w:tcPr>
          <w:p w:rsidR="00150382" w:rsidRPr="004500E3" w:rsidRDefault="00150382" w:rsidP="000C60DF">
            <w:pPr>
              <w:pStyle w:val="Tablerowcolumnheading"/>
              <w:rPr>
                <w:lang w:eastAsia="en-AU"/>
              </w:rPr>
            </w:pPr>
            <w:r w:rsidRPr="004500E3">
              <w:rPr>
                <w:lang w:eastAsia="en-AU"/>
              </w:rPr>
              <w:t>Domain</w:t>
            </w:r>
          </w:p>
        </w:tc>
        <w:tc>
          <w:tcPr>
            <w:tcW w:w="580" w:type="pct"/>
            <w:shd w:val="clear" w:color="auto" w:fill="081E3E"/>
            <w:vAlign w:val="center"/>
          </w:tcPr>
          <w:p w:rsidR="00150382" w:rsidRPr="004500E3" w:rsidRDefault="00150382" w:rsidP="000C60DF">
            <w:pPr>
              <w:pStyle w:val="Tablerowcolumnheading"/>
              <w:rPr>
                <w:lang w:eastAsia="en-AU"/>
              </w:rPr>
            </w:pPr>
            <w:r>
              <w:rPr>
                <w:lang w:eastAsia="en-AU"/>
              </w:rPr>
              <w:t>Segment</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1351</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Clothing Manufacturing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1305</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Clothing Manufacturing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Related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Fashion</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Creative</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1352</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Footwear Manufacturing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1306</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Footwear Manufacturing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Related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Fashion</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Creative</w:t>
            </w:r>
          </w:p>
        </w:tc>
      </w:tr>
      <w:tr w:rsidR="00150382" w:rsidRPr="004500E3" w:rsidTr="000C60DF">
        <w:trPr>
          <w:cantSplit/>
          <w:trHeight w:val="300"/>
        </w:trPr>
        <w:tc>
          <w:tcPr>
            <w:tcW w:w="501" w:type="pct"/>
            <w:shd w:val="clear" w:color="auto" w:fill="FFFFFF" w:themeFill="background1"/>
            <w:noWrap/>
            <w:vAlign w:val="center"/>
          </w:tcPr>
          <w:p w:rsidR="00150382" w:rsidRPr="004500E3" w:rsidRDefault="00150382" w:rsidP="000C60DF">
            <w:pPr>
              <w:pStyle w:val="Tabletext"/>
              <w:rPr>
                <w:lang w:eastAsia="en-AU"/>
              </w:rPr>
            </w:pPr>
            <w:r w:rsidRPr="003C21A9">
              <w:rPr>
                <w:lang w:eastAsia="en-AU"/>
              </w:rPr>
              <w:t>1611</w:t>
            </w:r>
          </w:p>
        </w:tc>
        <w:tc>
          <w:tcPr>
            <w:tcW w:w="864" w:type="pct"/>
            <w:shd w:val="clear" w:color="auto" w:fill="FFFFFF" w:themeFill="background1"/>
            <w:noWrap/>
            <w:vAlign w:val="center"/>
          </w:tcPr>
          <w:p w:rsidR="00150382" w:rsidRPr="004500E3" w:rsidRDefault="00150382" w:rsidP="000C60DF">
            <w:pPr>
              <w:pStyle w:val="Tabletext"/>
              <w:rPr>
                <w:lang w:eastAsia="en-AU"/>
              </w:rPr>
            </w:pPr>
            <w:r w:rsidRPr="003C21A9">
              <w:rPr>
                <w:lang w:eastAsia="en-AU"/>
              </w:rPr>
              <w:t>Printing</w:t>
            </w:r>
          </w:p>
        </w:tc>
        <w:tc>
          <w:tcPr>
            <w:tcW w:w="359" w:type="pct"/>
            <w:shd w:val="clear" w:color="auto" w:fill="FFFFFF" w:themeFill="background1"/>
            <w:vAlign w:val="center"/>
          </w:tcPr>
          <w:p w:rsidR="00150382" w:rsidRPr="003C21A9" w:rsidRDefault="00150382" w:rsidP="000C60DF">
            <w:pPr>
              <w:pStyle w:val="Tabletextcentred"/>
              <w:rPr>
                <w:lang w:eastAsia="en-AU"/>
              </w:rPr>
            </w:pPr>
            <w:r w:rsidRPr="003C21A9">
              <w:rPr>
                <w:lang w:eastAsia="en-AU"/>
              </w:rPr>
              <w:t>1601</w:t>
            </w:r>
          </w:p>
        </w:tc>
        <w:tc>
          <w:tcPr>
            <w:tcW w:w="1079" w:type="pct"/>
            <w:shd w:val="clear" w:color="auto" w:fill="FFFFFF" w:themeFill="background1"/>
            <w:vAlign w:val="center"/>
          </w:tcPr>
          <w:p w:rsidR="00150382" w:rsidRPr="003C21A9" w:rsidRDefault="00150382" w:rsidP="000C60DF">
            <w:pPr>
              <w:pStyle w:val="Tabletext"/>
              <w:rPr>
                <w:lang w:eastAsia="en-AU"/>
              </w:rPr>
            </w:pPr>
            <w:r w:rsidRPr="003C21A9">
              <w:rPr>
                <w:lang w:eastAsia="en-AU"/>
              </w:rPr>
              <w:t>Printing (including the reproduction of recorded media)</w:t>
            </w:r>
          </w:p>
        </w:tc>
        <w:tc>
          <w:tcPr>
            <w:tcW w:w="840" w:type="pct"/>
            <w:shd w:val="clear" w:color="auto" w:fill="FFFFFF" w:themeFill="background1"/>
            <w:noWrap/>
            <w:vAlign w:val="center"/>
          </w:tcPr>
          <w:p w:rsidR="00150382" w:rsidRPr="004500E3" w:rsidRDefault="00150382" w:rsidP="000C60DF">
            <w:pPr>
              <w:pStyle w:val="Tabletext"/>
              <w:rPr>
                <w:lang w:eastAsia="en-AU"/>
              </w:rPr>
            </w:pPr>
            <w:r w:rsidRPr="003C21A9">
              <w:rPr>
                <w:lang w:eastAsia="en-AU"/>
              </w:rPr>
              <w:t>Wider cultural industries</w:t>
            </w:r>
          </w:p>
        </w:tc>
        <w:tc>
          <w:tcPr>
            <w:tcW w:w="777" w:type="pct"/>
            <w:shd w:val="clear" w:color="auto" w:fill="FFFFFF" w:themeFill="background1"/>
            <w:noWrap/>
            <w:vAlign w:val="center"/>
          </w:tcPr>
          <w:p w:rsidR="00150382" w:rsidRPr="004500E3" w:rsidRDefault="00150382" w:rsidP="000C60DF">
            <w:pPr>
              <w:pStyle w:val="Tabletext"/>
              <w:rPr>
                <w:lang w:eastAsia="en-AU"/>
              </w:rPr>
            </w:pPr>
            <w:r w:rsidRPr="003C21A9">
              <w:rPr>
                <w:lang w:eastAsia="en-AU"/>
              </w:rPr>
              <w:t>Publishing and print media</w:t>
            </w:r>
          </w:p>
        </w:tc>
        <w:tc>
          <w:tcPr>
            <w:tcW w:w="580" w:type="pct"/>
            <w:shd w:val="clear" w:color="auto" w:fill="FFFFFF" w:themeFill="background1"/>
            <w:vAlign w:val="center"/>
          </w:tcPr>
          <w:p w:rsidR="00150382" w:rsidRPr="003C21A9" w:rsidRDefault="00150382" w:rsidP="000C60DF">
            <w:pPr>
              <w:pStyle w:val="Tabletextcentred"/>
              <w:rPr>
                <w:lang w:eastAsia="en-AU"/>
              </w:rPr>
            </w:pPr>
            <w:r w:rsidRPr="003C21A9">
              <w:rPr>
                <w:lang w:eastAsia="en-AU"/>
              </w:rPr>
              <w:t>Cultural</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1612</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Printing Support Services</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1601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Printing (including the reproduction of recorded media)</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Publishing and print media</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Creative</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1620</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Reproduction of Recorded Media</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1601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Printing (including the reproduction of recorded media)</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Related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Other support activities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Cultural</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2591</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Jewellery and Silverware Manufacturing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2502</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Other Manufactured Products</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Related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Visual crafts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Creative</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5411</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Newspaper Publishing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5401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Publishing (except Internet and Music Publishing)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Publishing and print media</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5412</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Magazine and Other Periodical Publishing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5401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Publishing (except Internet and Music Publishing)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Publishing and print media</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5413</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Book Publishing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5401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Publishing (except Internet and Music Publishing)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Publishing and print media</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5420</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Software Publishing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5401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Publishing (except Internet and Music Publishing)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Publishing and print media</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5511</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Motion Picture and Video Production</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5501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Motion Picture and Sound Recording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Video and computer games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5512</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Motion Picture and Video Distribution</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5501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Motion Picture and Sound Recording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Video and computer games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5513</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Motion Picture Exhibition</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5501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Motion Picture and Sound Recording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Core creative arts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Film</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lastRenderedPageBreak/>
              <w:t>5514</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Post-production Services and Other Motion Picture and Video Activities</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5501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Motion Picture and Sound Recording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Video and computer games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5521</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Music Publishing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5501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Motion Picture and Sound Recording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Core creative arts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Music</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5522</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Music and Other Sound Recording Activities</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5501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Motion Picture and Sound Recording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Core creative arts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Music</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5610</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Radio Broadcasting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5601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Broadcasting (except Internet)</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Television and radio</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5621</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Free-to-Air Television Broadcasting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5601</w:t>
            </w:r>
          </w:p>
        </w:tc>
        <w:tc>
          <w:tcPr>
            <w:tcW w:w="1079" w:type="pct"/>
            <w:shd w:val="clear" w:color="auto" w:fill="FFFFFF" w:themeFill="background1"/>
            <w:vAlign w:val="center"/>
          </w:tcPr>
          <w:p w:rsidR="00150382" w:rsidRPr="004500E3" w:rsidRDefault="00150382" w:rsidP="000C60DF">
            <w:pPr>
              <w:pStyle w:val="Tabletext"/>
              <w:rPr>
                <w:lang w:eastAsia="en-AU"/>
              </w:rPr>
            </w:pPr>
            <w:r w:rsidRPr="003C21A9">
              <w:rPr>
                <w:lang w:eastAsia="en-AU"/>
              </w:rPr>
              <w:t>Broadcasting (except Internet)</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3C21A9">
              <w:rPr>
                <w:lang w:eastAsia="en-AU"/>
              </w:rPr>
              <w:t>Television and radio</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C21A9">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5622</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Cable and Other Subscription Broadcasting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5601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Broadcasting (except Internet)</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Television and radio</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5700</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Internet Publishing and Broadcasting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5701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 xml:space="preserve">Internet Service Providers, Internet Publishing and Broadcasting, </w:t>
            </w:r>
            <w:proofErr w:type="spellStart"/>
            <w:r w:rsidRPr="00314CFB">
              <w:rPr>
                <w:lang w:eastAsia="en-AU"/>
              </w:rPr>
              <w:t>Websearch</w:t>
            </w:r>
            <w:proofErr w:type="spellEnd"/>
            <w:r w:rsidRPr="00314CFB">
              <w:rPr>
                <w:lang w:eastAsia="en-AU"/>
              </w:rPr>
              <w:t xml:space="preserve"> Portals and Data Processing</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Publishing and print media</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6010</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Libraries and Archives</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6001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Library and Other Information Services</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Other core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Libraries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6632</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 xml:space="preserve">Video and </w:t>
            </w:r>
            <w:proofErr w:type="gramStart"/>
            <w:r w:rsidRPr="004500E3">
              <w:rPr>
                <w:lang w:eastAsia="en-AU"/>
              </w:rPr>
              <w:t>Other</w:t>
            </w:r>
            <w:proofErr w:type="gramEnd"/>
            <w:r w:rsidRPr="004500E3">
              <w:rPr>
                <w:lang w:eastAsia="en-AU"/>
              </w:rPr>
              <w:t xml:space="preserve"> Electronic Media Rental and Hiring</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6601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Rental and Hiring Services (except Real Estate)</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Video and computer games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Cultural</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6921</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Architectural Services</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6901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 xml:space="preserve">Professional, Scientific and Technical Services </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Related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A</w:t>
            </w:r>
            <w:r>
              <w:rPr>
                <w:lang w:eastAsia="en-AU"/>
              </w:rPr>
              <w:t>r</w:t>
            </w:r>
            <w:r w:rsidRPr="004500E3">
              <w:rPr>
                <w:lang w:eastAsia="en-AU"/>
              </w:rPr>
              <w:t>chitecture</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6924</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Other Specialised Design Services</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6901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 xml:space="preserve">Professional, Scientific and Technical Services </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Related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Design</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6940</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Advertising Services</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6901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 xml:space="preserve">Professional, Scientific and Technical Services </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Related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Advertising</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lastRenderedPageBreak/>
              <w:t>6991</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Professional Photographic Services</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6901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 xml:space="preserve">Professional, Scientific and Technical Services </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Other core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Photography</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8212</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Arts Education</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8210</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Arts, Sports, Adult and Other Education Services (incl community education)</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Related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Other support activities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Cultural</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8910</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Museum Operation</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8901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Heritage, Creative and Performing Arts</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Other core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Museums and galleries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8921</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Zoological and Botanical Gardens Operation</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8901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Heritage, Creative and Performing Arts</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Heritage services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Cultural</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8922</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Nature Reserves and Conservation Parks Operation</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8901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Heritage, Creative and Performing Arts</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Wider cultural industries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Heritage services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Cultural</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9001</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Performing Arts Operation</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8901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Heritage, Creative and Performing Arts</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Core creative arts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Creative and performing arts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9002</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Creative Artists, Musicians, Writers and Performers</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8901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Heritage, Creative and Performing Arts</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Core creative arts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Creative and performing arts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r w:rsidR="00150382" w:rsidRPr="004500E3" w:rsidTr="000C60DF">
        <w:trPr>
          <w:cantSplit/>
          <w:trHeight w:val="300"/>
        </w:trPr>
        <w:tc>
          <w:tcPr>
            <w:tcW w:w="501"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9003</w:t>
            </w:r>
          </w:p>
        </w:tc>
        <w:tc>
          <w:tcPr>
            <w:tcW w:w="864"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Performing Arts Venue Operation</w:t>
            </w:r>
          </w:p>
        </w:tc>
        <w:tc>
          <w:tcPr>
            <w:tcW w:w="359"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8901</w:t>
            </w:r>
          </w:p>
        </w:tc>
        <w:tc>
          <w:tcPr>
            <w:tcW w:w="1079" w:type="pct"/>
            <w:shd w:val="clear" w:color="auto" w:fill="FFFFFF" w:themeFill="background1"/>
            <w:vAlign w:val="center"/>
          </w:tcPr>
          <w:p w:rsidR="00150382" w:rsidRPr="004500E3" w:rsidRDefault="00150382" w:rsidP="000C60DF">
            <w:pPr>
              <w:pStyle w:val="Tabletext"/>
              <w:rPr>
                <w:lang w:eastAsia="en-AU"/>
              </w:rPr>
            </w:pPr>
            <w:r w:rsidRPr="00314CFB">
              <w:rPr>
                <w:lang w:eastAsia="en-AU"/>
              </w:rPr>
              <w:t>Heritage, Creative and Performing Arts</w:t>
            </w:r>
          </w:p>
        </w:tc>
        <w:tc>
          <w:tcPr>
            <w:tcW w:w="840"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Core creative arts</w:t>
            </w:r>
          </w:p>
        </w:tc>
        <w:tc>
          <w:tcPr>
            <w:tcW w:w="777" w:type="pct"/>
            <w:shd w:val="clear" w:color="auto" w:fill="FFFFFF" w:themeFill="background1"/>
            <w:noWrap/>
            <w:vAlign w:val="center"/>
            <w:hideMark/>
          </w:tcPr>
          <w:p w:rsidR="00150382" w:rsidRPr="004500E3" w:rsidRDefault="00150382" w:rsidP="000C60DF">
            <w:pPr>
              <w:pStyle w:val="Tabletext"/>
              <w:rPr>
                <w:lang w:eastAsia="en-AU"/>
              </w:rPr>
            </w:pPr>
            <w:r w:rsidRPr="004500E3">
              <w:rPr>
                <w:lang w:eastAsia="en-AU"/>
              </w:rPr>
              <w:t>Creative and performing arts</w:t>
            </w:r>
          </w:p>
        </w:tc>
        <w:tc>
          <w:tcPr>
            <w:tcW w:w="580" w:type="pct"/>
            <w:shd w:val="clear" w:color="auto" w:fill="FFFFFF" w:themeFill="background1"/>
            <w:vAlign w:val="center"/>
          </w:tcPr>
          <w:p w:rsidR="00150382" w:rsidRPr="004500E3" w:rsidRDefault="00150382" w:rsidP="000C60DF">
            <w:pPr>
              <w:pStyle w:val="Tabletextcentred"/>
              <w:rPr>
                <w:lang w:eastAsia="en-AU"/>
              </w:rPr>
            </w:pPr>
            <w:r w:rsidRPr="00314CFB">
              <w:rPr>
                <w:lang w:eastAsia="en-AU"/>
              </w:rPr>
              <w:t>Both</w:t>
            </w:r>
          </w:p>
        </w:tc>
      </w:tr>
    </w:tbl>
    <w:p w:rsidR="00150382" w:rsidRDefault="00150382">
      <w:pPr>
        <w:spacing w:line="259" w:lineRule="auto"/>
      </w:pPr>
      <w:r>
        <w:br w:type="page"/>
      </w:r>
    </w:p>
    <w:p w:rsidR="00150382" w:rsidRDefault="000C60DF" w:rsidP="000C60DF">
      <w:pPr>
        <w:pStyle w:val="Heading2"/>
      </w:pPr>
      <w:bookmarkStart w:id="123" w:name="_Toc126581847"/>
      <w:bookmarkStart w:id="124" w:name="_Appendix_E—Proposed_occupation"/>
      <w:bookmarkStart w:id="125" w:name="_Toc128051580"/>
      <w:bookmarkEnd w:id="124"/>
      <w:r>
        <w:lastRenderedPageBreak/>
        <w:t>Appendix E—</w:t>
      </w:r>
      <w:r w:rsidR="00150382">
        <w:t>Proposed occupation identified as cultural and creative</w:t>
      </w:r>
      <w:bookmarkEnd w:id="123"/>
      <w:bookmarkEnd w:id="125"/>
    </w:p>
    <w:p w:rsidR="00113F51" w:rsidRPr="00113F51" w:rsidRDefault="00113F51" w:rsidP="00B1364F">
      <w:pPr>
        <w:pStyle w:val="Tablefigureheading"/>
      </w:pPr>
      <w:bookmarkStart w:id="126" w:name="_Toc127959281"/>
      <w:r w:rsidRPr="00113F51">
        <w:t xml:space="preserve">Table </w:t>
      </w:r>
      <w:r w:rsidR="00C102F1">
        <w:fldChar w:fldCharType="begin"/>
      </w:r>
      <w:r w:rsidR="00C102F1">
        <w:instrText xml:space="preserve"> SEQ Table \* ARABIC </w:instrText>
      </w:r>
      <w:r w:rsidR="00C102F1">
        <w:fldChar w:fldCharType="separate"/>
      </w:r>
      <w:r w:rsidRPr="00113F51">
        <w:rPr>
          <w:noProof/>
        </w:rPr>
        <w:t>8</w:t>
      </w:r>
      <w:r w:rsidR="00C102F1">
        <w:rPr>
          <w:noProof/>
        </w:rPr>
        <w:fldChar w:fldCharType="end"/>
      </w:r>
      <w:r>
        <w:t xml:space="preserve">. </w:t>
      </w:r>
      <w:r w:rsidRPr="00113F51">
        <w:t>Proposed occupation identified as cultural and creative</w:t>
      </w:r>
      <w:bookmarkEnd w:id="126"/>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Caption w:val="Proposed occupation identified as cultural and creative"/>
        <w:tblDescription w:val="Proposed occupation identified as cultural and creative"/>
      </w:tblPr>
      <w:tblGrid>
        <w:gridCol w:w="1129"/>
        <w:gridCol w:w="6663"/>
        <w:gridCol w:w="1381"/>
      </w:tblGrid>
      <w:tr w:rsidR="00150382" w:rsidRPr="001F03B9" w:rsidTr="000C60DF">
        <w:trPr>
          <w:trHeight w:val="255"/>
          <w:tblHeader/>
        </w:trPr>
        <w:tc>
          <w:tcPr>
            <w:tcW w:w="1129" w:type="dxa"/>
            <w:shd w:val="clear" w:color="auto" w:fill="081E3E"/>
            <w:noWrap/>
            <w:vAlign w:val="center"/>
            <w:hideMark/>
          </w:tcPr>
          <w:p w:rsidR="00150382" w:rsidRPr="001F03B9" w:rsidRDefault="00150382" w:rsidP="000C60DF">
            <w:pPr>
              <w:pStyle w:val="Tablerowcolumnheading"/>
              <w:rPr>
                <w:lang w:eastAsia="en-AU"/>
              </w:rPr>
            </w:pPr>
            <w:r w:rsidRPr="001F03B9">
              <w:rPr>
                <w:lang w:eastAsia="en-AU"/>
              </w:rPr>
              <w:t>ANZSCO</w:t>
            </w:r>
          </w:p>
        </w:tc>
        <w:tc>
          <w:tcPr>
            <w:tcW w:w="6663" w:type="dxa"/>
            <w:shd w:val="clear" w:color="auto" w:fill="081E3E"/>
            <w:noWrap/>
            <w:vAlign w:val="center"/>
            <w:hideMark/>
          </w:tcPr>
          <w:p w:rsidR="00150382" w:rsidRPr="001F03B9" w:rsidRDefault="00150382" w:rsidP="000C60DF">
            <w:pPr>
              <w:pStyle w:val="Tablerowcolumnheading"/>
              <w:rPr>
                <w:lang w:eastAsia="en-AU"/>
              </w:rPr>
            </w:pPr>
            <w:r w:rsidRPr="001F03B9">
              <w:rPr>
                <w:lang w:eastAsia="en-AU"/>
              </w:rPr>
              <w:t>ANZSCO Desc</w:t>
            </w:r>
            <w:r>
              <w:rPr>
                <w:lang w:eastAsia="en-AU"/>
              </w:rPr>
              <w:t>ription</w:t>
            </w:r>
          </w:p>
        </w:tc>
        <w:tc>
          <w:tcPr>
            <w:tcW w:w="1381" w:type="dxa"/>
            <w:shd w:val="clear" w:color="auto" w:fill="081E3E"/>
            <w:noWrap/>
            <w:vAlign w:val="center"/>
            <w:hideMark/>
          </w:tcPr>
          <w:p w:rsidR="00150382" w:rsidRPr="001F03B9" w:rsidRDefault="00150382" w:rsidP="000C60DF">
            <w:pPr>
              <w:pStyle w:val="Tablerowcolumnheading"/>
              <w:rPr>
                <w:lang w:eastAsia="en-AU"/>
              </w:rPr>
            </w:pPr>
            <w:r w:rsidRPr="001F03B9">
              <w:rPr>
                <w:lang w:eastAsia="en-AU"/>
              </w:rPr>
              <w:t>Segment</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131100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Advertising, Public Relations and Sales Managers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131113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Advertising Manager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131114</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Public Relations Manager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139911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Arts Administrator or Manager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139912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Environmental Manager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142112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Antique Dealer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149912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Cinema or Theatre Manager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210000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Arts and Media Professionals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211000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Arts Professionals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211100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Actors, Dancers and Other Entertainers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211111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Actor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211112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Dancer or Choreographer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211113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Entertainer or Variety Artist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211199</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Actors, Dancers and Other Entertainers nec</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211200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Music Professionals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211211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Composer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211212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Music Director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211213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Musician (Instrumental)</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211214</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Singer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211299</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Music Professionals nec</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211311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Photographer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211400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Visual Arts and Crafts Professionals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211411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Painter (Visual Arts)</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211412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Potter or Ceramic Artist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211413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Sculptor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211499</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Visual Arts and Crafts Professionals nec</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212000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Media Professionals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212100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Artistic Directors, and Media Producers and Presenters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212111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Artistic Director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212112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Media Producer (excluding Video)</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212113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Radio Presenter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212114</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Television Presenter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212200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Authors, and Book and Script Editors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212211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Author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212212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Book or Script Editor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212300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Film, Television, Radio and Stage Directors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212311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Art Director (Film, Television or Stage)</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212312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Director (Film, Television, Radio or Stage)</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212313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Director of Photography</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212314</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Film and Video Editor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212315</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Program Director (Television or Radio)</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212316</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Stage Manager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212317</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Technical Director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212318</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Video Producer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212399</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Film, Television, Radio and Stage Directors nec</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lastRenderedPageBreak/>
              <w:t>212400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Journalists and Other Writers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212411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Copywriter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212412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Newspaper or Periodical Editor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212413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Print Journalist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212414</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Radio Journalist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212415</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Technical Writer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212416</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Television Journalist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212499</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Journalists and Other Writers nec</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224200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Archivists, Curators and Records Managers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224211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Archivist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224212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Gallery or Museum Curator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224611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Librarian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225100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Advertising and Marketing Professionals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225111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Advertising Specialist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225113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Marketing Specialist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232000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Architects, Designers, Planners and Surveyors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Creative</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232100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Architects and Landscape Architects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232111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Architect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232112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Landscape Architect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232300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Fashion, Industrial and Jewellery Designers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232311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Fashion Designer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232312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Industrial Designer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232313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Jewellery Designer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232400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Graphic and Web Designers, and Illustrators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232411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Graphic Designer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232412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Illustrator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232413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Multimedia Designer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232414</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Web Designer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232511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Interior Designer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232611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Urban and Regional Planner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233916</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Naval Architect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Creative</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234314</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Park Ranger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234911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Conservator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249211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Art Teacher (Private Tuition)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249212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Dance Teacher (Private Tuition)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249213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Drama Teacher (Private Tuition)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249214</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Music Teacher (Private Tuition)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261100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ICT Business and Systems Analysts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Creative</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261111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ICT Business Analyst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Creative</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261112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Systems Analyst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Creative</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261200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Multimedia Specialists and Web Developers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261211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Multimedia Specialist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261212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Web Developer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261300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Software and Applications Programmers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Creative</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261311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Analyst Programmer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Creative</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261312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Developer Programmer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Creative</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261399</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Software and Applications Programmers nec</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Creative</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272411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Historian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272611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Community Arts Worker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lastRenderedPageBreak/>
              <w:t>312111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Architectural Draftsperson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361114</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Zookeeper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392000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Printing Trades Workers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392100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Print Finishers and Screen Printers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392111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Print Finisher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392112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Screen Printer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392211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Graphic Pre-press Trades Worker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392300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Printers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392311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Printing Machinist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392312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Small Offset Printer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394212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Picture Framer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399300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Gallery, Library and Museum Technicians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399311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Gallery or Museum Technician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399312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Library Technician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399411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Jeweller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399500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Performing Arts Technicians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399511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Broadcast Transmitter Operator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399512</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Camera Operator (Film, Television or Video)</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399513</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Light Technician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399514</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Make Up Artist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Both</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399515</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Musical Instrument Maker or Repairer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399516</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Sound Technician</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399517</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Television Equipment Operator</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399599</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Performing Arts Technicians nec</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399611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proofErr w:type="spellStart"/>
            <w:r w:rsidRPr="001F03B9">
              <w:rPr>
                <w:lang w:eastAsia="en-AU"/>
              </w:rPr>
              <w:t>Signwriter</w:t>
            </w:r>
            <w:proofErr w:type="spellEnd"/>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399915</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Photographer's Assistant</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451400</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Gallery, Museum and Tour Guides nfd</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451411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Gallery or Museum Guide</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r w:rsidR="00150382" w:rsidRPr="001F03B9" w:rsidTr="00150382">
        <w:trPr>
          <w:trHeight w:val="255"/>
        </w:trPr>
        <w:tc>
          <w:tcPr>
            <w:tcW w:w="1129"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561911</w:t>
            </w:r>
          </w:p>
        </w:tc>
        <w:tc>
          <w:tcPr>
            <w:tcW w:w="6663"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Classified Advertising Clerk</w:t>
            </w:r>
          </w:p>
        </w:tc>
        <w:tc>
          <w:tcPr>
            <w:tcW w:w="1381" w:type="dxa"/>
            <w:shd w:val="clear" w:color="auto" w:fill="FFFFFF" w:themeFill="background1"/>
            <w:noWrap/>
            <w:vAlign w:val="center"/>
            <w:hideMark/>
          </w:tcPr>
          <w:p w:rsidR="00150382" w:rsidRPr="001F03B9" w:rsidRDefault="00150382" w:rsidP="000C60DF">
            <w:pPr>
              <w:pStyle w:val="Tabletext"/>
              <w:spacing w:before="0" w:after="0"/>
              <w:rPr>
                <w:lang w:eastAsia="en-AU"/>
              </w:rPr>
            </w:pPr>
            <w:r w:rsidRPr="001F03B9">
              <w:rPr>
                <w:lang w:eastAsia="en-AU"/>
              </w:rPr>
              <w:t>Cultural</w:t>
            </w:r>
          </w:p>
        </w:tc>
      </w:tr>
    </w:tbl>
    <w:p w:rsidR="00150382" w:rsidRDefault="00150382">
      <w:pPr>
        <w:spacing w:line="259" w:lineRule="auto"/>
      </w:pPr>
      <w:r>
        <w:br w:type="page"/>
      </w:r>
    </w:p>
    <w:p w:rsidR="00150382" w:rsidRDefault="00DF3E96" w:rsidP="000C60DF">
      <w:pPr>
        <w:pStyle w:val="Heading2"/>
      </w:pPr>
      <w:bookmarkStart w:id="127" w:name="_Toc126581848"/>
      <w:bookmarkStart w:id="128" w:name="_Toc128051581"/>
      <w:r>
        <w:lastRenderedPageBreak/>
        <w:t>Appendix F—</w:t>
      </w:r>
      <w:r w:rsidR="00150382">
        <w:t>Glossary</w:t>
      </w:r>
      <w:bookmarkEnd w:id="127"/>
      <w:bookmarkEnd w:id="128"/>
    </w:p>
    <w:p w:rsidR="00150382" w:rsidRDefault="00150382" w:rsidP="00150382">
      <w:r w:rsidRPr="006C5438">
        <w:rPr>
          <w:b/>
        </w:rPr>
        <w:t>ANZSIC:</w:t>
      </w:r>
      <w:r>
        <w:t xml:space="preserve"> Australian and New Zealand Standard Industrial Classification developed for the compilation and analysis of industry statistics in Australia and New Zealand.</w:t>
      </w:r>
    </w:p>
    <w:p w:rsidR="00690C60" w:rsidRDefault="00150382" w:rsidP="00150382">
      <w:r w:rsidRPr="006C5438">
        <w:rPr>
          <w:b/>
        </w:rPr>
        <w:t>Gross domestic product (GDP):</w:t>
      </w:r>
      <w:r>
        <w:t xml:space="preserve"> is the total market value of goods and services produced in Australia within a given period after deducting the cost of goods and services used up in the process of production but before deducting allowances for the consumption of fixed capital. Gross domestic product is ‘at market prices’. It is equivalent to gross national expenditure plus exports of goods and services less imports of goods and services</w:t>
      </w:r>
      <w:r w:rsidR="00690C60">
        <w:t>.</w:t>
      </w:r>
    </w:p>
    <w:p w:rsidR="00150382" w:rsidRDefault="00150382" w:rsidP="00150382">
      <w:r w:rsidRPr="006C5438">
        <w:rPr>
          <w:b/>
        </w:rPr>
        <w:t>Gross value added (GVA):</w:t>
      </w:r>
      <w:r>
        <w:t xml:space="preserve"> the value of output at basic prices minus the value of intermediate consumption at purchasers’ prices. The term is used to describe gross product by industry and by sector. Basic prices valuation of output removes the distortion caused by variations in the incidence of commodity taxes and subsidies across the output of individual industries.</w:t>
      </w:r>
    </w:p>
    <w:p w:rsidR="00150382" w:rsidRDefault="00150382" w:rsidP="00150382">
      <w:r w:rsidRPr="006C5438">
        <w:rPr>
          <w:b/>
        </w:rPr>
        <w:t>Input-Output tables:</w:t>
      </w:r>
      <w:r>
        <w:t xml:space="preserve"> input and output tables are a means of presenting a detailed analysis of the process of production and the use of goods and services (products) and the income generated in the production process. These tables can be either in the form of (a) supply and use tables or (b) symmetric input and output tables.</w:t>
      </w:r>
    </w:p>
    <w:p w:rsidR="00150382" w:rsidRDefault="00150382" w:rsidP="00150382">
      <w:r w:rsidRPr="006C5438">
        <w:rPr>
          <w:b/>
        </w:rPr>
        <w:t>National accounts:</w:t>
      </w:r>
      <w:r>
        <w:t xml:space="preserve"> system of measuring the economic activity of a nation by representing all output, expenditure, and income activities of the economy.</w:t>
      </w:r>
    </w:p>
    <w:p w:rsidR="00150382" w:rsidRDefault="00150382" w:rsidP="00150382">
      <w:r w:rsidRPr="006C5438">
        <w:rPr>
          <w:b/>
        </w:rPr>
        <w:t>National accounts basis:</w:t>
      </w:r>
      <w:r>
        <w:t xml:space="preserve"> the activity measured by the satellite accounts that falls within the national accounts production boundary. In the satellite accounts this comprises activity of cultural and creative industries, net taxes on their products, and activity in other industries performed by workers in cultural and creative occupations.</w:t>
      </w:r>
    </w:p>
    <w:p w:rsidR="00150382" w:rsidRDefault="00150382" w:rsidP="00150382">
      <w:r w:rsidRPr="006C5438">
        <w:rPr>
          <w:b/>
        </w:rPr>
        <w:t>Output:</w:t>
      </w:r>
      <w:r>
        <w:t xml:space="preserve"> goods and services that are produced by an establishment for use or consumption both within and outside that establishment.</w:t>
      </w:r>
    </w:p>
    <w:p w:rsidR="00150382" w:rsidRDefault="00150382" w:rsidP="00150382">
      <w:r w:rsidRPr="00A16B29">
        <w:rPr>
          <w:b/>
        </w:rPr>
        <w:t>Production boundary</w:t>
      </w:r>
      <w:r>
        <w:t>: The national accounts production boundary includes:</w:t>
      </w:r>
    </w:p>
    <w:p w:rsidR="00150382" w:rsidRDefault="00150382" w:rsidP="00DF3E96">
      <w:pPr>
        <w:pStyle w:val="Listparagraphbullets"/>
      </w:pPr>
      <w:r w:rsidRPr="00326CBA">
        <w:t>the production of all individual or collective goods and services that are supplied to units other than the producers, or intended to be supplied,</w:t>
      </w:r>
      <w:r>
        <w:t xml:space="preserve"> </w:t>
      </w:r>
      <w:r w:rsidRPr="00326CBA">
        <w:t>including the production of goods and services used up in the process of producing such goods and services;</w:t>
      </w:r>
    </w:p>
    <w:p w:rsidR="00150382" w:rsidRDefault="00150382" w:rsidP="00DF3E96">
      <w:pPr>
        <w:pStyle w:val="Listparagraphbullets"/>
      </w:pPr>
      <w:r w:rsidRPr="00326CBA">
        <w:t>the own-account production of all goods that are retained by their producers</w:t>
      </w:r>
      <w:r>
        <w:t xml:space="preserve"> </w:t>
      </w:r>
      <w:r w:rsidRPr="00326CBA">
        <w:t>for their own final consumption or gross capital formation; and</w:t>
      </w:r>
    </w:p>
    <w:p w:rsidR="00150382" w:rsidRDefault="00150382" w:rsidP="00DF3E96">
      <w:pPr>
        <w:pStyle w:val="Listparagraphbullets"/>
      </w:pPr>
      <w:r w:rsidRPr="00326CBA">
        <w:t>the own-account production of housing services by owner-occupiers.</w:t>
      </w:r>
    </w:p>
    <w:p w:rsidR="00150382" w:rsidRDefault="00150382" w:rsidP="00150382">
      <w:r w:rsidRPr="006C5438">
        <w:rPr>
          <w:b/>
        </w:rPr>
        <w:t>Satellite account:</w:t>
      </w:r>
      <w:r>
        <w:t xml:space="preserve"> a framework linked to the national accounts, which enables focused attention on a particular aspect of economic or social life (e.g. cultural and creative activity) by combining national accounts estimates with the findings of other surveys and statistics.</w:t>
      </w:r>
    </w:p>
    <w:p w:rsidR="00150382" w:rsidRDefault="00150382" w:rsidP="00150382">
      <w:r w:rsidRPr="006C5438">
        <w:rPr>
          <w:b/>
        </w:rPr>
        <w:t>Satellite accounts basis:</w:t>
      </w:r>
      <w:r>
        <w:t xml:space="preserve"> in the example of cultural and creative activity - refers to the activity included on a national accounts basis, plus volunteer services and non-market output of market producers in the cultural and creative industries. Data presented on a satellite accounts basis are not directly comparable with national accounts aggregates.</w:t>
      </w:r>
    </w:p>
    <w:p w:rsidR="00150382" w:rsidRDefault="00150382" w:rsidP="00150382">
      <w:r>
        <w:br w:type="page"/>
      </w:r>
    </w:p>
    <w:p w:rsidR="00150382" w:rsidRDefault="00150382" w:rsidP="00DF3E96">
      <w:pPr>
        <w:pStyle w:val="Heading2"/>
      </w:pPr>
      <w:bookmarkStart w:id="129" w:name="_Toc126581849"/>
      <w:bookmarkStart w:id="130" w:name="_Toc128051582"/>
      <w:r>
        <w:lastRenderedPageBreak/>
        <w:t>References</w:t>
      </w:r>
      <w:bookmarkEnd w:id="129"/>
      <w:bookmarkEnd w:id="130"/>
    </w:p>
    <w:sectPr w:rsidR="00150382" w:rsidSect="00150382">
      <w:headerReference w:type="default" r:id="rId27"/>
      <w:headerReference w:type="first" r:id="rId28"/>
      <w:footerReference w:type="first" r:id="rId29"/>
      <w:endnotePr>
        <w:numFmt w:val="decimal"/>
      </w:endnotePr>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1CF9" w:rsidRDefault="00411CF9" w:rsidP="00FC413F">
      <w:pPr>
        <w:spacing w:after="0"/>
      </w:pPr>
      <w:r>
        <w:separator/>
      </w:r>
    </w:p>
  </w:endnote>
  <w:endnote w:type="continuationSeparator" w:id="0">
    <w:p w:rsidR="00411CF9" w:rsidRDefault="00411CF9" w:rsidP="00FC413F">
      <w:pPr>
        <w:spacing w:after="0"/>
      </w:pPr>
      <w:r>
        <w:continuationSeparator/>
      </w:r>
    </w:p>
  </w:endnote>
  <w:endnote w:id="1">
    <w:p w:rsidR="00411CF9" w:rsidRPr="00986637" w:rsidRDefault="00411CF9" w:rsidP="00DF3E96">
      <w:pPr>
        <w:spacing w:after="0"/>
      </w:pPr>
      <w:r>
        <w:rPr>
          <w:rStyle w:val="EndnoteReference"/>
        </w:rPr>
        <w:endnoteRef/>
      </w:r>
      <w:r>
        <w:t xml:space="preserve"> Office for the Arts (2023), </w:t>
      </w:r>
      <w:hyperlink r:id="rId1" w:history="1">
        <w:r>
          <w:rPr>
            <w:rStyle w:val="Hyperlink"/>
          </w:rPr>
          <w:t>National Cultural Policy - Revive: a place for every story, a story for every place</w:t>
        </w:r>
      </w:hyperlink>
      <w:r>
        <w:t>, p. 103.</w:t>
      </w:r>
    </w:p>
  </w:endnote>
  <w:endnote w:id="2">
    <w:p w:rsidR="00411CF9" w:rsidRDefault="00411CF9" w:rsidP="00150382">
      <w:pPr>
        <w:pStyle w:val="EndnoteText"/>
      </w:pPr>
      <w:r>
        <w:rPr>
          <w:rStyle w:val="EndnoteReference"/>
        </w:rPr>
        <w:endnoteRef/>
      </w:r>
      <w:r>
        <w:t xml:space="preserve"> </w:t>
      </w:r>
      <w:r w:rsidRPr="005A6F5B">
        <w:t>Australian Bureau of Statistics (2014),</w:t>
      </w:r>
      <w:r>
        <w:t xml:space="preserve"> Australian National Accounts, Cultural and Creative Activity Satellite Accounts, Experimental, ABS Cat. no. 5271.0.</w:t>
      </w:r>
    </w:p>
  </w:endnote>
  <w:endnote w:id="3">
    <w:p w:rsidR="00411CF9" w:rsidRDefault="00411CF9" w:rsidP="00150382">
      <w:pPr>
        <w:pStyle w:val="EndnoteText"/>
      </w:pPr>
      <w:r>
        <w:rPr>
          <w:rStyle w:val="EndnoteReference"/>
        </w:rPr>
        <w:endnoteRef/>
      </w:r>
      <w:r>
        <w:t xml:space="preserve"> </w:t>
      </w:r>
      <w:r w:rsidRPr="005A6F5B">
        <w:t>Australian Bureau of Statistics (2014),</w:t>
      </w:r>
      <w:r>
        <w:t xml:space="preserve"> Australian National Accounts, Cultural and Creative Activity Satellite Accounts, Experimental, ABS Cat. no. 5271.0, p. 4.</w:t>
      </w:r>
    </w:p>
  </w:endnote>
  <w:endnote w:id="4">
    <w:p w:rsidR="00411CF9" w:rsidRDefault="00411CF9" w:rsidP="00150382">
      <w:pPr>
        <w:pStyle w:val="EndnoteText"/>
      </w:pPr>
      <w:r>
        <w:rPr>
          <w:rStyle w:val="EndnoteReference"/>
        </w:rPr>
        <w:endnoteRef/>
      </w:r>
      <w:r>
        <w:t xml:space="preserve"> </w:t>
      </w:r>
      <w:r w:rsidRPr="005A6F5B">
        <w:t xml:space="preserve">Australian Bureau of Statistics (2014), </w:t>
      </w:r>
      <w:r>
        <w:t>Discussion Paper: Cultural and Creative Activity Satellite Accounts, Australia</w:t>
      </w:r>
      <w:r w:rsidRPr="005A6F5B">
        <w:t xml:space="preserve">, </w:t>
      </w:r>
      <w:r>
        <w:t>ABS C</w:t>
      </w:r>
      <w:r w:rsidRPr="005A6F5B">
        <w:t>at. no. 5271.0</w:t>
      </w:r>
      <w:r>
        <w:t>.55.001</w:t>
      </w:r>
      <w:r w:rsidRPr="005A6F5B">
        <w:t>, p.</w:t>
      </w:r>
      <w:r>
        <w:t> 8.</w:t>
      </w:r>
    </w:p>
  </w:endnote>
  <w:endnote w:id="5">
    <w:p w:rsidR="00411CF9" w:rsidRDefault="00411CF9" w:rsidP="00150382">
      <w:pPr>
        <w:pStyle w:val="EndnoteText"/>
      </w:pPr>
      <w:r>
        <w:rPr>
          <w:rStyle w:val="EndnoteReference"/>
        </w:rPr>
        <w:endnoteRef/>
      </w:r>
      <w:r>
        <w:t xml:space="preserve"> United Nations Educational, Scientific and Cultural Organisation (2009), 2009 UNESCO Framework for Cultural Statistics, France, p. 22.</w:t>
      </w:r>
    </w:p>
  </w:endnote>
  <w:endnote w:id="6">
    <w:p w:rsidR="00411CF9" w:rsidRDefault="00411CF9" w:rsidP="00150382">
      <w:pPr>
        <w:pStyle w:val="EndnoteText"/>
      </w:pPr>
      <w:r>
        <w:rPr>
          <w:rStyle w:val="EndnoteReference"/>
        </w:rPr>
        <w:endnoteRef/>
      </w:r>
      <w:r>
        <w:t xml:space="preserve"> United Nations Conference on Trade and Development (2008), Creative Economy Report 2008, p. 13</w:t>
      </w:r>
    </w:p>
  </w:endnote>
  <w:endnote w:id="7">
    <w:p w:rsidR="00411CF9" w:rsidRDefault="00411CF9" w:rsidP="00150382">
      <w:pPr>
        <w:pStyle w:val="EndnoteText"/>
      </w:pPr>
      <w:r>
        <w:rPr>
          <w:rStyle w:val="EndnoteReference"/>
        </w:rPr>
        <w:endnoteRef/>
      </w:r>
      <w:r>
        <w:t xml:space="preserve"> Statistical Working Group of the Meeting of Cultural Ministers (2017), Measuring the economic value of cultural and creative industries, Australia, April 2018, p. 9.</w:t>
      </w:r>
    </w:p>
  </w:endnote>
  <w:endnote w:id="8">
    <w:p w:rsidR="00411CF9" w:rsidRDefault="00411CF9" w:rsidP="00150382">
      <w:pPr>
        <w:pStyle w:val="EndnoteText"/>
      </w:pPr>
      <w:r>
        <w:rPr>
          <w:rStyle w:val="EndnoteReference"/>
        </w:rPr>
        <w:endnoteRef/>
      </w:r>
      <w:r>
        <w:t xml:space="preserve"> </w:t>
      </w:r>
      <w:r w:rsidRPr="005A6F5B">
        <w:t xml:space="preserve">Australian Bureau of Statistics (2014), </w:t>
      </w:r>
      <w:r>
        <w:t>Discussion Paper: Cultural and Creative Activity Satellite Accounts, Australia</w:t>
      </w:r>
      <w:r w:rsidRPr="005A6F5B">
        <w:t xml:space="preserve">, </w:t>
      </w:r>
      <w:r>
        <w:t>ABS C</w:t>
      </w:r>
      <w:r w:rsidRPr="005A6F5B">
        <w:t>at. no. 5271.0</w:t>
      </w:r>
      <w:r>
        <w:t>.55.001</w:t>
      </w:r>
      <w:r w:rsidRPr="005A6F5B">
        <w:t>, p.</w:t>
      </w:r>
      <w:r>
        <w:t> 13.</w:t>
      </w:r>
    </w:p>
  </w:endnote>
  <w:endnote w:id="9">
    <w:p w:rsidR="00411CF9" w:rsidRDefault="00411CF9" w:rsidP="00150382">
      <w:pPr>
        <w:pStyle w:val="EndnoteText"/>
      </w:pPr>
      <w:r>
        <w:rPr>
          <w:rStyle w:val="EndnoteReference"/>
        </w:rPr>
        <w:endnoteRef/>
      </w:r>
      <w:r>
        <w:t xml:space="preserve"> </w:t>
      </w:r>
      <w:r w:rsidRPr="005A6F5B">
        <w:t>Australian Bureau of Statistics (20</w:t>
      </w:r>
      <w:r>
        <w:t>22</w:t>
      </w:r>
      <w:r w:rsidRPr="005A6F5B">
        <w:t>),</w:t>
      </w:r>
      <w:r>
        <w:t xml:space="preserve">  </w:t>
      </w:r>
      <w:hyperlink r:id="rId2" w:history="1">
        <w:r w:rsidRPr="001B28D6">
          <w:rPr>
            <w:rStyle w:val="Hyperlink"/>
            <w:i/>
          </w:rPr>
          <w:t>Help Shape the Future of Classification on Industries in Australia</w:t>
        </w:r>
      </w:hyperlink>
      <w:r>
        <w:t>, Australia, September 2022.</w:t>
      </w:r>
    </w:p>
  </w:endnote>
  <w:endnote w:id="10">
    <w:p w:rsidR="00411CF9" w:rsidRDefault="00411CF9" w:rsidP="00150382">
      <w:pPr>
        <w:pStyle w:val="EndnoteText"/>
      </w:pPr>
      <w:r>
        <w:rPr>
          <w:rStyle w:val="EndnoteReference"/>
        </w:rPr>
        <w:endnoteRef/>
      </w:r>
      <w:r>
        <w:t xml:space="preserve"> </w:t>
      </w:r>
      <w:r w:rsidRPr="00BB7E24">
        <w:t>Department of Culture, Media and Sport (2001)</w:t>
      </w:r>
      <w:r>
        <w:t>,</w:t>
      </w:r>
      <w:r w:rsidRPr="00BB7E24">
        <w:t xml:space="preserve"> </w:t>
      </w:r>
      <w:hyperlink r:id="rId3" w:history="1">
        <w:r w:rsidRPr="008B1541">
          <w:rPr>
            <w:rStyle w:val="Hyperlink"/>
            <w:i/>
          </w:rPr>
          <w:t>The Creative Industries Mapping Document 2001</w:t>
        </w:r>
      </w:hyperlink>
      <w:r>
        <w:t>, United Kingdom, April 2001.</w:t>
      </w:r>
    </w:p>
  </w:endnote>
  <w:endnote w:id="11">
    <w:p w:rsidR="00411CF9" w:rsidRDefault="00411CF9" w:rsidP="00150382">
      <w:pPr>
        <w:pStyle w:val="EndnoteText"/>
      </w:pPr>
      <w:r>
        <w:rPr>
          <w:rStyle w:val="EndnoteReference"/>
        </w:rPr>
        <w:endnoteRef/>
      </w:r>
      <w:r>
        <w:t xml:space="preserve"> </w:t>
      </w:r>
      <w:r w:rsidRPr="00BB7E24">
        <w:t>Nesta and Creative Industries Innovation Centre</w:t>
      </w:r>
      <w:r>
        <w:t xml:space="preserve"> (2013)</w:t>
      </w:r>
      <w:r w:rsidRPr="00BB7E24">
        <w:t xml:space="preserve">, </w:t>
      </w:r>
      <w:hyperlink r:id="rId4" w:history="1">
        <w:r w:rsidRPr="008B1541">
          <w:rPr>
            <w:rStyle w:val="Hyperlink"/>
            <w:i/>
          </w:rPr>
          <w:t>A dynamic mapping of the UK’s creative industries</w:t>
        </w:r>
      </w:hyperlink>
      <w:r w:rsidRPr="00BB7E24">
        <w:t xml:space="preserve">, </w:t>
      </w:r>
      <w:r>
        <w:t xml:space="preserve">United Kingdom, </w:t>
      </w:r>
      <w:r w:rsidRPr="00BB7E24">
        <w:t>January 2013</w:t>
      </w:r>
      <w:r>
        <w:t>, p. 8</w:t>
      </w:r>
      <w:r w:rsidRPr="00BB7E24">
        <w:t>.</w:t>
      </w:r>
    </w:p>
  </w:endnote>
  <w:endnote w:id="12">
    <w:p w:rsidR="00411CF9" w:rsidRDefault="00411CF9" w:rsidP="00150382">
      <w:pPr>
        <w:pStyle w:val="EndnoteText"/>
      </w:pPr>
      <w:r>
        <w:rPr>
          <w:rStyle w:val="EndnoteReference"/>
        </w:rPr>
        <w:endnoteRef/>
      </w:r>
      <w:r>
        <w:t xml:space="preserve"> </w:t>
      </w:r>
      <w:r w:rsidRPr="001446E4">
        <w:t>Queensland University of Technology</w:t>
      </w:r>
      <w:r>
        <w:t xml:space="preserve"> (2014)</w:t>
      </w:r>
      <w:r w:rsidRPr="001446E4">
        <w:t xml:space="preserve">, </w:t>
      </w:r>
      <w:hyperlink r:id="rId5" w:history="1">
        <w:r w:rsidRPr="00FB3B7F">
          <w:rPr>
            <w:rStyle w:val="Hyperlink"/>
            <w:i/>
          </w:rPr>
          <w:t>Australian Creative Employment in 2011—applying the NESTA Dynamic Mapping definition methodology to Australian Classifications</w:t>
        </w:r>
      </w:hyperlink>
      <w:r w:rsidRPr="001446E4">
        <w:t xml:space="preserve">, </w:t>
      </w:r>
      <w:r>
        <w:t>2014, p. 1.</w:t>
      </w:r>
    </w:p>
  </w:endnote>
  <w:endnote w:id="13">
    <w:p w:rsidR="00411CF9" w:rsidRDefault="00411CF9" w:rsidP="00150382">
      <w:pPr>
        <w:pStyle w:val="EndnoteText"/>
      </w:pPr>
      <w:r>
        <w:rPr>
          <w:rStyle w:val="EndnoteReference"/>
        </w:rPr>
        <w:endnoteRef/>
      </w:r>
      <w:r>
        <w:t xml:space="preserve"> </w:t>
      </w:r>
      <w:r w:rsidRPr="00CC5F08">
        <w:t>UNESCO Institute for Statistics</w:t>
      </w:r>
      <w:r>
        <w:t xml:space="preserve"> (2005), International flows of selected cultural goods and services, 1994-2003 – </w:t>
      </w:r>
      <w:r w:rsidRPr="00E277FC">
        <w:t>Defining and capturing the flows of global cultural trade</w:t>
      </w:r>
      <w:r>
        <w:t>.</w:t>
      </w:r>
    </w:p>
  </w:endnote>
  <w:endnote w:id="14">
    <w:p w:rsidR="00411CF9" w:rsidRDefault="00411CF9" w:rsidP="00150382">
      <w:pPr>
        <w:pStyle w:val="EndnoteText"/>
      </w:pPr>
      <w:r>
        <w:rPr>
          <w:rStyle w:val="EndnoteReference"/>
        </w:rPr>
        <w:endnoteRef/>
      </w:r>
      <w:r>
        <w:t xml:space="preserve"> </w:t>
      </w:r>
      <w:r w:rsidRPr="0063364C">
        <w:t>UNESCO</w:t>
      </w:r>
      <w:r>
        <w:t xml:space="preserve"> (</w:t>
      </w:r>
      <w:r w:rsidRPr="0063364C">
        <w:t>20</w:t>
      </w:r>
      <w:r>
        <w:t>12),</w:t>
      </w:r>
      <w:r w:rsidRPr="0063364C">
        <w:t xml:space="preserve"> </w:t>
      </w:r>
      <w:r w:rsidRPr="006332D5">
        <w:rPr>
          <w:i/>
        </w:rPr>
        <w:t>2009 UNESCO Framework for Cultural Statistics Handbook No. 1, Measuring the economic contribution of cultural industries: A review and assessment of current methodological approaches</w:t>
      </w:r>
      <w:r w:rsidRPr="0063364C">
        <w:t xml:space="preserve">, </w:t>
      </w:r>
      <w:r w:rsidRPr="008B13C0">
        <w:t>Canada</w:t>
      </w:r>
      <w:r>
        <w:t xml:space="preserve">, </w:t>
      </w:r>
      <w:r w:rsidRPr="0063364C">
        <w:t>2012</w:t>
      </w:r>
      <w:r>
        <w:t>.</w:t>
      </w:r>
    </w:p>
  </w:endnote>
  <w:endnote w:id="15">
    <w:p w:rsidR="00411CF9" w:rsidRDefault="00411CF9" w:rsidP="00150382">
      <w:pPr>
        <w:pStyle w:val="EndnoteText"/>
      </w:pPr>
      <w:r>
        <w:rPr>
          <w:rStyle w:val="EndnoteReference"/>
        </w:rPr>
        <w:endnoteRef/>
      </w:r>
      <w:r>
        <w:t xml:space="preserve"> </w:t>
      </w:r>
      <w:r w:rsidRPr="0063364C">
        <w:t>UNESCO</w:t>
      </w:r>
      <w:r>
        <w:t xml:space="preserve"> (</w:t>
      </w:r>
      <w:r w:rsidRPr="0063364C">
        <w:t>20</w:t>
      </w:r>
      <w:r>
        <w:t>09),</w:t>
      </w:r>
      <w:r w:rsidRPr="0063364C">
        <w:t xml:space="preserve"> </w:t>
      </w:r>
      <w:r w:rsidRPr="006332D5">
        <w:rPr>
          <w:i/>
        </w:rPr>
        <w:t>2009 UNESCO Framework for Cultural Statistics</w:t>
      </w:r>
      <w:r w:rsidRPr="0063364C">
        <w:t xml:space="preserve">, </w:t>
      </w:r>
      <w:r>
        <w:t xml:space="preserve">p.9, </w:t>
      </w:r>
      <w:r w:rsidRPr="008B13C0">
        <w:t>Canada</w:t>
      </w:r>
      <w:r>
        <w:t xml:space="preserve">, </w:t>
      </w:r>
      <w:r w:rsidRPr="0063364C">
        <w:t>20</w:t>
      </w:r>
      <w:r>
        <w:t>09.</w:t>
      </w:r>
    </w:p>
  </w:endnote>
  <w:endnote w:id="16">
    <w:p w:rsidR="00411CF9" w:rsidRPr="00DD3D64" w:rsidRDefault="00411CF9" w:rsidP="00150382">
      <w:pPr>
        <w:pStyle w:val="EndnoteText"/>
      </w:pPr>
      <w:r>
        <w:rPr>
          <w:rStyle w:val="EndnoteReference"/>
        </w:rPr>
        <w:endnoteRef/>
      </w:r>
      <w:r>
        <w:t xml:space="preserve"> </w:t>
      </w:r>
      <w:r w:rsidRPr="00360C85">
        <w:t>ESSnet‐CULTURE</w:t>
      </w:r>
      <w:r>
        <w:t xml:space="preserve"> (2012), </w:t>
      </w:r>
      <w:r w:rsidRPr="00322561">
        <w:rPr>
          <w:i/>
        </w:rPr>
        <w:t>European Statistical System Network on Culture</w:t>
      </w:r>
      <w:r>
        <w:rPr>
          <w:i/>
        </w:rPr>
        <w:t xml:space="preserve"> Final Report, </w:t>
      </w:r>
      <w:r w:rsidRPr="00322561">
        <w:t>Luxembourg (LU),</w:t>
      </w:r>
      <w:r>
        <w:rPr>
          <w:i/>
        </w:rPr>
        <w:t xml:space="preserve"> </w:t>
      </w:r>
      <w:r w:rsidRPr="00322561">
        <w:t>September 2012, p.</w:t>
      </w:r>
      <w:r>
        <w:t xml:space="preserve"> </w:t>
      </w:r>
      <w:r w:rsidRPr="00322561">
        <w:t>29</w:t>
      </w:r>
      <w:r>
        <w:t>.</w:t>
      </w:r>
    </w:p>
  </w:endnote>
  <w:endnote w:id="17">
    <w:p w:rsidR="00411CF9" w:rsidRDefault="00411CF9" w:rsidP="00150382">
      <w:pPr>
        <w:pStyle w:val="EndnoteText"/>
      </w:pPr>
      <w:r>
        <w:rPr>
          <w:rStyle w:val="EndnoteReference"/>
        </w:rPr>
        <w:endnoteRef/>
      </w:r>
      <w:r>
        <w:t xml:space="preserve"> Bureau of Economic Analysis (2014), </w:t>
      </w:r>
      <w:r w:rsidRPr="000F238C">
        <w:rPr>
          <w:i/>
        </w:rPr>
        <w:t>The Arts and Cultural Production Satellite Account (ACPSA)</w:t>
      </w:r>
      <w:r>
        <w:t>, United States, July 2014, p. 1.</w:t>
      </w:r>
    </w:p>
  </w:endnote>
  <w:endnote w:id="18">
    <w:p w:rsidR="00411CF9" w:rsidRPr="00571ADC" w:rsidRDefault="00411CF9" w:rsidP="00150382">
      <w:pPr>
        <w:pStyle w:val="EndnoteText"/>
        <w:rPr>
          <w:lang w:val="en-US"/>
        </w:rPr>
      </w:pPr>
      <w:r>
        <w:rPr>
          <w:rStyle w:val="EndnoteReference"/>
        </w:rPr>
        <w:endnoteRef/>
      </w:r>
      <w:r>
        <w:t xml:space="preserve"> </w:t>
      </w:r>
      <w:r w:rsidRPr="002A4620">
        <w:rPr>
          <w:lang w:val="x-none"/>
        </w:rPr>
        <w:t>Statistics Canada (2011)</w:t>
      </w:r>
      <w:r>
        <w:t xml:space="preserve">, </w:t>
      </w:r>
      <w:hyperlink r:id="rId6" w:history="1">
        <w:r w:rsidRPr="00643570">
          <w:rPr>
            <w:rStyle w:val="Hyperlink"/>
            <w:i/>
          </w:rPr>
          <w:t>Classification</w:t>
        </w:r>
        <w:r w:rsidRPr="002A4620">
          <w:rPr>
            <w:rStyle w:val="Hyperlink"/>
            <w:lang w:val="x-none"/>
          </w:rPr>
          <w:t xml:space="preserve"> </w:t>
        </w:r>
        <w:r w:rsidRPr="002A4620">
          <w:rPr>
            <w:rStyle w:val="Hyperlink"/>
            <w:i/>
            <w:lang w:val="x-none"/>
          </w:rPr>
          <w:t>Guide for the Canadian Framework for Culture Statistics 2011</w:t>
        </w:r>
      </w:hyperlink>
      <w:r>
        <w:rPr>
          <w:i/>
        </w:rPr>
        <w:t xml:space="preserve">, </w:t>
      </w:r>
      <w:r w:rsidRPr="002A4620">
        <w:rPr>
          <w:lang w:val="x-none"/>
        </w:rPr>
        <w:t>Ottawa</w:t>
      </w:r>
      <w:r>
        <w:t xml:space="preserve">, </w:t>
      </w:r>
      <w:r w:rsidRPr="002A4620">
        <w:rPr>
          <w:lang w:val="x-none"/>
        </w:rPr>
        <w:t>2011</w:t>
      </w:r>
      <w:r>
        <w:rPr>
          <w:lang w:val="en-US"/>
        </w:rPr>
        <w:t>.</w:t>
      </w:r>
    </w:p>
  </w:endnote>
  <w:endnote w:id="19">
    <w:p w:rsidR="00411CF9" w:rsidRDefault="00411CF9" w:rsidP="00150382">
      <w:pPr>
        <w:pStyle w:val="EndnoteText"/>
      </w:pPr>
      <w:r>
        <w:rPr>
          <w:rStyle w:val="EndnoteReference"/>
        </w:rPr>
        <w:endnoteRef/>
      </w:r>
      <w:r>
        <w:t xml:space="preserve"> </w:t>
      </w:r>
      <w:r w:rsidRPr="00056810">
        <w:rPr>
          <w:lang w:val="x-none"/>
        </w:rPr>
        <w:t>New Zealand Institute of Economic Research (NZIER) (2009)</w:t>
      </w:r>
      <w:r>
        <w:t>,</w:t>
      </w:r>
      <w:r w:rsidRPr="00056810">
        <w:rPr>
          <w:lang w:val="x-none"/>
        </w:rPr>
        <w:t xml:space="preserve"> </w:t>
      </w:r>
      <w:r w:rsidRPr="00056810">
        <w:rPr>
          <w:i/>
          <w:lang w:val="x-none"/>
        </w:rPr>
        <w:t>The Creative Sector in New Zealand: Mapping and Economic Role</w:t>
      </w:r>
      <w:r>
        <w:rPr>
          <w:i/>
        </w:rPr>
        <w:t>,</w:t>
      </w:r>
      <w:r w:rsidRPr="00056810">
        <w:rPr>
          <w:i/>
          <w:lang w:val="x-none"/>
        </w:rPr>
        <w:t xml:space="preserve"> </w:t>
      </w:r>
      <w:r w:rsidRPr="00056810">
        <w:rPr>
          <w:lang w:val="x-none"/>
        </w:rPr>
        <w:t>Wellington</w:t>
      </w:r>
      <w:r>
        <w:t>, January 2009, p. 1</w:t>
      </w:r>
      <w:r w:rsidRPr="00056810">
        <w:rPr>
          <w:lang w:val="x-none"/>
        </w:rPr>
        <w:t>.</w:t>
      </w:r>
    </w:p>
  </w:endnote>
  <w:endnote w:id="20">
    <w:p w:rsidR="00411CF9" w:rsidRPr="005A6F5B" w:rsidRDefault="00411CF9" w:rsidP="00150382">
      <w:pPr>
        <w:pStyle w:val="EndnoteText"/>
      </w:pPr>
      <w:r w:rsidRPr="005A6F5B">
        <w:rPr>
          <w:rStyle w:val="EndnoteReference"/>
        </w:rPr>
        <w:endnoteRef/>
      </w:r>
      <w:r w:rsidRPr="005A6F5B">
        <w:t xml:space="preserve"> Australian Bureau of Statistics (2014), Australian national accounts: cultural and creative activity satellite accounts, experimental, </w:t>
      </w:r>
      <w:r>
        <w:t>ABS C</w:t>
      </w:r>
      <w:r w:rsidRPr="005A6F5B">
        <w:t>at. no. 5271.0, p.</w:t>
      </w:r>
      <w:r>
        <w:t> </w:t>
      </w:r>
      <w:r w:rsidRPr="005A6F5B">
        <w:t>4</w:t>
      </w:r>
      <w:r>
        <w:t>.</w:t>
      </w:r>
    </w:p>
  </w:endnote>
  <w:endnote w:id="21">
    <w:p w:rsidR="00411CF9" w:rsidRDefault="00411CF9" w:rsidP="00150382">
      <w:pPr>
        <w:pStyle w:val="EndnoteText"/>
      </w:pPr>
      <w:r>
        <w:rPr>
          <w:rStyle w:val="EndnoteReference"/>
        </w:rPr>
        <w:endnoteRef/>
      </w:r>
      <w:r>
        <w:t xml:space="preserve"> </w:t>
      </w:r>
      <w:r w:rsidRPr="005A6F5B">
        <w:t xml:space="preserve">Australian Bureau of Statistics (2014), </w:t>
      </w:r>
      <w:r>
        <w:t>Information Paper: Cultural and Creative Activity Satellite Accounts, Australia</w:t>
      </w:r>
      <w:r w:rsidRPr="005A6F5B">
        <w:t xml:space="preserve">, </w:t>
      </w:r>
      <w:r>
        <w:t>ABS C</w:t>
      </w:r>
      <w:r w:rsidRPr="005A6F5B">
        <w:t>at. no. 5271.0</w:t>
      </w:r>
      <w:r>
        <w:t>.55.002</w:t>
      </w:r>
      <w:r w:rsidRPr="005A6F5B">
        <w:t>, p.</w:t>
      </w:r>
      <w:r>
        <w:t> 5.</w:t>
      </w:r>
    </w:p>
  </w:endnote>
  <w:endnote w:id="22">
    <w:p w:rsidR="00411CF9" w:rsidRDefault="00411CF9" w:rsidP="00150382">
      <w:pPr>
        <w:pStyle w:val="EndnoteText"/>
      </w:pPr>
      <w:r>
        <w:rPr>
          <w:rStyle w:val="EndnoteReference"/>
        </w:rPr>
        <w:endnoteRef/>
      </w:r>
      <w:r>
        <w:t xml:space="preserve"> </w:t>
      </w:r>
      <w:r w:rsidRPr="00F43449">
        <w:t xml:space="preserve">S. Cunningham </w:t>
      </w:r>
      <w:r>
        <w:t xml:space="preserve">and </w:t>
      </w:r>
      <w:r w:rsidRPr="00F43449">
        <w:t>P. Higgs (20</w:t>
      </w:r>
      <w:r>
        <w:t>10</w:t>
      </w:r>
      <w:r w:rsidRPr="00F43449">
        <w:t>)</w:t>
      </w:r>
      <w:r>
        <w:t xml:space="preserve">, </w:t>
      </w:r>
      <w:hyperlink r:id="rId7" w:history="1">
        <w:r w:rsidRPr="008B1541">
          <w:rPr>
            <w:rStyle w:val="Hyperlink"/>
            <w:i/>
          </w:rPr>
          <w:t>What’s your other job – A census analysis of arts employment in Australia</w:t>
        </w:r>
      </w:hyperlink>
      <w:r>
        <w:t>, Australia, August 2010, p. 4.</w:t>
      </w:r>
    </w:p>
  </w:endnote>
  <w:endnote w:id="23">
    <w:p w:rsidR="00411CF9" w:rsidRDefault="00411CF9" w:rsidP="00150382">
      <w:pPr>
        <w:pStyle w:val="EndnoteText"/>
      </w:pPr>
      <w:r>
        <w:rPr>
          <w:rStyle w:val="EndnoteReference"/>
        </w:rPr>
        <w:endnoteRef/>
      </w:r>
      <w:r>
        <w:t xml:space="preserve"> </w:t>
      </w:r>
      <w:r w:rsidRPr="005A6F5B">
        <w:t xml:space="preserve">Australian Bureau of Statistics (2014), </w:t>
      </w:r>
      <w:r>
        <w:t>Information Paper: Cultural and Creative Activity Satellite Accounts, Australia</w:t>
      </w:r>
      <w:r w:rsidRPr="005A6F5B">
        <w:t xml:space="preserve">, </w:t>
      </w:r>
      <w:r>
        <w:t>ABS C</w:t>
      </w:r>
      <w:r w:rsidRPr="005A6F5B">
        <w:t>at. no. 5271.0</w:t>
      </w:r>
      <w:r>
        <w:t>.55.002</w:t>
      </w:r>
      <w:r w:rsidRPr="005A6F5B">
        <w:t>, p.</w:t>
      </w:r>
      <w:r>
        <w:t> 6.</w:t>
      </w:r>
    </w:p>
  </w:endnote>
  <w:endnote w:id="24">
    <w:p w:rsidR="00411CF9" w:rsidRDefault="00411CF9" w:rsidP="00150382">
      <w:pPr>
        <w:pStyle w:val="EndnoteText"/>
      </w:pPr>
      <w:r>
        <w:rPr>
          <w:rStyle w:val="EndnoteReference"/>
        </w:rPr>
        <w:endnoteRef/>
      </w:r>
      <w:r>
        <w:t xml:space="preserve"> </w:t>
      </w:r>
      <w:r w:rsidRPr="005A6F5B">
        <w:t xml:space="preserve">Australian Bureau of Statistics (2014), </w:t>
      </w:r>
      <w:r>
        <w:t>Information Paper: Cultural and Creative Activity Satellite Accounts, Australia</w:t>
      </w:r>
      <w:r w:rsidRPr="005A6F5B">
        <w:t xml:space="preserve">, </w:t>
      </w:r>
      <w:r>
        <w:t>ABS C</w:t>
      </w:r>
      <w:r w:rsidRPr="005A6F5B">
        <w:t>at. no. 5271.0</w:t>
      </w:r>
      <w:r>
        <w:t>.55.002</w:t>
      </w:r>
      <w:r w:rsidRPr="005A6F5B">
        <w:t>, p.</w:t>
      </w:r>
      <w:r>
        <w:t> 7.</w:t>
      </w:r>
    </w:p>
  </w:endnote>
  <w:endnote w:id="25">
    <w:p w:rsidR="00411CF9" w:rsidRDefault="00411CF9" w:rsidP="00150382">
      <w:pPr>
        <w:pStyle w:val="EndnoteText"/>
      </w:pPr>
      <w:r>
        <w:rPr>
          <w:rStyle w:val="EndnoteReference"/>
        </w:rPr>
        <w:endnoteRef/>
      </w:r>
      <w:r>
        <w:t xml:space="preserve"> </w:t>
      </w:r>
      <w:r w:rsidRPr="00F02197">
        <w:t>Throsby</w:t>
      </w:r>
      <w:r>
        <w:t>, D.</w:t>
      </w:r>
      <w:r w:rsidRPr="00F02197">
        <w:t xml:space="preserve"> (2008)</w:t>
      </w:r>
      <w:r>
        <w:t>,</w:t>
      </w:r>
      <w:r w:rsidRPr="00F02197">
        <w:t xml:space="preserve"> The Concentric Circles model of the Cultural Industries, Cultural Trends, </w:t>
      </w:r>
      <w:r>
        <w:t>p. 15</w:t>
      </w:r>
      <w:r w:rsidRPr="00F02197">
        <w:t>1</w:t>
      </w:r>
      <w:r>
        <w:t>.</w:t>
      </w:r>
    </w:p>
  </w:endnote>
  <w:endnote w:id="26">
    <w:p w:rsidR="00411CF9" w:rsidRDefault="00411CF9" w:rsidP="00150382">
      <w:pPr>
        <w:pStyle w:val="EndnoteText"/>
      </w:pPr>
      <w:r>
        <w:rPr>
          <w:rStyle w:val="EndnoteReference"/>
        </w:rPr>
        <w:endnoteRef/>
      </w:r>
      <w:r>
        <w:t xml:space="preserve"> </w:t>
      </w:r>
      <w:r w:rsidRPr="00F02197">
        <w:t>Throsby</w:t>
      </w:r>
      <w:r>
        <w:t>, D.</w:t>
      </w:r>
      <w:r w:rsidRPr="00F02197">
        <w:t xml:space="preserve"> (2008)</w:t>
      </w:r>
      <w:r>
        <w:t>,</w:t>
      </w:r>
      <w:r w:rsidRPr="00F02197">
        <w:t xml:space="preserve"> The Concentric Circles model of the Cultural Industries, Cultural Trends, </w:t>
      </w:r>
      <w:r>
        <w:t>p. 149.</w:t>
      </w:r>
    </w:p>
  </w:endnote>
  <w:endnote w:id="27">
    <w:p w:rsidR="00411CF9" w:rsidRDefault="00411CF9" w:rsidP="00150382">
      <w:pPr>
        <w:pStyle w:val="EndnoteText"/>
      </w:pPr>
      <w:r>
        <w:rPr>
          <w:rStyle w:val="EndnoteReference"/>
        </w:rPr>
        <w:endnoteRef/>
      </w:r>
      <w:r>
        <w:t xml:space="preserve"> </w:t>
      </w:r>
      <w:r w:rsidRPr="00F02197">
        <w:t>Throsby</w:t>
      </w:r>
      <w:r>
        <w:t>, D.</w:t>
      </w:r>
      <w:r w:rsidRPr="00F02197">
        <w:t xml:space="preserve"> (2008)</w:t>
      </w:r>
      <w:r>
        <w:t>,</w:t>
      </w:r>
      <w:r w:rsidRPr="00F02197">
        <w:t xml:space="preserve"> The Concentric Circles model of the Cultural Industries, Cultural Trends, </w:t>
      </w:r>
      <w:r>
        <w:t>p. 149.</w:t>
      </w:r>
    </w:p>
  </w:endnote>
  <w:endnote w:id="28">
    <w:p w:rsidR="00411CF9" w:rsidRDefault="00411CF9" w:rsidP="00150382">
      <w:pPr>
        <w:pStyle w:val="EndnoteText"/>
        <w:rPr>
          <w:color w:val="auto"/>
          <w:sz w:val="20"/>
          <w:lang w:eastAsia="zh-TW"/>
        </w:rPr>
      </w:pPr>
      <w:r>
        <w:rPr>
          <w:rStyle w:val="EndnoteReference"/>
        </w:rPr>
        <w:endnoteRef/>
      </w:r>
      <w:r>
        <w:t xml:space="preserve"> Australian Bureau of Statistics (2014), 5271.0 - Australian National Accounts: Cultural and Creative Activity Satellite Accounts, Experimental, 2008–09,</w:t>
      </w:r>
      <w:r>
        <w:rPr>
          <w:lang w:val="en"/>
        </w:rPr>
        <w:t xml:space="preserve"> </w:t>
      </w:r>
      <w:hyperlink r:id="rId8" w:history="1">
        <w:r>
          <w:rPr>
            <w:rStyle w:val="Hyperlink"/>
            <w:lang w:val="en"/>
          </w:rPr>
          <w:t>Explanatory notes</w:t>
        </w:r>
      </w:hyperlink>
      <w:r>
        <w:rPr>
          <w:lang w:val="en"/>
        </w:rPr>
        <w:t xml:space="preserve"> 13.</w:t>
      </w:r>
    </w:p>
  </w:endnote>
  <w:endnote w:id="29">
    <w:p w:rsidR="00411CF9" w:rsidRDefault="00411CF9" w:rsidP="00150382">
      <w:pPr>
        <w:pStyle w:val="EndnoteText"/>
      </w:pPr>
      <w:r>
        <w:rPr>
          <w:rStyle w:val="EndnoteReference"/>
        </w:rPr>
        <w:endnoteRef/>
      </w:r>
      <w:r>
        <w:t xml:space="preserve"> </w:t>
      </w:r>
      <w:r w:rsidRPr="005A6F5B">
        <w:t>Australian Bureau of Statistics (201</w:t>
      </w:r>
      <w:r>
        <w:t>6</w:t>
      </w:r>
      <w:r w:rsidRPr="005A6F5B">
        <w:t>),</w:t>
      </w:r>
      <w:r>
        <w:t xml:space="preserve"> </w:t>
      </w:r>
      <w:hyperlink r:id="rId9" w:history="1">
        <w:r w:rsidRPr="00FC7077">
          <w:rPr>
            <w:rStyle w:val="Hyperlink"/>
          </w:rPr>
          <w:t>Information Paper: Australian National Accounts - Changes to the Input-Output Product Classification</w:t>
        </w:r>
      </w:hyperlink>
      <w:r w:rsidRPr="00780ABF">
        <w:t>, 2017</w:t>
      </w:r>
      <w:r>
        <w:t>.</w:t>
      </w:r>
    </w:p>
  </w:endnote>
  <w:endnote w:id="30">
    <w:p w:rsidR="00411CF9" w:rsidRDefault="00411CF9" w:rsidP="00150382">
      <w:pPr>
        <w:pStyle w:val="EndnoteText"/>
      </w:pPr>
      <w:r>
        <w:rPr>
          <w:rStyle w:val="EndnoteReference"/>
        </w:rPr>
        <w:endnoteRef/>
      </w:r>
      <w:r>
        <w:t xml:space="preserve"> </w:t>
      </w:r>
      <w:r w:rsidRPr="005A6F5B">
        <w:t>Australian Bureau of Statistics (20</w:t>
      </w:r>
      <w:r>
        <w:t>22</w:t>
      </w:r>
      <w:r w:rsidRPr="005A6F5B">
        <w:t>),</w:t>
      </w:r>
      <w:r>
        <w:t xml:space="preserve"> </w:t>
      </w:r>
      <w:r w:rsidRPr="00FB246C">
        <w:t>Australian National Accounts: Input-Output Tables</w:t>
      </w:r>
      <w:r>
        <w:t xml:space="preserve">, ABS Cat. no. </w:t>
      </w:r>
      <w:r w:rsidRPr="00FB246C">
        <w:t>5209.0.55.001</w:t>
      </w:r>
      <w:r>
        <w:t>.</w:t>
      </w:r>
    </w:p>
  </w:endnote>
  <w:endnote w:id="31">
    <w:p w:rsidR="00411CF9" w:rsidRPr="002E16D3" w:rsidRDefault="00411CF9" w:rsidP="00150382">
      <w:pPr>
        <w:pStyle w:val="EndnoteText"/>
      </w:pPr>
      <w:r w:rsidRPr="00571ADC">
        <w:rPr>
          <w:rStyle w:val="EndnoteReference"/>
        </w:rPr>
        <w:endnoteRef/>
      </w:r>
      <w:r w:rsidRPr="009D78C0">
        <w:rPr>
          <w:rFonts w:ascii="Times New Roman" w:hAnsi="Times New Roman" w:cs="Times New Roman"/>
          <w:szCs w:val="22"/>
        </w:rPr>
        <w:t xml:space="preserve"> </w:t>
      </w:r>
      <w:r w:rsidRPr="002E16D3">
        <w:t>Australian Bureau of Statistics,</w:t>
      </w:r>
      <w:r w:rsidRPr="009D78C0">
        <w:rPr>
          <w:rFonts w:ascii="Times New Roman" w:hAnsi="Times New Roman" w:cs="Times New Roman"/>
          <w:szCs w:val="22"/>
        </w:rPr>
        <w:t xml:space="preserve"> </w:t>
      </w:r>
      <w:hyperlink r:id="rId10" w:history="1">
        <w:r w:rsidRPr="002E16D3">
          <w:rPr>
            <w:rStyle w:val="Hyperlink"/>
            <w:rFonts w:asciiTheme="majorHAnsi" w:hAnsiTheme="majorHAnsi" w:cstheme="majorHAnsi"/>
            <w:i/>
            <w:szCs w:val="22"/>
            <w:lang w:val="en"/>
          </w:rPr>
          <w:t>Australian National Accounts: Supply Use Tables</w:t>
        </w:r>
      </w:hyperlink>
      <w:r w:rsidRPr="009D78C0">
        <w:rPr>
          <w:rFonts w:ascii="Times New Roman" w:hAnsi="Times New Roman" w:cs="Times New Roman"/>
          <w:szCs w:val="22"/>
        </w:rPr>
        <w:t xml:space="preserve">, </w:t>
      </w:r>
      <w:r w:rsidRPr="002E16D3">
        <w:t xml:space="preserve">Australia, </w:t>
      </w:r>
      <w:r>
        <w:t>ABS C</w:t>
      </w:r>
      <w:r w:rsidRPr="002E16D3">
        <w:t xml:space="preserve">at. </w:t>
      </w:r>
      <w:r>
        <w:t>n</w:t>
      </w:r>
      <w:r w:rsidRPr="002E16D3">
        <w:t>o. 5217.0</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CF9" w:rsidRDefault="00411CF9"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Pr>
        <w:rFonts w:cs="Segoe UI"/>
        <w:noProof/>
        <w:szCs w:val="18"/>
      </w:rPr>
      <w:t>Cultural and Creative Activity Satellite Accounts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rsidR="00411CF9" w:rsidRPr="00FC413F" w:rsidRDefault="00411CF9" w:rsidP="00953CCD">
    <w:pPr>
      <w:pStyle w:val="Footer"/>
      <w:tabs>
        <w:tab w:val="clear" w:pos="4513"/>
        <w:tab w:val="clear" w:pos="9026"/>
      </w:tabs>
      <w:ind w:left="-1418"/>
      <w:rPr>
        <w:rFonts w:cs="Segoe UI"/>
        <w:szCs w:val="18"/>
      </w:rPr>
    </w:pPr>
    <w:r>
      <w:rPr>
        <w:noProof/>
        <w:lang w:eastAsia="en-AU"/>
      </w:rPr>
      <w:drawing>
        <wp:inline distT="0" distB="0" distL="0" distR="0" wp14:anchorId="3B988DCC" wp14:editId="66848E2B">
          <wp:extent cx="7559650" cy="150641"/>
          <wp:effectExtent l="0" t="0" r="0" b="1905"/>
          <wp:docPr id="13" name="Picture 1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CF9" w:rsidRPr="00FC413F" w:rsidRDefault="00411CF9" w:rsidP="00113A03">
    <w:pPr>
      <w:pStyle w:val="Footer"/>
      <w:tabs>
        <w:tab w:val="clear" w:pos="4513"/>
        <w:tab w:val="clear" w:pos="9026"/>
      </w:tabs>
      <w:ind w:left="-1418"/>
      <w:rPr>
        <w:rFonts w:cs="Segoe UI"/>
        <w:szCs w:val="18"/>
      </w:rPr>
    </w:pPr>
    <w:r>
      <w:rPr>
        <w:noProof/>
        <w:lang w:eastAsia="en-AU"/>
      </w:rPr>
      <w:drawing>
        <wp:inline distT="0" distB="0" distL="0" distR="0" wp14:anchorId="35430809" wp14:editId="679812DD">
          <wp:extent cx="7562047" cy="2757268"/>
          <wp:effectExtent l="0" t="0" r="1270" b="5080"/>
          <wp:docPr id="14" name="Picture 14"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1371" cy="27825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CF9" w:rsidRDefault="00411CF9"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C102F1">
      <w:rPr>
        <w:rFonts w:cs="Segoe UI"/>
        <w:noProof/>
        <w:szCs w:val="18"/>
      </w:rPr>
      <w:t>Cultural and Creative Activity Satellite Accounts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411CF9" w:rsidRPr="00FC413F" w:rsidRDefault="00411CF9" w:rsidP="00953CCD">
    <w:pPr>
      <w:pStyle w:val="Footer"/>
      <w:tabs>
        <w:tab w:val="clear" w:pos="4513"/>
        <w:tab w:val="clear" w:pos="9026"/>
      </w:tabs>
      <w:ind w:left="-1418"/>
      <w:rPr>
        <w:rFonts w:cs="Segoe UI"/>
        <w:szCs w:val="18"/>
      </w:rPr>
    </w:pPr>
    <w:r>
      <w:rPr>
        <w:noProof/>
        <w:lang w:eastAsia="en-AU"/>
      </w:rPr>
      <w:drawing>
        <wp:inline distT="0" distB="0" distL="0" distR="0" wp14:anchorId="63D1881E" wp14:editId="785FD7BD">
          <wp:extent cx="7559650" cy="150641"/>
          <wp:effectExtent l="0" t="0" r="0" b="1905"/>
          <wp:docPr id="77" name="Picture 7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CF9" w:rsidRDefault="00411CF9" w:rsidP="00150382">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C102F1">
      <w:rPr>
        <w:rFonts w:cs="Segoe UI"/>
        <w:noProof/>
        <w:szCs w:val="18"/>
      </w:rPr>
      <w:t>Cultural and Creative Activity Satellite Accounts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rsidR="00411CF9" w:rsidRPr="00FC413F" w:rsidRDefault="00411CF9" w:rsidP="00113A03">
    <w:pPr>
      <w:pStyle w:val="Footer"/>
      <w:tabs>
        <w:tab w:val="clear" w:pos="4513"/>
        <w:tab w:val="clear" w:pos="9026"/>
      </w:tabs>
      <w:ind w:left="-1418"/>
      <w:rPr>
        <w:rFonts w:cs="Segoe UI"/>
        <w:szCs w:val="18"/>
      </w:rPr>
    </w:pPr>
    <w:r>
      <w:rPr>
        <w:noProof/>
        <w:lang w:eastAsia="en-AU"/>
      </w:rPr>
      <w:drawing>
        <wp:inline distT="0" distB="0" distL="0" distR="0" wp14:anchorId="2ACA5A82" wp14:editId="2FFEFF20">
          <wp:extent cx="7560000" cy="150526"/>
          <wp:effectExtent l="0" t="0" r="3175" b="1905"/>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5052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1CF9" w:rsidRDefault="00411CF9" w:rsidP="00FC413F">
      <w:pPr>
        <w:spacing w:after="0"/>
      </w:pPr>
      <w:r>
        <w:separator/>
      </w:r>
    </w:p>
  </w:footnote>
  <w:footnote w:type="continuationSeparator" w:id="0">
    <w:p w:rsidR="00411CF9" w:rsidRDefault="00411CF9" w:rsidP="00FC413F">
      <w:pPr>
        <w:spacing w:after="0"/>
      </w:pPr>
      <w:r>
        <w:continuationSeparator/>
      </w:r>
    </w:p>
  </w:footnote>
  <w:footnote w:id="1">
    <w:p w:rsidR="00411CF9" w:rsidRDefault="00411CF9" w:rsidP="00150382">
      <w:pPr>
        <w:pStyle w:val="FootnoteText"/>
        <w:rPr>
          <w:lang w:val="en-US"/>
        </w:rPr>
      </w:pPr>
      <w:r>
        <w:rPr>
          <w:rStyle w:val="FootnoteReference"/>
        </w:rPr>
        <w:footnoteRef/>
      </w:r>
      <w:r>
        <w:t xml:space="preserve"> In 2018, BCARR </w:t>
      </w:r>
      <w:r w:rsidRPr="002515D8">
        <w:rPr>
          <w:szCs w:val="26"/>
        </w:rPr>
        <w:t xml:space="preserve">published a working paper </w:t>
      </w:r>
      <w:hyperlink r:id="rId1" w:history="1">
        <w:r w:rsidRPr="00571ADC">
          <w:rPr>
            <w:rStyle w:val="Hyperlink"/>
            <w:color w:val="377B88"/>
            <w:szCs w:val="26"/>
          </w:rPr>
          <w:t>Cultural and creative activity in Australia, 2008–09 to 2016–17</w:t>
        </w:r>
      </w:hyperlink>
      <w:r w:rsidRPr="00A22B20">
        <w:rPr>
          <w:rStyle w:val="Hyperlink"/>
          <w:color w:val="377B88"/>
          <w:szCs w:val="26"/>
          <w:lang w:val="en-US"/>
        </w:rPr>
        <w:t>.</w:t>
      </w:r>
      <w:r w:rsidRPr="002515D8">
        <w:rPr>
          <w:rStyle w:val="Hyperlink"/>
          <w:color w:val="377B88"/>
          <w:szCs w:val="26"/>
          <w:lang w:val="en-US"/>
        </w:rPr>
        <w:t xml:space="preserve"> </w:t>
      </w:r>
      <w:r w:rsidRPr="00A16B29">
        <w:t xml:space="preserve">This paper expanded the updates </w:t>
      </w:r>
      <w:r w:rsidRPr="002515D8">
        <w:rPr>
          <w:szCs w:val="26"/>
        </w:rPr>
        <w:t>by quantifying activity o</w:t>
      </w:r>
      <w:r>
        <w:rPr>
          <w:szCs w:val="26"/>
        </w:rPr>
        <w:t>ver</w:t>
      </w:r>
      <w:r>
        <w:rPr>
          <w:szCs w:val="26"/>
          <w:lang w:val="en-US"/>
        </w:rPr>
        <w:t xml:space="preserve"> a</w:t>
      </w:r>
      <w:r w:rsidRPr="002515D8">
        <w:rPr>
          <w:szCs w:val="26"/>
        </w:rPr>
        <w:t xml:space="preserve"> </w:t>
      </w:r>
      <w:r>
        <w:rPr>
          <w:szCs w:val="26"/>
        </w:rPr>
        <w:t>10-year period</w:t>
      </w:r>
      <w:r>
        <w:rPr>
          <w:rStyle w:val="Hyperlink"/>
          <w:color w:val="377B88"/>
          <w:szCs w:val="26"/>
          <w:lang w:val="en-US"/>
        </w:rPr>
        <w:t xml:space="preserve">. </w:t>
      </w:r>
      <w:r>
        <w:t xml:space="preserve">Annual </w:t>
      </w:r>
      <w:r>
        <w:rPr>
          <w:lang w:val="en-US"/>
        </w:rPr>
        <w:t xml:space="preserve">updates to the cultural and creative activity estimates have been released in </w:t>
      </w:r>
      <w:hyperlink r:id="rId2" w:history="1">
        <w:r w:rsidRPr="00E74C99">
          <w:rPr>
            <w:rStyle w:val="Hyperlink"/>
            <w:lang w:val="en-US"/>
          </w:rPr>
          <w:t>2020</w:t>
        </w:r>
      </w:hyperlink>
      <w:r>
        <w:rPr>
          <w:lang w:val="en-US"/>
        </w:rPr>
        <w:t xml:space="preserve">, </w:t>
      </w:r>
      <w:hyperlink r:id="rId3" w:history="1">
        <w:r w:rsidRPr="00E74C99">
          <w:rPr>
            <w:rStyle w:val="Hyperlink"/>
            <w:lang w:val="en-US"/>
          </w:rPr>
          <w:t>2021</w:t>
        </w:r>
      </w:hyperlink>
      <w:r>
        <w:rPr>
          <w:lang w:val="en-US"/>
        </w:rPr>
        <w:t xml:space="preserve">, and </w:t>
      </w:r>
      <w:hyperlink r:id="rId4" w:history="1">
        <w:r w:rsidRPr="00E74C99">
          <w:rPr>
            <w:rStyle w:val="Hyperlink"/>
            <w:lang w:val="en-US"/>
          </w:rPr>
          <w:t>2022</w:t>
        </w:r>
      </w:hyperlink>
      <w:r>
        <w:rPr>
          <w:lang w:val="en-US"/>
        </w:rPr>
        <w:t>.</w:t>
      </w:r>
    </w:p>
    <w:p w:rsidR="00411CF9" w:rsidRPr="00820A71" w:rsidRDefault="00411CF9" w:rsidP="00150382">
      <w:pPr>
        <w:pStyle w:val="FootnoteText"/>
        <w:rPr>
          <w:lang w:val="en-US"/>
        </w:rPr>
      </w:pPr>
      <w:r>
        <w:rPr>
          <w:lang w:val="en-US"/>
        </w:rPr>
        <w:t xml:space="preserve"> </w:t>
      </w:r>
    </w:p>
  </w:footnote>
  <w:footnote w:id="2">
    <w:p w:rsidR="00411CF9" w:rsidRDefault="00411CF9" w:rsidP="00150382">
      <w:pPr>
        <w:pStyle w:val="FootnoteText"/>
      </w:pPr>
      <w:r>
        <w:rPr>
          <w:rStyle w:val="FootnoteReference"/>
        </w:rPr>
        <w:footnoteRef/>
      </w:r>
      <w:r>
        <w:t xml:space="preserve"> </w:t>
      </w:r>
      <w:hyperlink r:id="rId5" w:history="1">
        <w:r>
          <w:rPr>
            <w:rStyle w:val="Hyperlink"/>
          </w:rPr>
          <w:t>Cultural and Creative Sectors and Local Development - OECD</w:t>
        </w:r>
      </w:hyperlink>
    </w:p>
  </w:footnote>
  <w:footnote w:id="3">
    <w:p w:rsidR="00411CF9" w:rsidRDefault="00411CF9" w:rsidP="00150382">
      <w:pPr>
        <w:pStyle w:val="FootnoteText"/>
      </w:pPr>
      <w:r>
        <w:rPr>
          <w:rStyle w:val="FootnoteReference"/>
        </w:rPr>
        <w:footnoteRef/>
      </w:r>
      <w:r>
        <w:t xml:space="preserve"> </w:t>
      </w:r>
      <w:hyperlink r:id="rId6" w:history="1">
        <w:r>
          <w:rPr>
            <w:rStyle w:val="Hyperlink"/>
          </w:rPr>
          <w:t>Economy | Diversity of Cultural Expressions (unesco.org)</w:t>
        </w:r>
      </w:hyperlink>
      <w:r>
        <w:t xml:space="preserve"> </w:t>
      </w:r>
    </w:p>
  </w:footnote>
  <w:footnote w:id="4">
    <w:p w:rsidR="00411CF9" w:rsidRDefault="00411CF9" w:rsidP="00150382">
      <w:pPr>
        <w:pStyle w:val="FootnoteText"/>
      </w:pPr>
      <w:r>
        <w:rPr>
          <w:rStyle w:val="FootnoteReference"/>
        </w:rPr>
        <w:footnoteRef/>
      </w:r>
      <w:r>
        <w:t xml:space="preserve"> </w:t>
      </w:r>
      <w:hyperlink r:id="rId7" w:history="1">
        <w:r>
          <w:rPr>
            <w:rStyle w:val="Hyperlink"/>
          </w:rPr>
          <w:t>DCMS Sectors Economic Estimates: Monthly GVA (to September 2021) - GOV.UK (www.gov.uk)</w:t>
        </w:r>
      </w:hyperlink>
    </w:p>
  </w:footnote>
  <w:footnote w:id="5">
    <w:p w:rsidR="00411CF9" w:rsidRDefault="00411CF9" w:rsidP="00150382">
      <w:pPr>
        <w:pStyle w:val="FootnoteText"/>
      </w:pPr>
      <w:r>
        <w:rPr>
          <w:rStyle w:val="FootnoteReference"/>
        </w:rPr>
        <w:footnoteRef/>
      </w:r>
      <w:r>
        <w:t xml:space="preserve"> </w:t>
      </w:r>
      <w:hyperlink r:id="rId8" w:history="1">
        <w:r>
          <w:rPr>
            <w:rStyle w:val="Hyperlink"/>
          </w:rPr>
          <w:t>Arts and Cultural Production Satellite Account, U.S. and States | U.S. Bureau of Economic Analysis (BEA)</w:t>
        </w:r>
      </w:hyperlink>
    </w:p>
  </w:footnote>
  <w:footnote w:id="6">
    <w:p w:rsidR="00411CF9" w:rsidRDefault="00411CF9" w:rsidP="00150382">
      <w:pPr>
        <w:pStyle w:val="FootnoteText"/>
      </w:pPr>
      <w:r>
        <w:rPr>
          <w:rStyle w:val="FootnoteReference"/>
        </w:rPr>
        <w:footnoteRef/>
      </w:r>
      <w:r>
        <w:t xml:space="preserve"> </w:t>
      </w:r>
      <w:hyperlink r:id="rId9" w:history="1">
        <w:r>
          <w:rPr>
            <w:rStyle w:val="Hyperlink"/>
          </w:rPr>
          <w:t>Australian and New Zealand Standard Industrial Classification (ANZSIC), 2006 (Revision 2.0) | Australian Bureau of Statistics (abs.gov.au)</w:t>
        </w:r>
      </w:hyperlink>
    </w:p>
  </w:footnote>
  <w:footnote w:id="7">
    <w:p w:rsidR="00411CF9" w:rsidRDefault="00411CF9" w:rsidP="00150382">
      <w:pPr>
        <w:pStyle w:val="FootnoteText"/>
      </w:pPr>
      <w:r>
        <w:rPr>
          <w:rStyle w:val="FootnoteReference"/>
        </w:rPr>
        <w:footnoteRef/>
      </w:r>
      <w:r>
        <w:t xml:space="preserve"> </w:t>
      </w:r>
      <w:hyperlink r:id="rId10" w:history="1">
        <w:r>
          <w:rPr>
            <w:rStyle w:val="Hyperlink"/>
          </w:rPr>
          <w:t>ANZSCO - Australian and New Zealand Standard Classification of Occupations, 2022 | Australian Bureau of Statistics (abs.gov.au)</w:t>
        </w:r>
      </w:hyperlink>
    </w:p>
  </w:footnote>
  <w:footnote w:id="8">
    <w:p w:rsidR="00411CF9" w:rsidRDefault="00411CF9" w:rsidP="00150382">
      <w:pPr>
        <w:pStyle w:val="FootnoteText"/>
      </w:pPr>
      <w:r>
        <w:rPr>
          <w:rStyle w:val="FootnoteReference"/>
        </w:rPr>
        <w:footnoteRef/>
      </w:r>
      <w:r>
        <w:t xml:space="preserve"> </w:t>
      </w:r>
      <w:hyperlink r:id="rId11" w:history="1">
        <w:r>
          <w:rPr>
            <w:rStyle w:val="Hyperlink"/>
          </w:rPr>
          <w:t>Help Shape the Future of Classification on Industries in Australia - Australian Bureau of Statistics - Citizen Space (abs.gov.au)</w:t>
        </w:r>
      </w:hyperlink>
    </w:p>
  </w:footnote>
  <w:footnote w:id="9">
    <w:p w:rsidR="00411CF9" w:rsidRDefault="00411CF9" w:rsidP="00150382">
      <w:pPr>
        <w:pStyle w:val="FootnoteText"/>
      </w:pPr>
      <w:r>
        <w:rPr>
          <w:rStyle w:val="FootnoteReference"/>
        </w:rPr>
        <w:footnoteRef/>
      </w:r>
      <w:r>
        <w:t xml:space="preserve"> </w:t>
      </w:r>
      <w:hyperlink r:id="rId12" w:history="1">
        <w:r>
          <w:rPr>
            <w:rStyle w:val="Hyperlink"/>
          </w:rPr>
          <w:t>Have your say on ANZSCO review | Australian Bureau of Statistics (abs.gov.au)</w:t>
        </w:r>
      </w:hyperlink>
    </w:p>
  </w:footnote>
  <w:footnote w:id="10">
    <w:p w:rsidR="00411CF9" w:rsidRPr="00636AA9" w:rsidRDefault="00411CF9" w:rsidP="00150382">
      <w:pPr>
        <w:pStyle w:val="FootnoteText"/>
        <w:rPr>
          <w:lang w:val="en-US"/>
        </w:rPr>
      </w:pPr>
      <w:r>
        <w:rPr>
          <w:rStyle w:val="FootnoteReference"/>
        </w:rPr>
        <w:footnoteRef/>
      </w:r>
      <w:r>
        <w:t xml:space="preserve"> </w:t>
      </w:r>
      <w:r>
        <w:rPr>
          <w:lang w:val="en-US"/>
        </w:rPr>
        <w:t xml:space="preserve">Gross value added (GVA) refers to the gross </w:t>
      </w:r>
      <w:r w:rsidRPr="00B80CE7">
        <w:rPr>
          <w:lang w:val="en-US"/>
        </w:rPr>
        <w:t xml:space="preserve">value of </w:t>
      </w:r>
      <w:r>
        <w:rPr>
          <w:lang w:val="en-US"/>
        </w:rPr>
        <w:t xml:space="preserve">economic </w:t>
      </w:r>
      <w:r w:rsidRPr="00B80CE7">
        <w:rPr>
          <w:lang w:val="en-US"/>
        </w:rPr>
        <w:t>output</w:t>
      </w:r>
      <w:r>
        <w:rPr>
          <w:lang w:val="en-US"/>
        </w:rPr>
        <w:t xml:space="preserve">, </w:t>
      </w:r>
      <w:r w:rsidRPr="00B80CE7">
        <w:rPr>
          <w:lang w:val="en-US"/>
        </w:rPr>
        <w:t>minus the value of the goods and services consumed as inputs to the production process</w:t>
      </w:r>
      <w:r>
        <w:rPr>
          <w:lang w:val="en-US"/>
        </w:rPr>
        <w:t xml:space="preserve"> (</w:t>
      </w:r>
      <w:r w:rsidRPr="00B80CE7">
        <w:rPr>
          <w:lang w:val="en-US"/>
        </w:rPr>
        <w:t>intermediate consumption</w:t>
      </w:r>
      <w:r>
        <w:rPr>
          <w:lang w:val="en-US"/>
        </w:rPr>
        <w:t>).</w:t>
      </w:r>
    </w:p>
  </w:footnote>
  <w:footnote w:id="11">
    <w:p w:rsidR="00411CF9" w:rsidRDefault="00411CF9" w:rsidP="00150382">
      <w:pPr>
        <w:pStyle w:val="FootnoteText"/>
      </w:pPr>
      <w:r>
        <w:rPr>
          <w:rStyle w:val="FootnoteReference"/>
        </w:rPr>
        <w:footnoteRef/>
      </w:r>
      <w:r>
        <w:t xml:space="preserve"> The approach to derive cultural and creative COE is the same as methodology outlined in Component 1 GVA</w:t>
      </w:r>
      <w:r w:rsidRPr="00D73172">
        <w:t xml:space="preserve"> of cultural and creative industries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CF9" w:rsidRPr="00D56936" w:rsidRDefault="00411CF9" w:rsidP="00D56936">
    <w:pPr>
      <w:pStyle w:val="Header"/>
      <w:tabs>
        <w:tab w:val="clear" w:pos="4678"/>
      </w:tabs>
      <w:jc w:val="right"/>
      <w:rPr>
        <w:rFonts w:cs="Segoe UI Light"/>
        <w:color w:val="001C40"/>
        <w:sz w:val="20"/>
        <w:szCs w:val="20"/>
      </w:rPr>
    </w:pPr>
    <w:r w:rsidRPr="00D56936">
      <w:rPr>
        <w:rFonts w:cs="Segoe UI Light"/>
        <w:color w:val="001C40"/>
        <w:sz w:val="20"/>
        <w:szCs w:val="20"/>
      </w:rPr>
      <w:fldChar w:fldCharType="begin"/>
    </w:r>
    <w:r w:rsidRPr="00D56936">
      <w:rPr>
        <w:rFonts w:cs="Segoe UI Light"/>
        <w:color w:val="001C40"/>
        <w:sz w:val="20"/>
        <w:szCs w:val="20"/>
      </w:rPr>
      <w:instrText xml:space="preserve"> STYLEREF  "Heading 2"  \* MERGEFORMAT </w:instrText>
    </w:r>
    <w:r w:rsidRPr="00D56936">
      <w:rPr>
        <w:rFonts w:cs="Segoe UI Light"/>
        <w:color w:val="001C40"/>
        <w:sz w:val="20"/>
        <w:szCs w:val="20"/>
      </w:rPr>
      <w:fldChar w:fldCharType="separate"/>
    </w:r>
    <w:r>
      <w:rPr>
        <w:rFonts w:cs="Segoe UI Light"/>
        <w:noProof/>
        <w:color w:val="001C40"/>
        <w:sz w:val="20"/>
        <w:szCs w:val="20"/>
      </w:rPr>
      <w:t>Introduction</w:t>
    </w:r>
    <w:r w:rsidRPr="00D56936">
      <w:rPr>
        <w:rFonts w:cs="Segoe UI Light"/>
        <w:color w:val="001C4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CF9" w:rsidRPr="00D56936" w:rsidRDefault="00334E00"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C102F1">
      <w:rPr>
        <w:rFonts w:cs="Segoe UI Light"/>
        <w:noProof/>
        <w:color w:val="001C40"/>
        <w:sz w:val="20"/>
        <w:szCs w:val="20"/>
      </w:rPr>
      <w:t>List of tables</w:t>
    </w:r>
    <w:r>
      <w:rPr>
        <w:rFonts w:cs="Segoe UI Light"/>
        <w:color w:val="001C4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C48" w:rsidRPr="00D56936" w:rsidRDefault="002C3C48"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C102F1">
      <w:rPr>
        <w:rFonts w:cs="Segoe UI Light"/>
        <w:noProof/>
        <w:color w:val="001C40"/>
        <w:sz w:val="20"/>
        <w:szCs w:val="20"/>
      </w:rPr>
      <w:t>Appendix A—BCARR’s 2018 Methodology</w:t>
    </w:r>
    <w:r>
      <w:rPr>
        <w:rFonts w:cs="Segoe UI Light"/>
        <w:color w:val="001C4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CF9" w:rsidRPr="00D56936" w:rsidRDefault="00411CF9" w:rsidP="00150382">
    <w:pPr>
      <w:pStyle w:val="Header"/>
      <w:tabs>
        <w:tab w:val="clear" w:pos="4678"/>
      </w:tabs>
      <w:jc w:val="right"/>
      <w:rPr>
        <w:rFonts w:cs="Segoe UI Light"/>
        <w:color w:val="001C40"/>
        <w:sz w:val="20"/>
        <w:szCs w:val="20"/>
      </w:rPr>
    </w:pPr>
    <w:r w:rsidRPr="00D56936">
      <w:rPr>
        <w:rFonts w:cs="Segoe UI Light"/>
        <w:color w:val="001C40"/>
        <w:sz w:val="20"/>
        <w:szCs w:val="20"/>
      </w:rPr>
      <w:fldChar w:fldCharType="begin"/>
    </w:r>
    <w:r w:rsidRPr="00D56936">
      <w:rPr>
        <w:rFonts w:cs="Segoe UI Light"/>
        <w:color w:val="001C40"/>
        <w:sz w:val="20"/>
        <w:szCs w:val="20"/>
      </w:rPr>
      <w:instrText xml:space="preserve"> STYLEREF  "Heading 2"  \* MERGEFORMAT </w:instrText>
    </w:r>
    <w:r w:rsidRPr="00D56936">
      <w:rPr>
        <w:rFonts w:cs="Segoe UI Light"/>
        <w:color w:val="001C40"/>
        <w:sz w:val="20"/>
        <w:szCs w:val="20"/>
      </w:rPr>
      <w:fldChar w:fldCharType="separate"/>
    </w:r>
    <w:r w:rsidR="00C102F1">
      <w:rPr>
        <w:rFonts w:cs="Segoe UI Light"/>
        <w:noProof/>
        <w:color w:val="001C40"/>
        <w:sz w:val="20"/>
        <w:szCs w:val="20"/>
      </w:rPr>
      <w:t>Introduction</w:t>
    </w:r>
    <w:r w:rsidRPr="00D56936">
      <w:rPr>
        <w:rFonts w:cs="Segoe UI Light"/>
        <w:color w:val="001C4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EC74E4"/>
    <w:multiLevelType w:val="hybridMultilevel"/>
    <w:tmpl w:val="3D74D7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D621AED"/>
    <w:multiLevelType w:val="multilevel"/>
    <w:tmpl w:val="C2EED61A"/>
    <w:numStyleLink w:val="NumberedHeadings"/>
  </w:abstractNum>
  <w:abstractNum w:abstractNumId="3" w15:restartNumberingAfterBreak="0">
    <w:nsid w:val="194E6A2E"/>
    <w:multiLevelType w:val="hybridMultilevel"/>
    <w:tmpl w:val="2B328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0F0A90"/>
    <w:multiLevelType w:val="hybridMultilevel"/>
    <w:tmpl w:val="CF9627D6"/>
    <w:lvl w:ilvl="0" w:tplc="BADE705C">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D201E48"/>
    <w:multiLevelType w:val="hybridMultilevel"/>
    <w:tmpl w:val="63344F04"/>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D05255"/>
    <w:multiLevelType w:val="hybridMultilevel"/>
    <w:tmpl w:val="79FC251E"/>
    <w:lvl w:ilvl="0" w:tplc="0C09000F">
      <w:start w:val="1"/>
      <w:numFmt w:val="decimal"/>
      <w:lvlText w:val="%1."/>
      <w:lvlJc w:val="left"/>
      <w:pPr>
        <w:ind w:left="612" w:hanging="360"/>
      </w:pPr>
      <w:rPr>
        <w:rFonts w:hint="default"/>
      </w:rPr>
    </w:lvl>
    <w:lvl w:ilvl="1" w:tplc="0C090003" w:tentative="1">
      <w:start w:val="1"/>
      <w:numFmt w:val="bullet"/>
      <w:lvlText w:val="o"/>
      <w:lvlJc w:val="left"/>
      <w:pPr>
        <w:ind w:left="1332" w:hanging="360"/>
      </w:pPr>
      <w:rPr>
        <w:rFonts w:ascii="Courier New" w:hAnsi="Courier New" w:cs="Courier New" w:hint="default"/>
      </w:rPr>
    </w:lvl>
    <w:lvl w:ilvl="2" w:tplc="0C090005" w:tentative="1">
      <w:start w:val="1"/>
      <w:numFmt w:val="bullet"/>
      <w:lvlText w:val=""/>
      <w:lvlJc w:val="left"/>
      <w:pPr>
        <w:ind w:left="2052" w:hanging="360"/>
      </w:pPr>
      <w:rPr>
        <w:rFonts w:ascii="Wingdings" w:hAnsi="Wingdings" w:hint="default"/>
      </w:rPr>
    </w:lvl>
    <w:lvl w:ilvl="3" w:tplc="0C090001" w:tentative="1">
      <w:start w:val="1"/>
      <w:numFmt w:val="bullet"/>
      <w:lvlText w:val=""/>
      <w:lvlJc w:val="left"/>
      <w:pPr>
        <w:ind w:left="2772" w:hanging="360"/>
      </w:pPr>
      <w:rPr>
        <w:rFonts w:ascii="Symbol" w:hAnsi="Symbol" w:hint="default"/>
      </w:rPr>
    </w:lvl>
    <w:lvl w:ilvl="4" w:tplc="0C090003" w:tentative="1">
      <w:start w:val="1"/>
      <w:numFmt w:val="bullet"/>
      <w:lvlText w:val="o"/>
      <w:lvlJc w:val="left"/>
      <w:pPr>
        <w:ind w:left="3492" w:hanging="360"/>
      </w:pPr>
      <w:rPr>
        <w:rFonts w:ascii="Courier New" w:hAnsi="Courier New" w:cs="Courier New" w:hint="default"/>
      </w:rPr>
    </w:lvl>
    <w:lvl w:ilvl="5" w:tplc="0C090005" w:tentative="1">
      <w:start w:val="1"/>
      <w:numFmt w:val="bullet"/>
      <w:lvlText w:val=""/>
      <w:lvlJc w:val="left"/>
      <w:pPr>
        <w:ind w:left="4212" w:hanging="360"/>
      </w:pPr>
      <w:rPr>
        <w:rFonts w:ascii="Wingdings" w:hAnsi="Wingdings" w:hint="default"/>
      </w:rPr>
    </w:lvl>
    <w:lvl w:ilvl="6" w:tplc="0C090001" w:tentative="1">
      <w:start w:val="1"/>
      <w:numFmt w:val="bullet"/>
      <w:lvlText w:val=""/>
      <w:lvlJc w:val="left"/>
      <w:pPr>
        <w:ind w:left="4932" w:hanging="360"/>
      </w:pPr>
      <w:rPr>
        <w:rFonts w:ascii="Symbol" w:hAnsi="Symbol" w:hint="default"/>
      </w:rPr>
    </w:lvl>
    <w:lvl w:ilvl="7" w:tplc="0C090003" w:tentative="1">
      <w:start w:val="1"/>
      <w:numFmt w:val="bullet"/>
      <w:lvlText w:val="o"/>
      <w:lvlJc w:val="left"/>
      <w:pPr>
        <w:ind w:left="5652" w:hanging="360"/>
      </w:pPr>
      <w:rPr>
        <w:rFonts w:ascii="Courier New" w:hAnsi="Courier New" w:cs="Courier New" w:hint="default"/>
      </w:rPr>
    </w:lvl>
    <w:lvl w:ilvl="8" w:tplc="0C090005" w:tentative="1">
      <w:start w:val="1"/>
      <w:numFmt w:val="bullet"/>
      <w:lvlText w:val=""/>
      <w:lvlJc w:val="left"/>
      <w:pPr>
        <w:ind w:left="6372" w:hanging="360"/>
      </w:pPr>
      <w:rPr>
        <w:rFonts w:ascii="Wingdings" w:hAnsi="Wingdings" w:hint="default"/>
      </w:rPr>
    </w:lvl>
  </w:abstractNum>
  <w:abstractNum w:abstractNumId="8" w15:restartNumberingAfterBreak="0">
    <w:nsid w:val="2D990F25"/>
    <w:multiLevelType w:val="hybridMultilevel"/>
    <w:tmpl w:val="4DDC6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AA51938"/>
    <w:multiLevelType w:val="multilevel"/>
    <w:tmpl w:val="298C34E4"/>
    <w:numStyleLink w:val="AppendixNumbers"/>
  </w:abstractNum>
  <w:abstractNum w:abstractNumId="11"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173295E"/>
    <w:multiLevelType w:val="multilevel"/>
    <w:tmpl w:val="5B2C35CE"/>
    <w:styleLink w:val="Bullets"/>
    <w:lvl w:ilvl="0">
      <w:start w:val="1"/>
      <w:numFmt w:val="bullet"/>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4AB12AEF"/>
    <w:multiLevelType w:val="hybridMultilevel"/>
    <w:tmpl w:val="9F46EF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247848"/>
    <w:multiLevelType w:val="hybridMultilevel"/>
    <w:tmpl w:val="44980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FD652EB"/>
    <w:multiLevelType w:val="hybridMultilevel"/>
    <w:tmpl w:val="99A26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50E1CEE"/>
    <w:multiLevelType w:val="hybridMultilevel"/>
    <w:tmpl w:val="3D624390"/>
    <w:lvl w:ilvl="0" w:tplc="0C09000F">
      <w:start w:val="1"/>
      <w:numFmt w:val="decimal"/>
      <w:lvlText w:val="%1."/>
      <w:lvlJc w:val="left"/>
      <w:pPr>
        <w:ind w:left="612" w:hanging="360"/>
      </w:pPr>
      <w:rPr>
        <w:rFonts w:hint="default"/>
      </w:rPr>
    </w:lvl>
    <w:lvl w:ilvl="1" w:tplc="0C090003" w:tentative="1">
      <w:start w:val="1"/>
      <w:numFmt w:val="bullet"/>
      <w:lvlText w:val="o"/>
      <w:lvlJc w:val="left"/>
      <w:pPr>
        <w:ind w:left="1332" w:hanging="360"/>
      </w:pPr>
      <w:rPr>
        <w:rFonts w:ascii="Courier New" w:hAnsi="Courier New" w:cs="Courier New" w:hint="default"/>
      </w:rPr>
    </w:lvl>
    <w:lvl w:ilvl="2" w:tplc="0C090005" w:tentative="1">
      <w:start w:val="1"/>
      <w:numFmt w:val="bullet"/>
      <w:lvlText w:val=""/>
      <w:lvlJc w:val="left"/>
      <w:pPr>
        <w:ind w:left="2052" w:hanging="360"/>
      </w:pPr>
      <w:rPr>
        <w:rFonts w:ascii="Wingdings" w:hAnsi="Wingdings" w:hint="default"/>
      </w:rPr>
    </w:lvl>
    <w:lvl w:ilvl="3" w:tplc="0C090001" w:tentative="1">
      <w:start w:val="1"/>
      <w:numFmt w:val="bullet"/>
      <w:lvlText w:val=""/>
      <w:lvlJc w:val="left"/>
      <w:pPr>
        <w:ind w:left="2772" w:hanging="360"/>
      </w:pPr>
      <w:rPr>
        <w:rFonts w:ascii="Symbol" w:hAnsi="Symbol" w:hint="default"/>
      </w:rPr>
    </w:lvl>
    <w:lvl w:ilvl="4" w:tplc="0C090003" w:tentative="1">
      <w:start w:val="1"/>
      <w:numFmt w:val="bullet"/>
      <w:lvlText w:val="o"/>
      <w:lvlJc w:val="left"/>
      <w:pPr>
        <w:ind w:left="3492" w:hanging="360"/>
      </w:pPr>
      <w:rPr>
        <w:rFonts w:ascii="Courier New" w:hAnsi="Courier New" w:cs="Courier New" w:hint="default"/>
      </w:rPr>
    </w:lvl>
    <w:lvl w:ilvl="5" w:tplc="0C090005" w:tentative="1">
      <w:start w:val="1"/>
      <w:numFmt w:val="bullet"/>
      <w:lvlText w:val=""/>
      <w:lvlJc w:val="left"/>
      <w:pPr>
        <w:ind w:left="4212" w:hanging="360"/>
      </w:pPr>
      <w:rPr>
        <w:rFonts w:ascii="Wingdings" w:hAnsi="Wingdings" w:hint="default"/>
      </w:rPr>
    </w:lvl>
    <w:lvl w:ilvl="6" w:tplc="0C090001" w:tentative="1">
      <w:start w:val="1"/>
      <w:numFmt w:val="bullet"/>
      <w:lvlText w:val=""/>
      <w:lvlJc w:val="left"/>
      <w:pPr>
        <w:ind w:left="4932" w:hanging="360"/>
      </w:pPr>
      <w:rPr>
        <w:rFonts w:ascii="Symbol" w:hAnsi="Symbol" w:hint="default"/>
      </w:rPr>
    </w:lvl>
    <w:lvl w:ilvl="7" w:tplc="0C090003" w:tentative="1">
      <w:start w:val="1"/>
      <w:numFmt w:val="bullet"/>
      <w:lvlText w:val="o"/>
      <w:lvlJc w:val="left"/>
      <w:pPr>
        <w:ind w:left="5652" w:hanging="360"/>
      </w:pPr>
      <w:rPr>
        <w:rFonts w:ascii="Courier New" w:hAnsi="Courier New" w:cs="Courier New" w:hint="default"/>
      </w:rPr>
    </w:lvl>
    <w:lvl w:ilvl="8" w:tplc="0C090005" w:tentative="1">
      <w:start w:val="1"/>
      <w:numFmt w:val="bullet"/>
      <w:lvlText w:val=""/>
      <w:lvlJc w:val="left"/>
      <w:pPr>
        <w:ind w:left="6372" w:hanging="360"/>
      </w:pPr>
      <w:rPr>
        <w:rFonts w:ascii="Wingdings" w:hAnsi="Wingdings" w:hint="default"/>
      </w:rPr>
    </w:lvl>
  </w:abstractNum>
  <w:abstractNum w:abstractNumId="20" w15:restartNumberingAfterBreak="0">
    <w:nsid w:val="68827E7D"/>
    <w:multiLevelType w:val="hybridMultilevel"/>
    <w:tmpl w:val="79D0BA36"/>
    <w:lvl w:ilvl="0" w:tplc="446AE6B6">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4A3394"/>
    <w:multiLevelType w:val="hybridMultilevel"/>
    <w:tmpl w:val="BF1C0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5202283"/>
    <w:multiLevelType w:val="hybridMultilevel"/>
    <w:tmpl w:val="ADA66C4C"/>
    <w:lvl w:ilvl="0" w:tplc="A9DAAC9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E4677E"/>
    <w:multiLevelType w:val="hybridMultilevel"/>
    <w:tmpl w:val="2F74C494"/>
    <w:lvl w:ilvl="0" w:tplc="0C090001">
      <w:start w:val="1"/>
      <w:numFmt w:val="bullet"/>
      <w:lvlText w:val=""/>
      <w:lvlJc w:val="left"/>
      <w:pPr>
        <w:ind w:left="1074" w:hanging="360"/>
      </w:pPr>
      <w:rPr>
        <w:rFonts w:ascii="Symbol" w:hAnsi="Symbol"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4"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0"/>
  </w:num>
  <w:num w:numId="2">
    <w:abstractNumId w:val="6"/>
  </w:num>
  <w:num w:numId="3">
    <w:abstractNumId w:val="14"/>
  </w:num>
  <w:num w:numId="4">
    <w:abstractNumId w:val="24"/>
  </w:num>
  <w:num w:numId="5">
    <w:abstractNumId w:val="15"/>
  </w:num>
  <w:num w:numId="6">
    <w:abstractNumId w:val="1"/>
  </w:num>
  <w:num w:numId="7">
    <w:abstractNumId w:val="13"/>
  </w:num>
  <w:num w:numId="8">
    <w:abstractNumId w:val="22"/>
  </w:num>
  <w:num w:numId="9">
    <w:abstractNumId w:val="21"/>
  </w:num>
  <w:num w:numId="10">
    <w:abstractNumId w:val="17"/>
  </w:num>
  <w:num w:numId="11">
    <w:abstractNumId w:val="12"/>
  </w:num>
  <w:num w:numId="12">
    <w:abstractNumId w:val="0"/>
  </w:num>
  <w:num w:numId="13">
    <w:abstractNumId w:val="11"/>
  </w:num>
  <w:num w:numId="14">
    <w:abstractNumId w:val="2"/>
  </w:num>
  <w:num w:numId="15">
    <w:abstractNumId w:val="9"/>
  </w:num>
  <w:num w:numId="16">
    <w:abstractNumId w:val="10"/>
    <w:lvlOverride w:ilvl="0">
      <w:lvl w:ilvl="0">
        <w:start w:val="1"/>
        <w:numFmt w:val="upperLetter"/>
        <w:pStyle w:val="AppendixHeading1"/>
        <w:suff w:val="space"/>
        <w:lvlText w:val="Appendix %1 –"/>
        <w:lvlJc w:val="left"/>
        <w:pPr>
          <w:ind w:left="0" w:firstLine="0"/>
        </w:pPr>
        <w:rPr>
          <w:rFonts w:hint="default"/>
        </w:rPr>
      </w:lvl>
    </w:lvlOverride>
  </w:num>
  <w:num w:numId="17">
    <w:abstractNumId w:val="16"/>
  </w:num>
  <w:num w:numId="18">
    <w:abstractNumId w:val="18"/>
  </w:num>
  <w:num w:numId="19">
    <w:abstractNumId w:val="19"/>
  </w:num>
  <w:num w:numId="20">
    <w:abstractNumId w:val="7"/>
  </w:num>
  <w:num w:numId="21">
    <w:abstractNumId w:val="5"/>
  </w:num>
  <w:num w:numId="22">
    <w:abstractNumId w:val="4"/>
  </w:num>
  <w:num w:numId="23">
    <w:abstractNumId w:val="3"/>
  </w:num>
  <w:num w:numId="24">
    <w:abstractNumId w:val="23"/>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270B"/>
    <w:rsid w:val="00012D3A"/>
    <w:rsid w:val="0003502E"/>
    <w:rsid w:val="000522EB"/>
    <w:rsid w:val="00072195"/>
    <w:rsid w:val="000740FB"/>
    <w:rsid w:val="00090E62"/>
    <w:rsid w:val="000B1E86"/>
    <w:rsid w:val="000C0244"/>
    <w:rsid w:val="000C60DF"/>
    <w:rsid w:val="000D4B3B"/>
    <w:rsid w:val="000E29BE"/>
    <w:rsid w:val="00105DA4"/>
    <w:rsid w:val="00113A03"/>
    <w:rsid w:val="00113F51"/>
    <w:rsid w:val="00133A45"/>
    <w:rsid w:val="00143894"/>
    <w:rsid w:val="00150382"/>
    <w:rsid w:val="00190A0C"/>
    <w:rsid w:val="001A68B6"/>
    <w:rsid w:val="001B1416"/>
    <w:rsid w:val="001D583B"/>
    <w:rsid w:val="001E4471"/>
    <w:rsid w:val="001E7AC4"/>
    <w:rsid w:val="00204A64"/>
    <w:rsid w:val="00217C11"/>
    <w:rsid w:val="00221608"/>
    <w:rsid w:val="00236F1B"/>
    <w:rsid w:val="00261FFA"/>
    <w:rsid w:val="00272982"/>
    <w:rsid w:val="00287C7E"/>
    <w:rsid w:val="00291AEF"/>
    <w:rsid w:val="002A5AB5"/>
    <w:rsid w:val="002C3C48"/>
    <w:rsid w:val="002F1A23"/>
    <w:rsid w:val="00300077"/>
    <w:rsid w:val="00310148"/>
    <w:rsid w:val="00323710"/>
    <w:rsid w:val="00334E00"/>
    <w:rsid w:val="00342348"/>
    <w:rsid w:val="00345121"/>
    <w:rsid w:val="003508A8"/>
    <w:rsid w:val="00376B6E"/>
    <w:rsid w:val="00381BDA"/>
    <w:rsid w:val="003B6D01"/>
    <w:rsid w:val="003C575A"/>
    <w:rsid w:val="003D71C5"/>
    <w:rsid w:val="003F3CB7"/>
    <w:rsid w:val="00411CF9"/>
    <w:rsid w:val="00416734"/>
    <w:rsid w:val="004418DD"/>
    <w:rsid w:val="00445017"/>
    <w:rsid w:val="00460500"/>
    <w:rsid w:val="004729CA"/>
    <w:rsid w:val="004A3207"/>
    <w:rsid w:val="00521544"/>
    <w:rsid w:val="00530143"/>
    <w:rsid w:val="0053633C"/>
    <w:rsid w:val="005413E7"/>
    <w:rsid w:val="005941FC"/>
    <w:rsid w:val="005B69E7"/>
    <w:rsid w:val="005C0459"/>
    <w:rsid w:val="005C37D2"/>
    <w:rsid w:val="005D038B"/>
    <w:rsid w:val="005E55BD"/>
    <w:rsid w:val="00610225"/>
    <w:rsid w:val="00630D43"/>
    <w:rsid w:val="006452B1"/>
    <w:rsid w:val="006542FA"/>
    <w:rsid w:val="00654F9E"/>
    <w:rsid w:val="00670726"/>
    <w:rsid w:val="00690C60"/>
    <w:rsid w:val="00691FA2"/>
    <w:rsid w:val="006D43C7"/>
    <w:rsid w:val="006E139E"/>
    <w:rsid w:val="006E5952"/>
    <w:rsid w:val="00731351"/>
    <w:rsid w:val="00744CD2"/>
    <w:rsid w:val="00763A1C"/>
    <w:rsid w:val="00772B08"/>
    <w:rsid w:val="00772C27"/>
    <w:rsid w:val="00790F25"/>
    <w:rsid w:val="00793843"/>
    <w:rsid w:val="0079788A"/>
    <w:rsid w:val="007B68AB"/>
    <w:rsid w:val="00822DBF"/>
    <w:rsid w:val="008A7B93"/>
    <w:rsid w:val="008B7158"/>
    <w:rsid w:val="008D4156"/>
    <w:rsid w:val="008E534F"/>
    <w:rsid w:val="008F24DE"/>
    <w:rsid w:val="00912D17"/>
    <w:rsid w:val="009276A3"/>
    <w:rsid w:val="009279AE"/>
    <w:rsid w:val="00935A30"/>
    <w:rsid w:val="00944067"/>
    <w:rsid w:val="00953CCD"/>
    <w:rsid w:val="00985DD5"/>
    <w:rsid w:val="009C1ECD"/>
    <w:rsid w:val="009E5B72"/>
    <w:rsid w:val="00A24200"/>
    <w:rsid w:val="00A32D82"/>
    <w:rsid w:val="00A44E4B"/>
    <w:rsid w:val="00A4759C"/>
    <w:rsid w:val="00A5600C"/>
    <w:rsid w:val="00A56AEB"/>
    <w:rsid w:val="00A63390"/>
    <w:rsid w:val="00A82DAF"/>
    <w:rsid w:val="00A86AF3"/>
    <w:rsid w:val="00AC6195"/>
    <w:rsid w:val="00AE61A6"/>
    <w:rsid w:val="00B041CB"/>
    <w:rsid w:val="00B12FC1"/>
    <w:rsid w:val="00B1364F"/>
    <w:rsid w:val="00B371FA"/>
    <w:rsid w:val="00B3785F"/>
    <w:rsid w:val="00B43F55"/>
    <w:rsid w:val="00B5393D"/>
    <w:rsid w:val="00B74715"/>
    <w:rsid w:val="00B76D03"/>
    <w:rsid w:val="00BB3D46"/>
    <w:rsid w:val="00BC0598"/>
    <w:rsid w:val="00BF5FA4"/>
    <w:rsid w:val="00C02452"/>
    <w:rsid w:val="00C102F1"/>
    <w:rsid w:val="00C32353"/>
    <w:rsid w:val="00C36E40"/>
    <w:rsid w:val="00C62177"/>
    <w:rsid w:val="00CA5147"/>
    <w:rsid w:val="00CD0046"/>
    <w:rsid w:val="00D36B96"/>
    <w:rsid w:val="00D47BFD"/>
    <w:rsid w:val="00D56936"/>
    <w:rsid w:val="00D64922"/>
    <w:rsid w:val="00DC5DC8"/>
    <w:rsid w:val="00DF3E96"/>
    <w:rsid w:val="00E60E07"/>
    <w:rsid w:val="00E7227D"/>
    <w:rsid w:val="00E76BC6"/>
    <w:rsid w:val="00E80E04"/>
    <w:rsid w:val="00EA415A"/>
    <w:rsid w:val="00EC6EC4"/>
    <w:rsid w:val="00ED761D"/>
    <w:rsid w:val="00EE6EE8"/>
    <w:rsid w:val="00EF5B98"/>
    <w:rsid w:val="00F41576"/>
    <w:rsid w:val="00F44BE1"/>
    <w:rsid w:val="00F60041"/>
    <w:rsid w:val="00F61FA1"/>
    <w:rsid w:val="00F814AD"/>
    <w:rsid w:val="00FA64C7"/>
    <w:rsid w:val="00FC413F"/>
    <w:rsid w:val="00FD3DA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F44F7DD"/>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3A1C"/>
    <w:pPr>
      <w:spacing w:line="240" w:lineRule="auto"/>
    </w:pPr>
    <w:rPr>
      <w:rFonts w:ascii="Calibri" w:hAnsi="Calibri"/>
    </w:rPr>
  </w:style>
  <w:style w:type="paragraph" w:styleId="Heading1">
    <w:name w:val="heading 1"/>
    <w:basedOn w:val="Normal"/>
    <w:next w:val="Normal"/>
    <w:link w:val="Heading1Char"/>
    <w:uiPriority w:val="9"/>
    <w:qFormat/>
    <w:rsid w:val="00B041CB"/>
    <w:pPr>
      <w:numPr>
        <w:ilvl w:val="1"/>
      </w:numPr>
      <w:suppressAutoHyphens/>
      <w:spacing w:before="240"/>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D56936"/>
    <w:pPr>
      <w:keepNext/>
      <w:keepLines/>
      <w:suppressAutoHyphens/>
      <w:spacing w:before="320"/>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D56936"/>
    <w:pPr>
      <w:keepNext/>
      <w:keepLines/>
      <w:suppressAutoHyphens/>
      <w:spacing w:before="240"/>
      <w:outlineLvl w:val="2"/>
    </w:pPr>
    <w:rPr>
      <w:rFonts w:eastAsia="SimSun" w:cs="Times New Roman"/>
      <w:b/>
      <w:color w:val="595C6E"/>
      <w:kern w:val="12"/>
      <w:sz w:val="32"/>
      <w:szCs w:val="24"/>
    </w:rPr>
  </w:style>
  <w:style w:type="paragraph" w:styleId="Heading4">
    <w:name w:val="heading 4"/>
    <w:basedOn w:val="Normal"/>
    <w:next w:val="Normal"/>
    <w:link w:val="Heading4Char"/>
    <w:uiPriority w:val="9"/>
    <w:unhideWhenUsed/>
    <w:qFormat/>
    <w:rsid w:val="00654F9E"/>
    <w:pPr>
      <w:keepNext/>
      <w:keepLines/>
      <w:suppressAutoHyphens/>
      <w:spacing w:before="240"/>
      <w:outlineLvl w:val="3"/>
    </w:pPr>
    <w:rPr>
      <w:rFonts w:eastAsia="SimSun" w:cs="Times New Roman"/>
      <w:b/>
      <w:iCs/>
      <w:color w:val="595C6E"/>
      <w:kern w:val="12"/>
      <w:sz w:val="26"/>
      <w:szCs w:val="20"/>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B371FA"/>
    <w:pPr>
      <w:numPr>
        <w:numId w:val="1"/>
      </w:numPr>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qFormat/>
    <w:rsid w:val="00F60041"/>
    <w:rPr>
      <w:color w:val="0046FF"/>
      <w:u w:val="single"/>
    </w:rPr>
  </w:style>
  <w:style w:type="character" w:customStyle="1" w:styleId="Heading1Char">
    <w:name w:val="Heading 1 Char"/>
    <w:basedOn w:val="DefaultParagraphFont"/>
    <w:link w:val="Heading1"/>
    <w:uiPriority w:val="9"/>
    <w:rsid w:val="00B041CB"/>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D56936"/>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D56936"/>
    <w:rPr>
      <w:rFonts w:ascii="Calibri" w:eastAsia="SimSun" w:hAnsi="Calibri" w:cs="Times New Roman"/>
      <w:b/>
      <w:color w:val="595C6E"/>
      <w:kern w:val="12"/>
      <w:sz w:val="32"/>
      <w:szCs w:val="24"/>
    </w:rPr>
  </w:style>
  <w:style w:type="character" w:customStyle="1" w:styleId="Heading4Char">
    <w:name w:val="Heading 4 Char"/>
    <w:basedOn w:val="DefaultParagraphFont"/>
    <w:link w:val="Heading4"/>
    <w:uiPriority w:val="9"/>
    <w:rsid w:val="00654F9E"/>
    <w:rPr>
      <w:rFonts w:ascii="Calibri" w:eastAsia="SimSun" w:hAnsi="Calibri" w:cs="Times New Roman"/>
      <w:b/>
      <w:iCs/>
      <w:color w:val="595C6E"/>
      <w:kern w:val="12"/>
      <w:sz w:val="26"/>
      <w:szCs w:val="20"/>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Normal"/>
    <w:next w:val="Normal"/>
    <w:qFormat/>
    <w:rsid w:val="009C1ECD"/>
    <w:pPr>
      <w:keepNext/>
      <w:spacing w:after="120"/>
      <w:outlineLvl w:val="1"/>
    </w:pPr>
    <w:rPr>
      <w:rFonts w:eastAsia="MingLiU" w:cs="Segoe UI Semibold"/>
      <w:b/>
      <w:color w:val="4C5564"/>
      <w:sz w:val="24"/>
      <w:szCs w:val="26"/>
    </w:r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link w:val="ListParagraphChar"/>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AC6195"/>
    <w:pPr>
      <w:shd w:val="clear" w:color="auto" w:fill="081E3E"/>
      <w:spacing w:before="60" w:after="60"/>
    </w:pPr>
    <w:rPr>
      <w:b/>
      <w:color w:val="FFFFFF" w:themeColor="background1"/>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uiPriority w:val="99"/>
    <w:unhideWhenUsed/>
    <w:qFormat/>
    <w:rsid w:val="00217C11"/>
    <w:rPr>
      <w:vertAlign w:val="superscript"/>
    </w:rPr>
  </w:style>
  <w:style w:type="paragraph" w:customStyle="1" w:styleId="Tablefigureheading">
    <w:name w:val="Table/figure heading"/>
    <w:basedOn w:val="Normal"/>
    <w:next w:val="Normal"/>
    <w:qFormat/>
    <w:rsid w:val="00190A0C"/>
    <w:pPr>
      <w:keepNext/>
      <w:spacing w:after="0"/>
    </w:pPr>
    <w:rPr>
      <w:b/>
      <w:color w:val="002D72"/>
    </w:rPr>
  </w:style>
  <w:style w:type="paragraph" w:customStyle="1" w:styleId="Tabletextcentred">
    <w:name w:val="Table text—centred"/>
    <w:basedOn w:val="Tabletext"/>
    <w:next w:val="NoSpacing"/>
    <w:rsid w:val="000C60DF"/>
    <w:pPr>
      <w:spacing w:before="0" w:after="0"/>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6E5952"/>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D56936"/>
    <w:pPr>
      <w:numPr>
        <w:ilvl w:val="1"/>
      </w:numPr>
      <w:suppressAutoHyphens/>
      <w:spacing w:before="240"/>
    </w:pPr>
    <w:rPr>
      <w:rFonts w:eastAsia="SimSun" w:cs="Times New Roman"/>
      <w:color w:val="377B88"/>
      <w:kern w:val="12"/>
      <w:sz w:val="44"/>
    </w:rPr>
  </w:style>
  <w:style w:type="character" w:customStyle="1" w:styleId="SubtitleChar">
    <w:name w:val="Subtitle Char"/>
    <w:basedOn w:val="DefaultParagraphFont"/>
    <w:link w:val="Subtitle"/>
    <w:uiPriority w:val="18"/>
    <w:rsid w:val="00D56936"/>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4"/>
      </w:numPr>
      <w:suppressAutoHyphens/>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8"/>
    <w:unhideWhenUsed/>
    <w:qFormat/>
    <w:rsid w:val="00BF5FA4"/>
    <w:pPr>
      <w:keepNext/>
      <w:keepLines/>
      <w:numPr>
        <w:ilvl w:val="0"/>
      </w:numPr>
      <w:suppressAutoHyphens w:val="0"/>
      <w:spacing w:after="0"/>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35"/>
    <w:unhideWhenUsed/>
    <w:qFormat/>
    <w:rsid w:val="00A32D82"/>
    <w:pPr>
      <w:spacing w:after="200"/>
    </w:pPr>
    <w:rPr>
      <w:i/>
      <w:iCs/>
      <w:color w:val="44546A" w:themeColor="text2"/>
      <w:sz w:val="18"/>
      <w:szCs w:val="18"/>
    </w:rPr>
  </w:style>
  <w:style w:type="paragraph" w:customStyle="1" w:styleId="Introduction">
    <w:name w:val="Introduction"/>
    <w:basedOn w:val="Normal"/>
    <w:uiPriority w:val="2"/>
    <w:qFormat/>
    <w:rsid w:val="00150382"/>
    <w:pPr>
      <w:suppressAutoHyphens/>
      <w:spacing w:before="240" w:after="240"/>
    </w:pPr>
    <w:rPr>
      <w:rFonts w:asciiTheme="minorHAnsi" w:hAnsiTheme="minorHAnsi"/>
      <w:color w:val="377B88"/>
      <w:sz w:val="26"/>
      <w:lang w:val="x-none"/>
    </w:rPr>
  </w:style>
  <w:style w:type="paragraph" w:customStyle="1" w:styleId="Bullet1">
    <w:name w:val="Bullet 1"/>
    <w:basedOn w:val="Normal"/>
    <w:uiPriority w:val="3"/>
    <w:qFormat/>
    <w:rsid w:val="00150382"/>
    <w:pPr>
      <w:suppressAutoHyphens/>
      <w:ind w:left="567" w:hanging="567"/>
    </w:pPr>
    <w:rPr>
      <w:rFonts w:asciiTheme="minorHAnsi" w:hAnsiTheme="minorHAnsi"/>
      <w:color w:val="000000" w:themeColor="text1"/>
      <w:lang w:val="x-none"/>
    </w:rPr>
  </w:style>
  <w:style w:type="paragraph" w:styleId="EndnoteText">
    <w:name w:val="endnote text"/>
    <w:basedOn w:val="Normal"/>
    <w:link w:val="EndnoteTextChar"/>
    <w:uiPriority w:val="99"/>
    <w:unhideWhenUsed/>
    <w:rsid w:val="00150382"/>
    <w:pPr>
      <w:suppressAutoHyphens/>
      <w:spacing w:after="0"/>
    </w:pPr>
    <w:rPr>
      <w:rFonts w:asciiTheme="minorHAnsi" w:hAnsiTheme="minorHAnsi"/>
      <w:color w:val="000000" w:themeColor="text1"/>
      <w:kern w:val="12"/>
      <w:szCs w:val="20"/>
    </w:rPr>
  </w:style>
  <w:style w:type="character" w:customStyle="1" w:styleId="EndnoteTextChar">
    <w:name w:val="Endnote Text Char"/>
    <w:basedOn w:val="DefaultParagraphFont"/>
    <w:link w:val="EndnoteText"/>
    <w:uiPriority w:val="99"/>
    <w:rsid w:val="00150382"/>
    <w:rPr>
      <w:color w:val="000000" w:themeColor="text1"/>
      <w:kern w:val="12"/>
      <w:szCs w:val="20"/>
    </w:rPr>
  </w:style>
  <w:style w:type="character" w:styleId="EndnoteReference">
    <w:name w:val="endnote reference"/>
    <w:basedOn w:val="DefaultParagraphFont"/>
    <w:uiPriority w:val="99"/>
    <w:unhideWhenUsed/>
    <w:rsid w:val="00150382"/>
    <w:rPr>
      <w:vertAlign w:val="superscript"/>
    </w:rPr>
  </w:style>
  <w:style w:type="character" w:customStyle="1" w:styleId="ListParagraphChar">
    <w:name w:val="List Paragraph Char"/>
    <w:basedOn w:val="DefaultParagraphFont"/>
    <w:link w:val="ListParagraph"/>
    <w:uiPriority w:val="34"/>
    <w:locked/>
    <w:rsid w:val="00150382"/>
    <w:rPr>
      <w:rFonts w:ascii="Calibri" w:hAnsi="Calibri"/>
    </w:rPr>
  </w:style>
  <w:style w:type="character" w:styleId="PlaceholderText">
    <w:name w:val="Placeholder Text"/>
    <w:basedOn w:val="DefaultParagraphFont"/>
    <w:uiPriority w:val="99"/>
    <w:semiHidden/>
    <w:rsid w:val="00150382"/>
    <w:rPr>
      <w:color w:val="808080"/>
    </w:rPr>
  </w:style>
  <w:style w:type="paragraph" w:styleId="Title">
    <w:name w:val="Title"/>
    <w:basedOn w:val="Normal"/>
    <w:next w:val="Normal"/>
    <w:link w:val="TitleChar"/>
    <w:uiPriority w:val="17"/>
    <w:qFormat/>
    <w:rsid w:val="00150382"/>
    <w:pPr>
      <w:suppressAutoHyphens/>
      <w:spacing w:before="1680" w:after="480"/>
    </w:pPr>
    <w:rPr>
      <w:rFonts w:asciiTheme="majorHAnsi" w:eastAsiaTheme="majorEastAsia" w:hAnsiTheme="majorHAnsi" w:cstheme="majorBidi"/>
      <w:b/>
      <w:color w:val="000000" w:themeColor="text1"/>
      <w:sz w:val="60"/>
      <w:szCs w:val="56"/>
    </w:rPr>
  </w:style>
  <w:style w:type="character" w:customStyle="1" w:styleId="TitleChar">
    <w:name w:val="Title Char"/>
    <w:basedOn w:val="DefaultParagraphFont"/>
    <w:link w:val="Title"/>
    <w:uiPriority w:val="17"/>
    <w:rsid w:val="00150382"/>
    <w:rPr>
      <w:rFonts w:asciiTheme="majorHAnsi" w:eastAsiaTheme="majorEastAsia" w:hAnsiTheme="majorHAnsi" w:cstheme="majorBidi"/>
      <w:b/>
      <w:color w:val="000000" w:themeColor="text1"/>
      <w:sz w:val="60"/>
      <w:szCs w:val="56"/>
    </w:rPr>
  </w:style>
  <w:style w:type="paragraph" w:customStyle="1" w:styleId="CoverDate">
    <w:name w:val="Cover Date"/>
    <w:basedOn w:val="Normal"/>
    <w:uiPriority w:val="19"/>
    <w:qFormat/>
    <w:rsid w:val="00150382"/>
    <w:pPr>
      <w:suppressAutoHyphens/>
      <w:spacing w:before="160" w:after="80"/>
    </w:pPr>
    <w:rPr>
      <w:rFonts w:asciiTheme="minorHAnsi" w:hAnsiTheme="minorHAnsi"/>
      <w:b/>
      <w:color w:val="000000" w:themeColor="text1"/>
    </w:rPr>
  </w:style>
  <w:style w:type="character" w:styleId="PageNumber">
    <w:name w:val="page number"/>
    <w:basedOn w:val="DefaultParagraphFont"/>
    <w:uiPriority w:val="99"/>
    <w:semiHidden/>
    <w:rsid w:val="00150382"/>
    <w:rPr>
      <w:b/>
      <w:sz w:val="20"/>
    </w:rPr>
  </w:style>
  <w:style w:type="paragraph" w:customStyle="1" w:styleId="CoverPhoto">
    <w:name w:val="Cover Photo"/>
    <w:basedOn w:val="Normal"/>
    <w:uiPriority w:val="19"/>
    <w:qFormat/>
    <w:rsid w:val="00150382"/>
    <w:pPr>
      <w:suppressAutoHyphens/>
      <w:spacing w:before="1240"/>
    </w:pPr>
    <w:rPr>
      <w:rFonts w:asciiTheme="minorHAnsi" w:hAnsiTheme="minorHAnsi"/>
      <w:color w:val="000000" w:themeColor="text1"/>
    </w:rPr>
  </w:style>
  <w:style w:type="paragraph" w:customStyle="1" w:styleId="Sourcenotes">
    <w:name w:val="Source notes"/>
    <w:basedOn w:val="Normal"/>
    <w:uiPriority w:val="15"/>
    <w:qFormat/>
    <w:rsid w:val="00150382"/>
    <w:pPr>
      <w:suppressAutoHyphens/>
      <w:spacing w:before="120" w:after="80"/>
    </w:pPr>
    <w:rPr>
      <w:rFonts w:asciiTheme="minorHAnsi" w:hAnsiTheme="minorHAnsi"/>
      <w:color w:val="000000" w:themeColor="text1"/>
      <w:sz w:val="16"/>
      <w:lang w:val="x-none"/>
    </w:rPr>
  </w:style>
  <w:style w:type="paragraph" w:customStyle="1" w:styleId="Sourcenotesnumbered">
    <w:name w:val="Source notes numbered"/>
    <w:basedOn w:val="Sourcenotes"/>
    <w:uiPriority w:val="15"/>
    <w:qFormat/>
    <w:rsid w:val="00150382"/>
    <w:pPr>
      <w:spacing w:before="80"/>
    </w:pPr>
  </w:style>
  <w:style w:type="paragraph" w:customStyle="1" w:styleId="ListNumbered1">
    <w:name w:val="List Numbered 1"/>
    <w:basedOn w:val="Normal"/>
    <w:uiPriority w:val="3"/>
    <w:qFormat/>
    <w:rsid w:val="00150382"/>
    <w:pPr>
      <w:numPr>
        <w:numId w:val="12"/>
      </w:numPr>
      <w:suppressAutoHyphens/>
      <w:spacing w:before="80" w:after="80"/>
    </w:pPr>
    <w:rPr>
      <w:rFonts w:asciiTheme="minorHAnsi" w:hAnsiTheme="minorHAnsi"/>
      <w:color w:val="000000" w:themeColor="text1"/>
      <w:lang w:val="x-none"/>
    </w:rPr>
  </w:style>
  <w:style w:type="paragraph" w:customStyle="1" w:styleId="ListNumbered21">
    <w:name w:val="List Numbered 2.1"/>
    <w:basedOn w:val="ListNumbered1"/>
    <w:uiPriority w:val="3"/>
    <w:rsid w:val="00150382"/>
    <w:pPr>
      <w:numPr>
        <w:ilvl w:val="1"/>
      </w:numPr>
    </w:pPr>
  </w:style>
  <w:style w:type="paragraph" w:customStyle="1" w:styleId="ListNumbered311">
    <w:name w:val="List Numbered 3.1.1"/>
    <w:basedOn w:val="ListNumbered21"/>
    <w:uiPriority w:val="3"/>
    <w:rsid w:val="00150382"/>
    <w:pPr>
      <w:numPr>
        <w:ilvl w:val="2"/>
      </w:numPr>
    </w:pPr>
  </w:style>
  <w:style w:type="paragraph" w:customStyle="1" w:styleId="Bullet2">
    <w:name w:val="Bullet 2"/>
    <w:basedOn w:val="Bullet1"/>
    <w:uiPriority w:val="3"/>
    <w:rsid w:val="00150382"/>
  </w:style>
  <w:style w:type="paragraph" w:customStyle="1" w:styleId="Bullet3">
    <w:name w:val="Bullet 3"/>
    <w:basedOn w:val="Bullet2"/>
    <w:uiPriority w:val="3"/>
    <w:rsid w:val="00150382"/>
  </w:style>
  <w:style w:type="paragraph" w:customStyle="1" w:styleId="Box1Text">
    <w:name w:val="Box 1 Text"/>
    <w:basedOn w:val="Normal"/>
    <w:uiPriority w:val="23"/>
    <w:qFormat/>
    <w:rsid w:val="00150382"/>
    <w:pPr>
      <w:pBdr>
        <w:top w:val="single" w:sz="4" w:space="14" w:color="ED7D31" w:themeColor="accent2"/>
        <w:left w:val="single" w:sz="4" w:space="14" w:color="ED7D31" w:themeColor="accent2"/>
        <w:bottom w:val="single" w:sz="4" w:space="14" w:color="ED7D31" w:themeColor="accent2"/>
        <w:right w:val="single" w:sz="4" w:space="14" w:color="ED7D31" w:themeColor="accent2"/>
      </w:pBdr>
      <w:suppressAutoHyphens/>
      <w:spacing w:before="160" w:after="80"/>
      <w:ind w:left="284" w:right="284"/>
    </w:pPr>
    <w:rPr>
      <w:rFonts w:asciiTheme="minorHAnsi" w:hAnsiTheme="minorHAnsi"/>
      <w:color w:val="000000" w:themeColor="text1"/>
      <w:lang w:val="x-none"/>
    </w:rPr>
  </w:style>
  <w:style w:type="paragraph" w:customStyle="1" w:styleId="Box1Heading">
    <w:name w:val="Box 1 Heading"/>
    <w:basedOn w:val="Box1Text"/>
    <w:uiPriority w:val="23"/>
    <w:qFormat/>
    <w:rsid w:val="00150382"/>
    <w:rPr>
      <w:b/>
    </w:rPr>
  </w:style>
  <w:style w:type="paragraph" w:customStyle="1" w:styleId="Box1Bullet1">
    <w:name w:val="Box 1 Bullet 1"/>
    <w:basedOn w:val="Box1Text"/>
    <w:uiPriority w:val="24"/>
    <w:qFormat/>
    <w:rsid w:val="00150382"/>
    <w:pPr>
      <w:numPr>
        <w:numId w:val="18"/>
      </w:numPr>
      <w:spacing w:before="80"/>
    </w:pPr>
    <w:rPr>
      <w:kern w:val="12"/>
      <w:sz w:val="20"/>
      <w:szCs w:val="20"/>
    </w:rPr>
  </w:style>
  <w:style w:type="paragraph" w:customStyle="1" w:styleId="Box2Text">
    <w:name w:val="Box 2 Text"/>
    <w:basedOn w:val="Normal"/>
    <w:uiPriority w:val="24"/>
    <w:qFormat/>
    <w:rsid w:val="00150382"/>
    <w:pPr>
      <w:pBdr>
        <w:top w:val="single" w:sz="4" w:space="14" w:color="D9E2F3" w:themeColor="accent5" w:themeTint="33"/>
        <w:left w:val="single" w:sz="4" w:space="14" w:color="D9E2F3" w:themeColor="accent5" w:themeTint="33"/>
        <w:bottom w:val="single" w:sz="4" w:space="14" w:color="D9E2F3" w:themeColor="accent5" w:themeTint="33"/>
        <w:right w:val="single" w:sz="4" w:space="14" w:color="D9E2F3" w:themeColor="accent5" w:themeTint="33"/>
      </w:pBdr>
      <w:shd w:val="clear" w:color="auto" w:fill="D9E2F3" w:themeFill="accent5" w:themeFillTint="33"/>
      <w:suppressAutoHyphens/>
      <w:spacing w:before="160" w:after="80"/>
      <w:ind w:left="284" w:right="284"/>
    </w:pPr>
    <w:rPr>
      <w:rFonts w:asciiTheme="minorHAnsi" w:hAnsiTheme="minorHAnsi"/>
      <w:color w:val="000000" w:themeColor="text1"/>
      <w:lang w:val="x-none"/>
    </w:rPr>
  </w:style>
  <w:style w:type="paragraph" w:customStyle="1" w:styleId="Box2Heading">
    <w:name w:val="Box 2 Heading"/>
    <w:basedOn w:val="Box2Text"/>
    <w:uiPriority w:val="24"/>
    <w:qFormat/>
    <w:rsid w:val="00150382"/>
    <w:rPr>
      <w:b/>
    </w:rPr>
  </w:style>
  <w:style w:type="paragraph" w:customStyle="1" w:styleId="Box2Bullet1">
    <w:name w:val="Box 2 Bullet 1"/>
    <w:basedOn w:val="Box2Text"/>
    <w:uiPriority w:val="25"/>
    <w:qFormat/>
    <w:rsid w:val="00150382"/>
    <w:pPr>
      <w:numPr>
        <w:ilvl w:val="1"/>
        <w:numId w:val="18"/>
      </w:numPr>
      <w:spacing w:before="80"/>
    </w:pPr>
    <w:rPr>
      <w:kern w:val="12"/>
      <w:sz w:val="20"/>
      <w:szCs w:val="20"/>
    </w:rPr>
  </w:style>
  <w:style w:type="table" w:customStyle="1" w:styleId="IconBoxTable">
    <w:name w:val="Icon Box Table"/>
    <w:basedOn w:val="TableNormal"/>
    <w:uiPriority w:val="99"/>
    <w:rsid w:val="00150382"/>
    <w:pPr>
      <w:spacing w:before="80" w:after="80" w:line="240" w:lineRule="auto"/>
    </w:pPr>
    <w:rPr>
      <w:color w:val="000000" w:themeColor="text1"/>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150382"/>
    <w:pPr>
      <w:numPr>
        <w:numId w:val="11"/>
      </w:numPr>
    </w:pPr>
  </w:style>
  <w:style w:type="numbering" w:customStyle="1" w:styleId="ListNumbered">
    <w:name w:val="List Numbered"/>
    <w:uiPriority w:val="99"/>
    <w:rsid w:val="00150382"/>
    <w:pPr>
      <w:numPr>
        <w:numId w:val="12"/>
      </w:numPr>
    </w:pPr>
  </w:style>
  <w:style w:type="paragraph" w:customStyle="1" w:styleId="Heading1Numbered">
    <w:name w:val="Heading 1 Numbered"/>
    <w:basedOn w:val="Heading1"/>
    <w:uiPriority w:val="10"/>
    <w:rsid w:val="00150382"/>
    <w:pPr>
      <w:keepNext/>
      <w:keepLines/>
      <w:numPr>
        <w:ilvl w:val="0"/>
        <w:numId w:val="14"/>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Heading2Numbered">
    <w:name w:val="Heading 2 Numbered"/>
    <w:basedOn w:val="Heading2"/>
    <w:uiPriority w:val="10"/>
    <w:rsid w:val="00150382"/>
    <w:pPr>
      <w:numPr>
        <w:ilvl w:val="1"/>
        <w:numId w:val="14"/>
      </w:numPr>
    </w:pPr>
    <w:rPr>
      <w:rFonts w:asciiTheme="majorHAnsi" w:eastAsiaTheme="majorEastAsia" w:hAnsiTheme="majorHAnsi" w:cstheme="majorBidi"/>
      <w:color w:val="44546A" w:themeColor="text2"/>
      <w:kern w:val="0"/>
    </w:rPr>
  </w:style>
  <w:style w:type="paragraph" w:customStyle="1" w:styleId="Heading3Numbered">
    <w:name w:val="Heading 3 Numbered"/>
    <w:basedOn w:val="Heading3"/>
    <w:uiPriority w:val="10"/>
    <w:rsid w:val="00150382"/>
    <w:pPr>
      <w:numPr>
        <w:ilvl w:val="2"/>
        <w:numId w:val="14"/>
      </w:numPr>
    </w:pPr>
    <w:rPr>
      <w:rFonts w:asciiTheme="majorHAnsi" w:eastAsiaTheme="majorEastAsia" w:hAnsiTheme="majorHAnsi" w:cstheme="majorBidi"/>
      <w:color w:val="BF8F00" w:themeColor="accent4" w:themeShade="BF"/>
      <w:kern w:val="0"/>
    </w:rPr>
  </w:style>
  <w:style w:type="paragraph" w:customStyle="1" w:styleId="Heading4Numbered">
    <w:name w:val="Heading 4 Numbered"/>
    <w:basedOn w:val="Heading4"/>
    <w:uiPriority w:val="10"/>
    <w:rsid w:val="00150382"/>
    <w:pPr>
      <w:numPr>
        <w:ilvl w:val="3"/>
        <w:numId w:val="14"/>
      </w:numPr>
    </w:pPr>
    <w:rPr>
      <w:rFonts w:asciiTheme="majorHAnsi" w:eastAsiaTheme="majorEastAsia" w:hAnsiTheme="majorHAnsi" w:cstheme="majorBidi"/>
      <w:color w:val="806000" w:themeColor="accent4" w:themeShade="80"/>
      <w:kern w:val="0"/>
      <w:szCs w:val="22"/>
    </w:rPr>
  </w:style>
  <w:style w:type="paragraph" w:customStyle="1" w:styleId="Heading5Numbered">
    <w:name w:val="Heading 5 Numbered"/>
    <w:basedOn w:val="Heading5"/>
    <w:uiPriority w:val="10"/>
    <w:rsid w:val="00150382"/>
    <w:pPr>
      <w:keepLines/>
      <w:numPr>
        <w:ilvl w:val="4"/>
        <w:numId w:val="14"/>
      </w:numPr>
      <w:suppressAutoHyphens/>
      <w:spacing w:before="240" w:after="160"/>
    </w:pPr>
    <w:rPr>
      <w:rFonts w:asciiTheme="majorHAnsi" w:eastAsiaTheme="majorEastAsia" w:hAnsiTheme="majorHAnsi" w:cstheme="majorBidi"/>
      <w:color w:val="44546A" w:themeColor="text2"/>
      <w:sz w:val="22"/>
      <w:szCs w:val="22"/>
    </w:rPr>
  </w:style>
  <w:style w:type="numbering" w:customStyle="1" w:styleId="NumberedHeadings">
    <w:name w:val="Numbered Headings"/>
    <w:uiPriority w:val="99"/>
    <w:rsid w:val="00150382"/>
    <w:pPr>
      <w:numPr>
        <w:numId w:val="13"/>
      </w:numPr>
    </w:pPr>
  </w:style>
  <w:style w:type="paragraph" w:customStyle="1" w:styleId="AppendixHeading1">
    <w:name w:val="Appendix Heading 1"/>
    <w:basedOn w:val="Heading1"/>
    <w:uiPriority w:val="11"/>
    <w:qFormat/>
    <w:rsid w:val="00150382"/>
    <w:pPr>
      <w:keepNext/>
      <w:keepLines/>
      <w:numPr>
        <w:ilvl w:val="0"/>
        <w:numId w:val="16"/>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AppendixHeading2">
    <w:name w:val="Appendix Heading 2"/>
    <w:basedOn w:val="Heading2"/>
    <w:uiPriority w:val="11"/>
    <w:rsid w:val="00150382"/>
    <w:pPr>
      <w:numPr>
        <w:ilvl w:val="1"/>
        <w:numId w:val="16"/>
      </w:numPr>
    </w:pPr>
    <w:rPr>
      <w:rFonts w:asciiTheme="majorHAnsi" w:eastAsiaTheme="majorEastAsia" w:hAnsiTheme="majorHAnsi" w:cstheme="majorBidi"/>
      <w:color w:val="44546A" w:themeColor="text2"/>
      <w:kern w:val="0"/>
    </w:rPr>
  </w:style>
  <w:style w:type="paragraph" w:customStyle="1" w:styleId="AttachmentHeading1">
    <w:name w:val="Attachment Heading 1"/>
    <w:basedOn w:val="Heading1"/>
    <w:uiPriority w:val="11"/>
    <w:qFormat/>
    <w:rsid w:val="00150382"/>
    <w:pPr>
      <w:keepNext/>
      <w:keepLines/>
      <w:numPr>
        <w:ilvl w:val="0"/>
        <w:numId w:val="17"/>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AttachmentHeading2">
    <w:name w:val="Attachment Heading 2"/>
    <w:basedOn w:val="Heading2"/>
    <w:uiPriority w:val="11"/>
    <w:rsid w:val="00150382"/>
    <w:pPr>
      <w:numPr>
        <w:ilvl w:val="1"/>
        <w:numId w:val="17"/>
      </w:numPr>
    </w:pPr>
    <w:rPr>
      <w:rFonts w:asciiTheme="majorHAnsi" w:eastAsiaTheme="majorEastAsia" w:hAnsiTheme="majorHAnsi" w:cstheme="majorBidi"/>
      <w:color w:val="44546A" w:themeColor="text2"/>
      <w:kern w:val="0"/>
    </w:rPr>
  </w:style>
  <w:style w:type="numbering" w:customStyle="1" w:styleId="AppendixNumbers">
    <w:name w:val="Appendix Numbers"/>
    <w:uiPriority w:val="99"/>
    <w:rsid w:val="00150382"/>
    <w:pPr>
      <w:numPr>
        <w:numId w:val="15"/>
      </w:numPr>
    </w:pPr>
  </w:style>
  <w:style w:type="numbering" w:customStyle="1" w:styleId="AttachmentNumbers">
    <w:name w:val="Attachment Numbers"/>
    <w:uiPriority w:val="99"/>
    <w:rsid w:val="00150382"/>
    <w:pPr>
      <w:numPr>
        <w:numId w:val="17"/>
      </w:numPr>
    </w:pPr>
  </w:style>
  <w:style w:type="paragraph" w:customStyle="1" w:styleId="Box2Checklist">
    <w:name w:val="Box 2 Checklist"/>
    <w:basedOn w:val="Box2Text"/>
    <w:uiPriority w:val="26"/>
    <w:qFormat/>
    <w:rsid w:val="00150382"/>
    <w:pPr>
      <w:numPr>
        <w:ilvl w:val="2"/>
        <w:numId w:val="18"/>
      </w:numPr>
    </w:pPr>
    <w:rPr>
      <w:kern w:val="12"/>
      <w:sz w:val="20"/>
      <w:szCs w:val="20"/>
    </w:rPr>
  </w:style>
  <w:style w:type="numbering" w:customStyle="1" w:styleId="BoxedBullets">
    <w:name w:val="Boxed Bullets"/>
    <w:uiPriority w:val="99"/>
    <w:rsid w:val="00150382"/>
    <w:pPr>
      <w:numPr>
        <w:numId w:val="18"/>
      </w:numPr>
    </w:pPr>
  </w:style>
  <w:style w:type="paragraph" w:customStyle="1" w:styleId="SecurityMarker">
    <w:name w:val="Security Marker"/>
    <w:basedOn w:val="Normal"/>
    <w:qFormat/>
    <w:rsid w:val="00150382"/>
    <w:pPr>
      <w:suppressAutoHyphens/>
      <w:spacing w:before="60" w:after="60"/>
      <w:jc w:val="center"/>
    </w:pPr>
    <w:rPr>
      <w:rFonts w:asciiTheme="minorHAnsi" w:hAnsiTheme="minorHAnsi"/>
      <w:b/>
      <w:bCs/>
      <w:caps/>
      <w:color w:val="E10000"/>
      <w:shd w:val="clear" w:color="auto" w:fill="FFFFFF" w:themeFill="background1"/>
    </w:rPr>
  </w:style>
  <w:style w:type="paragraph" w:customStyle="1" w:styleId="Bullet">
    <w:name w:val="Bullet"/>
    <w:basedOn w:val="Normal"/>
    <w:qFormat/>
    <w:rsid w:val="00150382"/>
    <w:pPr>
      <w:spacing w:after="200"/>
      <w:ind w:left="567" w:hanging="567"/>
    </w:pPr>
    <w:rPr>
      <w:rFonts w:asciiTheme="minorHAnsi" w:hAnsiTheme="minorHAnsi"/>
    </w:rPr>
  </w:style>
  <w:style w:type="character" w:styleId="FollowedHyperlink">
    <w:name w:val="FollowedHyperlink"/>
    <w:basedOn w:val="DefaultParagraphFont"/>
    <w:uiPriority w:val="99"/>
    <w:semiHidden/>
    <w:unhideWhenUsed/>
    <w:rsid w:val="00150382"/>
    <w:rPr>
      <w:color w:val="954F72" w:themeColor="followedHyperlink"/>
      <w:u w:val="single"/>
    </w:rPr>
  </w:style>
  <w:style w:type="paragraph" w:customStyle="1" w:styleId="IOPText">
    <w:name w:val="IOPText"/>
    <w:basedOn w:val="Normal"/>
    <w:link w:val="IOPTextChar"/>
    <w:qFormat/>
    <w:rsid w:val="00150382"/>
    <w:pPr>
      <w:spacing w:after="0" w:line="259" w:lineRule="auto"/>
      <w:ind w:firstLine="227"/>
      <w:jc w:val="both"/>
    </w:pPr>
    <w:rPr>
      <w:rFonts w:ascii="Times New Roman" w:hAnsi="Times New Roman"/>
      <w:sz w:val="20"/>
    </w:rPr>
  </w:style>
  <w:style w:type="character" w:customStyle="1" w:styleId="IOPTextChar">
    <w:name w:val="IOPText Char"/>
    <w:basedOn w:val="DefaultParagraphFont"/>
    <w:link w:val="IOPText"/>
    <w:rsid w:val="00150382"/>
    <w:rPr>
      <w:rFonts w:ascii="Times New Roman" w:hAnsi="Times New Roman"/>
      <w:sz w:val="20"/>
    </w:rPr>
  </w:style>
  <w:style w:type="character" w:styleId="CommentReference">
    <w:name w:val="annotation reference"/>
    <w:basedOn w:val="DefaultParagraphFont"/>
    <w:uiPriority w:val="99"/>
    <w:semiHidden/>
    <w:unhideWhenUsed/>
    <w:rsid w:val="00150382"/>
    <w:rPr>
      <w:sz w:val="16"/>
      <w:szCs w:val="16"/>
    </w:rPr>
  </w:style>
  <w:style w:type="paragraph" w:styleId="CommentText">
    <w:name w:val="annotation text"/>
    <w:basedOn w:val="Normal"/>
    <w:link w:val="CommentTextChar"/>
    <w:uiPriority w:val="99"/>
    <w:unhideWhenUsed/>
    <w:rsid w:val="00150382"/>
    <w:pPr>
      <w:suppressAutoHyphens/>
      <w:spacing w:before="160" w:after="80"/>
    </w:pPr>
    <w:rPr>
      <w:rFonts w:asciiTheme="minorHAnsi" w:hAnsiTheme="minorHAnsi"/>
      <w:color w:val="000000" w:themeColor="text1"/>
      <w:sz w:val="20"/>
      <w:szCs w:val="20"/>
    </w:rPr>
  </w:style>
  <w:style w:type="character" w:customStyle="1" w:styleId="CommentTextChar">
    <w:name w:val="Comment Text Char"/>
    <w:basedOn w:val="DefaultParagraphFont"/>
    <w:link w:val="CommentText"/>
    <w:uiPriority w:val="99"/>
    <w:rsid w:val="00150382"/>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50382"/>
    <w:rPr>
      <w:b/>
      <w:bCs/>
    </w:rPr>
  </w:style>
  <w:style w:type="character" w:customStyle="1" w:styleId="CommentSubjectChar">
    <w:name w:val="Comment Subject Char"/>
    <w:basedOn w:val="CommentTextChar"/>
    <w:link w:val="CommentSubject"/>
    <w:uiPriority w:val="99"/>
    <w:semiHidden/>
    <w:rsid w:val="00150382"/>
    <w:rPr>
      <w:b/>
      <w:bCs/>
      <w:color w:val="000000" w:themeColor="text1"/>
      <w:sz w:val="20"/>
      <w:szCs w:val="20"/>
    </w:rPr>
  </w:style>
  <w:style w:type="paragraph" w:styleId="BalloonText">
    <w:name w:val="Balloon Text"/>
    <w:basedOn w:val="Normal"/>
    <w:link w:val="BalloonTextChar"/>
    <w:uiPriority w:val="99"/>
    <w:semiHidden/>
    <w:unhideWhenUsed/>
    <w:rsid w:val="00150382"/>
    <w:pPr>
      <w:suppressAutoHyphens/>
      <w:spacing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150382"/>
    <w:rPr>
      <w:rFonts w:ascii="Segoe UI" w:hAnsi="Segoe UI" w:cs="Segoe UI"/>
      <w:color w:val="000000" w:themeColor="text1"/>
      <w:sz w:val="18"/>
      <w:szCs w:val="18"/>
    </w:rPr>
  </w:style>
  <w:style w:type="paragraph" w:styleId="Revision">
    <w:name w:val="Revision"/>
    <w:hidden/>
    <w:uiPriority w:val="99"/>
    <w:semiHidden/>
    <w:rsid w:val="00150382"/>
    <w:pPr>
      <w:spacing w:after="0" w:line="240"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yperlink" Target="mailto:bcar@infrastructure.gov.au"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infrastructure.gov.au/" TargetMode="External"/><Relationship Id="rId20" Type="http://schemas.openxmlformats.org/officeDocument/2006/relationships/image" Target="media/image6.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publishing@infrastructure.gov.au" TargetMode="External"/><Relationship Id="rId23" Type="http://schemas.openxmlformats.org/officeDocument/2006/relationships/image" Target="media/image9.jpe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mc.gov.au/" TargetMode="Externa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abs.gov.au/AUSSTATS/abs@.nsf/Lookup/5271.0Explanatory%20Notes12008-09?OpenDocument" TargetMode="External"/><Relationship Id="rId3" Type="http://schemas.openxmlformats.org/officeDocument/2006/relationships/hyperlink" Target="https://assets.publishing.service.gov.uk/government/uploads/system/uploads/attachment_data/file/183544/2001part1-foreword2001.pdf" TargetMode="External"/><Relationship Id="rId7" Type="http://schemas.openxmlformats.org/officeDocument/2006/relationships/hyperlink" Target="https://www.arts.qld.gov.au/images/documents/artsqld/Research/what-is-your-other-job.pdf" TargetMode="External"/><Relationship Id="rId2" Type="http://schemas.openxmlformats.org/officeDocument/2006/relationships/hyperlink" Target="https://consult.abs.gov.au/standards-and-classifications/help-shape-the-future-classification-on-industries/" TargetMode="External"/><Relationship Id="rId1" Type="http://schemas.openxmlformats.org/officeDocument/2006/relationships/hyperlink" Target="https://www.arts.gov.au/publications/national-cultural-policy-revive-place-every-story-story-every-place" TargetMode="External"/><Relationship Id="rId6" Type="http://schemas.openxmlformats.org/officeDocument/2006/relationships/hyperlink" Target="https://www150.statcan.gc.ca/n1/pub/87-542-x/87-542-x2011002-eng.htm" TargetMode="External"/><Relationship Id="rId5" Type="http://schemas.openxmlformats.org/officeDocument/2006/relationships/hyperlink" Target="https://eprints.qut.edu.au/92726/" TargetMode="External"/><Relationship Id="rId10" Type="http://schemas.openxmlformats.org/officeDocument/2006/relationships/hyperlink" Target="https://www.abs.gov.au/statistics/economy/national-accounts/australian-national-accounts-supply-use-tables/latest-release" TargetMode="External"/><Relationship Id="rId4" Type="http://schemas.openxmlformats.org/officeDocument/2006/relationships/hyperlink" Target="https://media.nesta.org.uk/documents/a_dynamic_mapping_of_the_creative_industries.pdf" TargetMode="External"/><Relationship Id="rId9" Type="http://schemas.openxmlformats.org/officeDocument/2006/relationships/hyperlink" Target="https://www.abs.gov.au/AUSSTATS/abs@.nsf/mf/5215.0.55.00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bea.gov/news/2021/arts-and-cultural-production-satellite-account-us-and-states" TargetMode="External"/><Relationship Id="rId3" Type="http://schemas.openxmlformats.org/officeDocument/2006/relationships/hyperlink" Target="https://www.infrastructure.gov.au/department/media/publications/visual-summary-cultural-and-creative-activity-australia-2009-10-2018-19" TargetMode="External"/><Relationship Id="rId7" Type="http://schemas.openxmlformats.org/officeDocument/2006/relationships/hyperlink" Target="https://www.gov.uk/government/statistics/dcms-sectors-economic-estimates-monthly-gva-to-september-2021" TargetMode="External"/><Relationship Id="rId12" Type="http://schemas.openxmlformats.org/officeDocument/2006/relationships/hyperlink" Target="https://www.abs.gov.au/media-centre/media-releases/have-your-say-anzsco-review" TargetMode="External"/><Relationship Id="rId2" Type="http://schemas.openxmlformats.org/officeDocument/2006/relationships/hyperlink" Target="https://www.infrastructure.gov.au/department/media/publications/cultural-and-creative-activity-australia-2008-09-2017-18-visual-summary" TargetMode="External"/><Relationship Id="rId1" Type="http://schemas.openxmlformats.org/officeDocument/2006/relationships/hyperlink" Target="https://www.infrastructure.gov.au/department/media/publications/cultural-and-creative-activity-australia-2008-09-2016-17" TargetMode="External"/><Relationship Id="rId6" Type="http://schemas.openxmlformats.org/officeDocument/2006/relationships/hyperlink" Target="https://en.unesco.org/creativity/development-indicators/dimensions/economy" TargetMode="External"/><Relationship Id="rId11" Type="http://schemas.openxmlformats.org/officeDocument/2006/relationships/hyperlink" Target="https://consult.abs.gov.au/standards-and-classifications/help-shape-the-future-classification-on-industries/" TargetMode="External"/><Relationship Id="rId5" Type="http://schemas.openxmlformats.org/officeDocument/2006/relationships/hyperlink" Target="https://www.oecd.org/cfe/leed/culture-and-creative-sectors.htm" TargetMode="External"/><Relationship Id="rId10" Type="http://schemas.openxmlformats.org/officeDocument/2006/relationships/hyperlink" Target="https://www.abs.gov.au/statistics/classifications/anzsco-australian-and-new-zealand-standard-classification-occupations/latest-release" TargetMode="External"/><Relationship Id="rId4" Type="http://schemas.openxmlformats.org/officeDocument/2006/relationships/hyperlink" Target="https://www.infrastructure.gov.au/research-data/bureau-communications-arts-and-regional-research/arts/cultural-and-creative-activity" TargetMode="External"/><Relationship Id="rId9" Type="http://schemas.openxmlformats.org/officeDocument/2006/relationships/hyperlink" Target="https://www.abs.gov.au/statistics/classifications/australian-and-new-zealand-standard-industrial-classification-anzsic/latest-rel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F4D23-A0D3-47EF-9BDF-E24BDE091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42</Pages>
  <Words>12220</Words>
  <Characters>70514</Characters>
  <Application>Microsoft Office Word</Application>
  <DocSecurity>0</DocSecurity>
  <Lines>1855</Lines>
  <Paragraphs>899</Paragraphs>
  <ScaleCrop>false</ScaleCrop>
  <HeadingPairs>
    <vt:vector size="2" baseType="variant">
      <vt:variant>
        <vt:lpstr>Title</vt:lpstr>
      </vt:variant>
      <vt:variant>
        <vt:i4>1</vt:i4>
      </vt:variant>
    </vt:vector>
  </HeadingPairs>
  <TitlesOfParts>
    <vt:vector size="1" baseType="lpstr">
      <vt:lpstr>Cultural and Creative Activity Satellite Accounts Methodology Refresh—Consultation paper</vt:lpstr>
    </vt:vector>
  </TitlesOfParts>
  <Company>Department of Infrastructure, Transport, Regional Development, Communications and the Arts</Company>
  <LinksUpToDate>false</LinksUpToDate>
  <CharactersWithSpaces>81835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and Creative Activity Satellite Accounts Methodology Refresh—Consultation paper</dc:title>
  <dc:subject/>
  <dc:creator>Department of Infrastructure, Transport, Regional Development, Communications and the Arts</dc:creator>
  <cp:keywords/>
  <dc:description>27 September 2022</dc:description>
  <cp:lastModifiedBy>HALL Theresa</cp:lastModifiedBy>
  <cp:revision>5</cp:revision>
  <dcterms:created xsi:type="dcterms:W3CDTF">2023-02-22T03:39:00Z</dcterms:created>
  <dcterms:modified xsi:type="dcterms:W3CDTF">2023-02-23T02:33:00Z</dcterms:modified>
</cp:coreProperties>
</file>