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9CED2" w14:textId="77777777" w:rsidR="00CC25B2" w:rsidRPr="00B420EE" w:rsidRDefault="00CC25B2" w:rsidP="00B420EE">
      <w:pPr>
        <w:spacing w:before="0" w:after="0"/>
        <w:rPr>
          <w:sz w:val="2"/>
          <w:szCs w:val="2"/>
        </w:rPr>
      </w:pPr>
    </w:p>
    <w:p w14:paraId="4B403038" w14:textId="19770DED" w:rsidR="00A20A3B" w:rsidRPr="00D13AE0" w:rsidRDefault="00A15E86" w:rsidP="00D13AE0">
      <w:pPr>
        <w:pStyle w:val="AreaHeading"/>
      </w:pPr>
      <w:r w:rsidRPr="00A15E86">
        <w:t>BUREAU OF COMMUNICATIONS, ARTS AND REGIONAL RESEARCH</w:t>
      </w:r>
    </w:p>
    <w:p w14:paraId="5858145C" w14:textId="08E1B120" w:rsidR="00DE4FE2" w:rsidRDefault="00497EE4" w:rsidP="00497EE4">
      <w:pPr>
        <w:pStyle w:val="Heading1"/>
      </w:pPr>
      <w:proofErr w:type="gramStart"/>
      <w:r>
        <w:t>At a glance</w:t>
      </w:r>
      <w:proofErr w:type="gramEnd"/>
      <w:r>
        <w:t xml:space="preserve">: </w:t>
      </w:r>
      <w:r w:rsidRPr="006D2BB6">
        <w:t xml:space="preserve">Cultural and Creative Activity in Australia, </w:t>
      </w:r>
      <w:r w:rsidR="00556925" w:rsidRPr="00556925">
        <w:t>2015–16 to 2024–25</w:t>
      </w:r>
    </w:p>
    <w:p w14:paraId="3E2DE6F4" w14:textId="2F675284" w:rsidR="00497EE4" w:rsidRPr="00B041CB" w:rsidRDefault="008306E0" w:rsidP="00497EE4">
      <w:pPr>
        <w:rPr>
          <w:rFonts w:eastAsia="Calibri" w:cs="Times New Roman"/>
          <w:b/>
          <w:color w:val="081E3E"/>
          <w:kern w:val="12"/>
          <w:szCs w:val="20"/>
        </w:rPr>
      </w:pPr>
      <w:r>
        <w:rPr>
          <w:rFonts w:eastAsia="Calibri" w:cs="Times New Roman"/>
          <w:b/>
          <w:color w:val="081E3E"/>
          <w:kern w:val="12"/>
          <w:szCs w:val="20"/>
        </w:rPr>
        <w:t>September</w:t>
      </w:r>
      <w:r w:rsidR="00497EE4" w:rsidRPr="00B041CB">
        <w:rPr>
          <w:rFonts w:eastAsia="Calibri" w:cs="Times New Roman"/>
          <w:b/>
          <w:color w:val="081E3E"/>
          <w:kern w:val="12"/>
          <w:szCs w:val="20"/>
        </w:rPr>
        <w:t xml:space="preserve"> 202</w:t>
      </w:r>
      <w:r w:rsidR="00556925">
        <w:rPr>
          <w:rFonts w:eastAsia="Calibri" w:cs="Times New Roman"/>
          <w:b/>
          <w:color w:val="081E3E"/>
          <w:kern w:val="12"/>
          <w:szCs w:val="20"/>
        </w:rPr>
        <w:t>6</w:t>
      </w:r>
    </w:p>
    <w:p w14:paraId="31AE5988" w14:textId="77777777" w:rsidR="00497EE4" w:rsidRDefault="00497EE4" w:rsidP="005947F4"/>
    <w:p w14:paraId="2D2B5B61" w14:textId="77777777" w:rsidR="00CC25B2" w:rsidRDefault="00CC25B2" w:rsidP="005947F4">
      <w:pPr>
        <w:sectPr w:rsidR="00CC25B2" w:rsidSect="005B23E1">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340" w:right="1021" w:bottom="1021" w:left="1021" w:header="0" w:footer="0" w:gutter="0"/>
          <w:cols w:space="708"/>
          <w:titlePg/>
          <w:docGrid w:linePitch="360"/>
        </w:sectPr>
      </w:pPr>
    </w:p>
    <w:p w14:paraId="59C651F9" w14:textId="77777777" w:rsidR="00C3001C" w:rsidRPr="00497EE4" w:rsidRDefault="00C3001C" w:rsidP="00497EE4">
      <w:r w:rsidRPr="00497EE4">
        <w:br w:type="page"/>
      </w:r>
    </w:p>
    <w:p w14:paraId="604F6CAA" w14:textId="4877F95A" w:rsidR="00C77382" w:rsidRPr="00AF613D" w:rsidRDefault="00C77382" w:rsidP="000651EB">
      <w:pPr>
        <w:pStyle w:val="Heading2"/>
        <w:rPr>
          <w:b w:val="0"/>
        </w:rPr>
      </w:pPr>
      <w:r w:rsidRPr="00AF613D">
        <w:lastRenderedPageBreak/>
        <w:t xml:space="preserve">Cultural and creative activity </w:t>
      </w:r>
      <w:r w:rsidR="006F0452" w:rsidRPr="006F0452">
        <w:t>2015–16 and 2024–25</w:t>
      </w:r>
    </w:p>
    <w:p w14:paraId="48D3FEC3" w14:textId="77777777" w:rsidR="00AF613D" w:rsidRPr="00AF613D" w:rsidRDefault="00AF613D" w:rsidP="00AF613D"/>
    <w:tbl>
      <w:tblPr>
        <w:tblStyle w:val="TableGrid"/>
        <w:tblW w:w="145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9613"/>
      </w:tblGrid>
      <w:tr w:rsidR="008A7FE4" w14:paraId="2997EEAA" w14:textId="77777777" w:rsidTr="00EA51B8">
        <w:trPr>
          <w:trHeight w:val="8019"/>
        </w:trPr>
        <w:tc>
          <w:tcPr>
            <w:tcW w:w="4962" w:type="dxa"/>
            <w:tcBorders>
              <w:right w:val="single" w:sz="4" w:space="0" w:color="auto"/>
            </w:tcBorders>
          </w:tcPr>
          <w:p w14:paraId="06E3B39D" w14:textId="77777777" w:rsidR="008A7FE4" w:rsidRPr="00C16DC9" w:rsidRDefault="008A7FE4" w:rsidP="008A7FE4">
            <w:pPr>
              <w:pStyle w:val="Introduction"/>
              <w:rPr>
                <w:color w:val="000000" w:themeColor="text1"/>
                <w:sz w:val="30"/>
                <w:szCs w:val="30"/>
              </w:rPr>
            </w:pPr>
            <w:r w:rsidRPr="00C16DC9">
              <w:rPr>
                <w:color w:val="000000" w:themeColor="text1"/>
                <w:sz w:val="30"/>
                <w:szCs w:val="30"/>
              </w:rPr>
              <w:t>Cultural and creative activity refers to the economic activity generated from the production and support of goods and services created by cultural and artistic means.</w:t>
            </w:r>
          </w:p>
          <w:p w14:paraId="20685B00" w14:textId="77777777" w:rsidR="00C625CA" w:rsidRPr="00C16DC9" w:rsidRDefault="00130097">
            <w:pPr>
              <w:pStyle w:val="Introduction"/>
              <w:rPr>
                <w:color w:val="000000" w:themeColor="text1"/>
                <w:sz w:val="30"/>
                <w:szCs w:val="30"/>
              </w:rPr>
            </w:pPr>
            <w:r w:rsidRPr="00C16DC9">
              <w:rPr>
                <w:color w:val="000000" w:themeColor="text1"/>
                <w:sz w:val="30"/>
                <w:szCs w:val="30"/>
              </w:rPr>
              <w:t>This release updates estimates of the economic contribution of cultural and creative activity in Australia from 2015–16 to 2024–25.</w:t>
            </w:r>
          </w:p>
          <w:p w14:paraId="6A650E38" w14:textId="31F21DBF" w:rsidR="008A7FE4" w:rsidRPr="00C16DC9" w:rsidRDefault="00C50E00" w:rsidP="00C50E00">
            <w:pPr>
              <w:pStyle w:val="Introduction"/>
              <w:rPr>
                <w:color w:val="000000" w:themeColor="text1"/>
                <w:sz w:val="30"/>
                <w:szCs w:val="30"/>
              </w:rPr>
            </w:pPr>
            <w:r w:rsidRPr="00C16DC9">
              <w:rPr>
                <w:color w:val="000000" w:themeColor="text1"/>
                <w:sz w:val="30"/>
                <w:szCs w:val="30"/>
              </w:rPr>
              <w:t xml:space="preserve">All data tables presented in the statistical report are also available in </w:t>
            </w:r>
            <w:r w:rsidR="00212B1F" w:rsidRPr="00C16DC9">
              <w:rPr>
                <w:color w:val="000000" w:themeColor="text1"/>
                <w:sz w:val="30"/>
                <w:szCs w:val="30"/>
              </w:rPr>
              <w:t>Excel</w:t>
            </w:r>
            <w:r w:rsidRPr="00C16DC9">
              <w:rPr>
                <w:color w:val="000000" w:themeColor="text1"/>
                <w:sz w:val="30"/>
                <w:szCs w:val="30"/>
              </w:rPr>
              <w:t xml:space="preserve">. Further information on these updates can be found in the </w:t>
            </w:r>
            <w:r w:rsidRPr="00C16DC9">
              <w:rPr>
                <w:i/>
                <w:iCs/>
                <w:color w:val="000000" w:themeColor="text1"/>
                <w:sz w:val="30"/>
                <w:szCs w:val="30"/>
              </w:rPr>
              <w:t>FAQ: Cultural and Creative Activity in Australia, 2015–16 to 2024–25</w:t>
            </w:r>
            <w:r w:rsidR="008A7FE4" w:rsidRPr="00C16DC9">
              <w:rPr>
                <w:color w:val="000000" w:themeColor="text1"/>
                <w:sz w:val="30"/>
                <w:szCs w:val="30"/>
              </w:rPr>
              <w:t>.</w:t>
            </w:r>
          </w:p>
          <w:p w14:paraId="3AAEB642" w14:textId="77777777" w:rsidR="008A7FE4" w:rsidRDefault="008A7FE4" w:rsidP="008A7FE4">
            <w:pPr>
              <w:suppressAutoHyphens w:val="0"/>
              <w:rPr>
                <w:lang w:val="x-none"/>
              </w:rPr>
            </w:pPr>
          </w:p>
        </w:tc>
        <w:tc>
          <w:tcPr>
            <w:tcW w:w="9613" w:type="dxa"/>
            <w:tcBorders>
              <w:left w:val="single" w:sz="4" w:space="0" w:color="auto"/>
            </w:tcBorders>
          </w:tcPr>
          <w:p w14:paraId="2F1EF3B9" w14:textId="77777777" w:rsidR="008A7FE4" w:rsidRPr="005F794B" w:rsidRDefault="008A7FE4" w:rsidP="003A26B2">
            <w:pPr>
              <w:pStyle w:val="Heading3"/>
            </w:pPr>
            <w:r>
              <w:t>Key changes</w:t>
            </w:r>
          </w:p>
          <w:p w14:paraId="675C7E9E" w14:textId="77777777" w:rsidR="00C625CA" w:rsidRDefault="00C07B75">
            <w:pPr>
              <w:ind w:left="322"/>
              <w:rPr>
                <w:color w:val="000000"/>
                <w:kern w:val="2"/>
                <w:lang w:eastAsia="en-AU"/>
                <w14:ligatures w14:val="standardContextual"/>
              </w:rPr>
            </w:pPr>
            <w:r w:rsidRPr="00C07B75">
              <w:rPr>
                <w:sz w:val="26"/>
                <w:szCs w:val="26"/>
                <w:lang w:val="x-none"/>
              </w:rPr>
              <w:t xml:space="preserve">Cultural and creative activity remains a significant part of Australia’s economy, growing to </w:t>
            </w:r>
            <w:r w:rsidRPr="00C07B75">
              <w:rPr>
                <w:b/>
                <w:bCs/>
                <w:sz w:val="26"/>
                <w:szCs w:val="26"/>
                <w:lang w:val="x-none"/>
              </w:rPr>
              <w:t>$70.3 billion in 2024–25</w:t>
            </w:r>
            <w:r w:rsidRPr="00C07B75">
              <w:rPr>
                <w:sz w:val="26"/>
                <w:szCs w:val="26"/>
                <w:lang w:val="x-none"/>
              </w:rPr>
              <w:t>, an increase of $22.5 billion, or 47.0%, over the period from 2015–16 to 2024–25.</w:t>
            </w:r>
          </w:p>
          <w:p w14:paraId="1A3C6BB1" w14:textId="77777777" w:rsidR="008A7FE4" w:rsidRDefault="008A7FE4">
            <w:pPr>
              <w:suppressAutoHyphens w:val="0"/>
              <w:rPr>
                <w:lang w:val="x-none"/>
              </w:rPr>
            </w:pPr>
          </w:p>
          <w:p w14:paraId="7CA200FD" w14:textId="43CA8A0F" w:rsidR="008E1B2C" w:rsidRPr="00AD6A18" w:rsidRDefault="00CB0FDE" w:rsidP="009F70F6">
            <w:pPr>
              <w:suppressAutoHyphens w:val="0"/>
              <w:ind w:left="-103" w:firstLine="425"/>
              <w:rPr>
                <w:sz w:val="26"/>
                <w:szCs w:val="26"/>
              </w:rPr>
            </w:pPr>
            <w:r w:rsidRPr="00AD6A18">
              <w:rPr>
                <w:b/>
                <w:bCs/>
                <w:sz w:val="26"/>
                <w:szCs w:val="26"/>
              </w:rPr>
              <w:t xml:space="preserve">Chart 1: Cultural and creative activity, </w:t>
            </w:r>
            <w:r w:rsidR="00C50E00">
              <w:rPr>
                <w:b/>
                <w:bCs/>
                <w:sz w:val="26"/>
                <w:szCs w:val="26"/>
              </w:rPr>
              <w:t>2015–16 and 2024–25</w:t>
            </w:r>
          </w:p>
          <w:p w14:paraId="3EDB1917" w14:textId="7D1DDB83" w:rsidR="008E1B2C" w:rsidRDefault="00FA5715" w:rsidP="00CB0FDE">
            <w:pPr>
              <w:suppressAutoHyphens w:val="0"/>
              <w:ind w:firstLine="322"/>
              <w:rPr>
                <w:lang w:val="x-none"/>
              </w:rPr>
            </w:pPr>
            <w:r w:rsidRPr="00FA5715">
              <w:rPr>
                <w:noProof/>
                <w:lang w:val="x-none"/>
              </w:rPr>
              <w:drawing>
                <wp:inline distT="0" distB="0" distL="0" distR="0" wp14:anchorId="7D7B3582" wp14:editId="010C2CDF">
                  <wp:extent cx="5748559" cy="2237105"/>
                  <wp:effectExtent l="0" t="0" r="5080" b="0"/>
                  <wp:docPr id="172329104" name="Picture 1" descr="Between 2015–16 and 2024–25, cultural and creative activity in Australia grew to $70.3 billion, an increase of $22.5 billion (or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29104" name="Picture 1" descr="Between 2015–16 and 2024–25, cultural and creative activity in Australia grew to $70.3 billion, an increase of $22.5 billion (or 47.0%)."/>
                          <pic:cNvPicPr/>
                        </pic:nvPicPr>
                        <pic:blipFill>
                          <a:blip r:embed="rId15"/>
                          <a:stretch>
                            <a:fillRect/>
                          </a:stretch>
                        </pic:blipFill>
                        <pic:spPr>
                          <a:xfrm>
                            <a:off x="0" y="0"/>
                            <a:ext cx="5759030" cy="2241180"/>
                          </a:xfrm>
                          <a:prstGeom prst="rect">
                            <a:avLst/>
                          </a:prstGeom>
                        </pic:spPr>
                      </pic:pic>
                    </a:graphicData>
                  </a:graphic>
                </wp:inline>
              </w:drawing>
            </w:r>
          </w:p>
          <w:p w14:paraId="5A1ACFF7" w14:textId="196EEC71" w:rsidR="00A365ED" w:rsidRDefault="00A365ED" w:rsidP="00A365ED">
            <w:pPr>
              <w:suppressAutoHyphens w:val="0"/>
              <w:ind w:left="605"/>
              <w:rPr>
                <w:sz w:val="18"/>
                <w:szCs w:val="18"/>
              </w:rPr>
            </w:pPr>
            <w:r w:rsidRPr="00A365ED">
              <w:rPr>
                <w:sz w:val="18"/>
                <w:szCs w:val="18"/>
              </w:rPr>
              <w:t>Source: ABS Australian System of National Accounts, Australian National Accounts: Input-Output Tables (Product Details); Australian National Accounts: Supply Use Tables; BCARR calculations.</w:t>
            </w:r>
          </w:p>
          <w:p w14:paraId="4F7161AC" w14:textId="2EA11569" w:rsidR="0062395B" w:rsidRDefault="0062395B" w:rsidP="00A365ED">
            <w:pPr>
              <w:suppressAutoHyphens w:val="0"/>
              <w:ind w:left="605"/>
              <w:rPr>
                <w:sz w:val="18"/>
                <w:szCs w:val="18"/>
              </w:rPr>
            </w:pPr>
          </w:p>
          <w:p w14:paraId="5B92CB8E" w14:textId="11B3F5A5" w:rsidR="00A365ED" w:rsidRPr="00A365ED" w:rsidRDefault="00C625CA" w:rsidP="00C16DC9">
            <w:r>
              <w:rPr>
                <w:sz w:val="18"/>
                <w:szCs w:val="18"/>
              </w:rPr>
              <w:t xml:space="preserve">Note: </w:t>
            </w:r>
            <w:r w:rsidRPr="0062395B">
              <w:rPr>
                <w:sz w:val="18"/>
                <w:szCs w:val="18"/>
              </w:rPr>
              <w:t>Estimates and their components in this document have been rounded</w:t>
            </w:r>
            <w:r w:rsidR="00622946" w:rsidRPr="00622946">
              <w:rPr>
                <w:sz w:val="18"/>
                <w:szCs w:val="18"/>
              </w:rPr>
              <w:t>,</w:t>
            </w:r>
            <w:r w:rsidRPr="0062395B">
              <w:rPr>
                <w:sz w:val="18"/>
                <w:szCs w:val="18"/>
              </w:rPr>
              <w:t xml:space="preserve"> and discrepancies may occur between sums of component items and totals. Analysis featured in this release is based on unrounded data. Calculations based on rounded data may differ </w:t>
            </w:r>
            <w:r w:rsidR="00622946" w:rsidRPr="00622946">
              <w:rPr>
                <w:sz w:val="18"/>
                <w:szCs w:val="18"/>
              </w:rPr>
              <w:t>from</w:t>
            </w:r>
            <w:r w:rsidRPr="0062395B">
              <w:rPr>
                <w:sz w:val="18"/>
                <w:szCs w:val="18"/>
              </w:rPr>
              <w:t xml:space="preserve"> those published.</w:t>
            </w:r>
            <w:r w:rsidR="00622946" w:rsidRPr="00622946">
              <w:rPr>
                <w:sz w:val="18"/>
                <w:szCs w:val="18"/>
              </w:rPr>
              <w:t xml:space="preserve"> Growth rates are presented in nominal terms.</w:t>
            </w:r>
          </w:p>
        </w:tc>
      </w:tr>
    </w:tbl>
    <w:p w14:paraId="46F5A851" w14:textId="657F5AD2" w:rsidR="00D02062" w:rsidRDefault="00403951" w:rsidP="003A26B2">
      <w:pPr>
        <w:pStyle w:val="Heading2"/>
        <w:rPr>
          <w:b w:val="0"/>
        </w:rPr>
      </w:pPr>
      <w:r>
        <w:rPr>
          <w:lang w:val="x-none"/>
        </w:rPr>
        <w:br w:type="page"/>
      </w:r>
      <w:r w:rsidR="00A63D6C" w:rsidRPr="00A63D6C">
        <w:lastRenderedPageBreak/>
        <w:t>Cultural and creative activity, GDP by domain</w:t>
      </w:r>
    </w:p>
    <w:tbl>
      <w:tblPr>
        <w:tblStyle w:val="TableGrid"/>
        <w:tblW w:w="1531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4"/>
        <w:gridCol w:w="10206"/>
      </w:tblGrid>
      <w:tr w:rsidR="006D681A" w14:paraId="59F8EC22" w14:textId="77777777" w:rsidTr="00134936">
        <w:tc>
          <w:tcPr>
            <w:tcW w:w="5104" w:type="dxa"/>
            <w:tcBorders>
              <w:right w:val="single" w:sz="4" w:space="0" w:color="auto"/>
            </w:tcBorders>
          </w:tcPr>
          <w:p w14:paraId="133E511C" w14:textId="657DB2EC" w:rsidR="00FA5715" w:rsidRPr="001E29DA" w:rsidRDefault="00FA5715" w:rsidP="00FA5715">
            <w:pPr>
              <w:pStyle w:val="Introduction"/>
              <w:rPr>
                <w:color w:val="000000" w:themeColor="text1"/>
                <w:sz w:val="30"/>
                <w:szCs w:val="30"/>
                <w:lang w:val="en-AU"/>
              </w:rPr>
            </w:pPr>
            <w:r w:rsidRPr="001E29DA">
              <w:rPr>
                <w:color w:val="000000" w:themeColor="text1"/>
                <w:sz w:val="30"/>
                <w:szCs w:val="30"/>
              </w:rPr>
              <w:t>Most cultural and creative domains grew in nominal terms over the period from 2015–16 to 2024–25.</w:t>
            </w:r>
            <w:r w:rsidRPr="001E29DA">
              <w:rPr>
                <w:color w:val="000000" w:themeColor="text1"/>
                <w:sz w:val="30"/>
                <w:szCs w:val="30"/>
                <w:lang w:val="en-AU"/>
              </w:rPr>
              <w:t xml:space="preserve"> </w:t>
            </w:r>
          </w:p>
          <w:p w14:paraId="58BA60F5" w14:textId="16FCEC36" w:rsidR="00FA5715" w:rsidRPr="000A5EE0" w:rsidRDefault="00FA5715" w:rsidP="00FA5715">
            <w:pPr>
              <w:pStyle w:val="Introduction"/>
              <w:numPr>
                <w:ilvl w:val="0"/>
                <w:numId w:val="33"/>
              </w:numPr>
              <w:rPr>
                <w:color w:val="auto"/>
                <w:sz w:val="24"/>
                <w:szCs w:val="24"/>
                <w:lang w:val="en-AU"/>
              </w:rPr>
            </w:pPr>
            <w:r>
              <w:rPr>
                <w:b/>
                <w:bCs/>
                <w:color w:val="auto"/>
                <w:sz w:val="24"/>
                <w:szCs w:val="24"/>
                <w:lang w:val="en-AU"/>
              </w:rPr>
              <w:t xml:space="preserve">Advertising and promotion </w:t>
            </w:r>
            <w:r>
              <w:rPr>
                <w:color w:val="auto"/>
                <w:sz w:val="24"/>
                <w:szCs w:val="24"/>
                <w:lang w:val="en-AU"/>
              </w:rPr>
              <w:t xml:space="preserve">grew strongly over the period (↑$6.9 billion). </w:t>
            </w:r>
          </w:p>
          <w:p w14:paraId="3D870054" w14:textId="72E78A4B" w:rsidR="00FA5715" w:rsidRPr="00C16DC9" w:rsidRDefault="00FA5715" w:rsidP="00C16DC9">
            <w:pPr>
              <w:pStyle w:val="Introduction"/>
              <w:numPr>
                <w:ilvl w:val="0"/>
                <w:numId w:val="33"/>
              </w:numPr>
              <w:rPr>
                <w:color w:val="auto"/>
                <w:sz w:val="24"/>
                <w:szCs w:val="24"/>
                <w:lang w:val="en-AU"/>
              </w:rPr>
            </w:pPr>
            <w:r>
              <w:rPr>
                <w:b/>
                <w:bCs/>
                <w:color w:val="auto"/>
                <w:sz w:val="24"/>
                <w:szCs w:val="24"/>
                <w:lang w:val="en-AU"/>
              </w:rPr>
              <w:t xml:space="preserve">Print media and publishing (excl. internet) </w:t>
            </w:r>
            <w:r>
              <w:rPr>
                <w:bCs/>
                <w:color w:val="auto"/>
                <w:sz w:val="24"/>
                <w:szCs w:val="24"/>
                <w:lang w:val="en-AU"/>
              </w:rPr>
              <w:t>also</w:t>
            </w:r>
            <w:r>
              <w:rPr>
                <w:b/>
                <w:bCs/>
                <w:color w:val="auto"/>
                <w:sz w:val="24"/>
                <w:szCs w:val="24"/>
                <w:lang w:val="en-AU"/>
              </w:rPr>
              <w:t xml:space="preserve"> </w:t>
            </w:r>
            <w:r>
              <w:rPr>
                <w:color w:val="auto"/>
                <w:sz w:val="24"/>
                <w:szCs w:val="24"/>
                <w:lang w:val="en-AU"/>
              </w:rPr>
              <w:t>grew over the period (↑$6.7 billion).</w:t>
            </w:r>
            <w:r w:rsidR="00B468BA" w:rsidRPr="00C16DC9">
              <w:rPr>
                <w:color w:val="auto"/>
                <w:sz w:val="24"/>
                <w:szCs w:val="24"/>
              </w:rPr>
              <w:t xml:space="preserve"> </w:t>
            </w:r>
            <w:r w:rsidRPr="00C16DC9">
              <w:rPr>
                <w:color w:val="auto"/>
                <w:sz w:val="24"/>
                <w:szCs w:val="24"/>
                <w:lang w:val="en-AU"/>
              </w:rPr>
              <w:t xml:space="preserve">The increase was mainly driven by </w:t>
            </w:r>
            <w:r w:rsidR="00B468BA" w:rsidRPr="00C16DC9">
              <w:rPr>
                <w:color w:val="auto"/>
                <w:sz w:val="24"/>
                <w:szCs w:val="24"/>
                <w:lang w:val="en-AU"/>
              </w:rPr>
              <w:t xml:space="preserve">strong growth in </w:t>
            </w:r>
            <w:r w:rsidRPr="00C16DC9">
              <w:rPr>
                <w:color w:val="auto"/>
                <w:sz w:val="24"/>
                <w:szCs w:val="24"/>
                <w:lang w:val="en-AU"/>
              </w:rPr>
              <w:t xml:space="preserve">software publishing in recent years, </w:t>
            </w:r>
            <w:r w:rsidR="00B468BA" w:rsidRPr="00C16DC9">
              <w:rPr>
                <w:color w:val="auto"/>
                <w:sz w:val="24"/>
                <w:szCs w:val="24"/>
                <w:lang w:val="en-AU"/>
              </w:rPr>
              <w:t xml:space="preserve">partly </w:t>
            </w:r>
            <w:r w:rsidRPr="00C16DC9">
              <w:rPr>
                <w:color w:val="auto"/>
                <w:sz w:val="24"/>
                <w:szCs w:val="24"/>
                <w:lang w:val="en-AU"/>
              </w:rPr>
              <w:t xml:space="preserve">offset by </w:t>
            </w:r>
            <w:r w:rsidR="00B468BA" w:rsidRPr="00C16DC9">
              <w:rPr>
                <w:color w:val="auto"/>
                <w:sz w:val="24"/>
                <w:szCs w:val="24"/>
                <w:lang w:val="en-AU"/>
              </w:rPr>
              <w:t xml:space="preserve">declines </w:t>
            </w:r>
            <w:r w:rsidRPr="00C16DC9">
              <w:rPr>
                <w:color w:val="auto"/>
                <w:sz w:val="24"/>
                <w:szCs w:val="24"/>
                <w:lang w:val="en-AU"/>
              </w:rPr>
              <w:t>in newspaper, magazine and other periodic publishing.</w:t>
            </w:r>
          </w:p>
          <w:p w14:paraId="7F245F91" w14:textId="37B153AF" w:rsidR="00FA5715" w:rsidRPr="00181F8F" w:rsidRDefault="00FE317A" w:rsidP="00FA5715">
            <w:pPr>
              <w:pStyle w:val="Introduction"/>
              <w:numPr>
                <w:ilvl w:val="0"/>
                <w:numId w:val="33"/>
              </w:numPr>
              <w:spacing w:after="0"/>
              <w:rPr>
                <w:b/>
                <w:bCs/>
                <w:color w:val="auto"/>
                <w:sz w:val="24"/>
                <w:szCs w:val="24"/>
                <w:lang w:val="en-AU"/>
              </w:rPr>
            </w:pPr>
            <w:r>
              <w:rPr>
                <w:b/>
                <w:bCs/>
                <w:color w:val="auto"/>
                <w:sz w:val="24"/>
                <w:szCs w:val="24"/>
                <w:lang w:val="en-AU"/>
              </w:rPr>
              <w:t xml:space="preserve">Design and fashion </w:t>
            </w:r>
            <w:r>
              <w:rPr>
                <w:color w:val="auto"/>
                <w:sz w:val="24"/>
                <w:szCs w:val="24"/>
                <w:lang w:val="en-AU"/>
              </w:rPr>
              <w:t xml:space="preserve">(↑$2.7 billion) and </w:t>
            </w:r>
            <w:r>
              <w:rPr>
                <w:b/>
                <w:bCs/>
                <w:color w:val="auto"/>
                <w:sz w:val="24"/>
                <w:szCs w:val="24"/>
                <w:lang w:val="en-AU"/>
              </w:rPr>
              <w:t>a</w:t>
            </w:r>
            <w:r w:rsidR="00FA5715">
              <w:rPr>
                <w:b/>
                <w:bCs/>
                <w:color w:val="auto"/>
                <w:sz w:val="24"/>
                <w:szCs w:val="24"/>
                <w:lang w:val="en-AU"/>
              </w:rPr>
              <w:t xml:space="preserve">rchitecture services </w:t>
            </w:r>
            <w:r w:rsidR="00FA5715">
              <w:rPr>
                <w:color w:val="auto"/>
                <w:sz w:val="24"/>
                <w:szCs w:val="24"/>
                <w:lang w:val="en-AU"/>
              </w:rPr>
              <w:t>(↑$2.2 billion)</w:t>
            </w:r>
            <w:r>
              <w:rPr>
                <w:color w:val="auto"/>
                <w:sz w:val="24"/>
                <w:szCs w:val="24"/>
                <w:lang w:val="en-AU"/>
              </w:rPr>
              <w:t xml:space="preserve"> </w:t>
            </w:r>
            <w:r w:rsidR="00FA5715">
              <w:rPr>
                <w:color w:val="auto"/>
                <w:sz w:val="24"/>
                <w:szCs w:val="24"/>
                <w:lang w:val="en-AU"/>
              </w:rPr>
              <w:t>both increased in nominal terms</w:t>
            </w:r>
            <w:r w:rsidR="00B468BA">
              <w:rPr>
                <w:color w:val="auto"/>
                <w:sz w:val="24"/>
                <w:szCs w:val="24"/>
                <w:lang w:val="en-AU"/>
              </w:rPr>
              <w:t xml:space="preserve"> over the period</w:t>
            </w:r>
            <w:r w:rsidR="00FA5715">
              <w:rPr>
                <w:color w:val="auto"/>
                <w:sz w:val="24"/>
                <w:szCs w:val="24"/>
                <w:lang w:val="en-AU"/>
              </w:rPr>
              <w:t>.</w:t>
            </w:r>
          </w:p>
          <w:p w14:paraId="31734D2A" w14:textId="28E444E8" w:rsidR="00FA5715" w:rsidRPr="000A5EE0" w:rsidRDefault="00FA5715" w:rsidP="00FA5715">
            <w:pPr>
              <w:pStyle w:val="Introduction"/>
              <w:numPr>
                <w:ilvl w:val="0"/>
                <w:numId w:val="33"/>
              </w:numPr>
              <w:spacing w:before="160" w:after="160"/>
              <w:rPr>
                <w:lang w:val="en-AU"/>
              </w:rPr>
            </w:pPr>
            <w:r>
              <w:rPr>
                <w:b/>
                <w:color w:val="auto"/>
                <w:sz w:val="24"/>
                <w:szCs w:val="24"/>
                <w:lang w:val="en-AU"/>
              </w:rPr>
              <w:t>Film and television activities</w:t>
            </w:r>
            <w:r>
              <w:rPr>
                <w:color w:val="auto"/>
                <w:sz w:val="24"/>
                <w:szCs w:val="24"/>
                <w:lang w:val="en-AU"/>
              </w:rPr>
              <w:t xml:space="preserve"> were valued at $7.3 billion, with their share of total cultural and creative activity GDP </w:t>
            </w:r>
            <w:r w:rsidR="00212B1F">
              <w:rPr>
                <w:color w:val="auto"/>
                <w:sz w:val="24"/>
                <w:szCs w:val="24"/>
                <w:lang w:val="en-AU"/>
              </w:rPr>
              <w:t xml:space="preserve">declining </w:t>
            </w:r>
            <w:r>
              <w:rPr>
                <w:color w:val="auto"/>
                <w:sz w:val="24"/>
                <w:szCs w:val="24"/>
                <w:lang w:val="en-AU"/>
              </w:rPr>
              <w:t xml:space="preserve">from 16.7% to 10.4% over the 10-year period. </w:t>
            </w:r>
          </w:p>
          <w:p w14:paraId="5320FB5F" w14:textId="77777777" w:rsidR="00A63D6C" w:rsidRPr="00FA5715" w:rsidRDefault="00A63D6C" w:rsidP="00937687">
            <w:pPr>
              <w:suppressAutoHyphens w:val="0"/>
            </w:pPr>
          </w:p>
        </w:tc>
        <w:tc>
          <w:tcPr>
            <w:tcW w:w="10206" w:type="dxa"/>
            <w:tcBorders>
              <w:left w:val="single" w:sz="4" w:space="0" w:color="auto"/>
            </w:tcBorders>
          </w:tcPr>
          <w:p w14:paraId="43143021" w14:textId="77777777" w:rsidR="00A63D6C" w:rsidRDefault="00A63D6C" w:rsidP="00937687">
            <w:pPr>
              <w:suppressAutoHyphens w:val="0"/>
              <w:rPr>
                <w:lang w:val="x-none"/>
              </w:rPr>
            </w:pPr>
          </w:p>
          <w:p w14:paraId="6A8EA93B" w14:textId="77777777" w:rsidR="00FA5715" w:rsidRDefault="00FA5715" w:rsidP="00FA5715">
            <w:pPr>
              <w:suppressAutoHyphens w:val="0"/>
              <w:ind w:left="-103"/>
              <w:jc w:val="center"/>
              <w:rPr>
                <w:b/>
                <w:bCs/>
                <w:sz w:val="26"/>
                <w:szCs w:val="26"/>
              </w:rPr>
            </w:pPr>
            <w:r>
              <w:rPr>
                <w:b/>
                <w:bCs/>
                <w:sz w:val="26"/>
                <w:szCs w:val="26"/>
              </w:rPr>
              <w:t xml:space="preserve">Chart 2: Contribution to cultural and creative activity, GDP by domain, </w:t>
            </w:r>
          </w:p>
          <w:p w14:paraId="7C9063DC" w14:textId="39BFE612" w:rsidR="00FF3B5A" w:rsidRPr="00D20D47" w:rsidRDefault="00FA5715" w:rsidP="008D6B55">
            <w:pPr>
              <w:suppressAutoHyphens w:val="0"/>
              <w:spacing w:after="160"/>
              <w:ind w:left="-102"/>
              <w:jc w:val="center"/>
              <w:rPr>
                <w:b/>
                <w:bCs/>
                <w:sz w:val="26"/>
                <w:szCs w:val="26"/>
              </w:rPr>
            </w:pPr>
            <w:r>
              <w:rPr>
                <w:b/>
                <w:bCs/>
                <w:sz w:val="26"/>
                <w:szCs w:val="26"/>
              </w:rPr>
              <w:t>2015–16 and 2024–25</w:t>
            </w:r>
          </w:p>
          <w:p w14:paraId="418AE18B" w14:textId="6D0145EB" w:rsidR="00A63D6C" w:rsidRPr="008D6B55" w:rsidRDefault="008D6B55" w:rsidP="008D6B55">
            <w:pPr>
              <w:suppressAutoHyphens w:val="0"/>
              <w:ind w:left="-103" w:firstLine="425"/>
            </w:pPr>
            <w:r>
              <w:rPr>
                <w:noProof/>
              </w:rPr>
              <w:drawing>
                <wp:inline distT="0" distB="0" distL="0" distR="0" wp14:anchorId="5FFB86B7" wp14:editId="5EDDE46B">
                  <wp:extent cx="6275070" cy="3238500"/>
                  <wp:effectExtent l="0" t="0" r="0" b="0"/>
                  <wp:docPr id="57" name="Picture" descr="This stacked column chart shows the GDP contribution to cultural and creative activity by major domains between 2015–16 and 2024–25. The top four domains in 2024–25 are Advertising and promotion, Print media and publishing (excl. internet), Film and television activities, and Architecture services"/>
                  <wp:cNvGraphicFramePr/>
                  <a:graphic xmlns:a="http://schemas.openxmlformats.org/drawingml/2006/main">
                    <a:graphicData uri="http://schemas.openxmlformats.org/drawingml/2006/picture">
                      <pic:pic xmlns:pic="http://schemas.openxmlformats.org/drawingml/2006/picture">
                        <pic:nvPicPr>
                          <pic:cNvPr id="58" name="Picture" descr="1__CCA_Phase1_MODEL_VisualSum_Trade_20260831_files/figure-docx/unnamed-chunk-83-1.png"/>
                          <pic:cNvPicPr>
                            <a:picLocks noChangeAspect="1" noChangeArrowheads="1"/>
                          </pic:cNvPicPr>
                        </pic:nvPicPr>
                        <pic:blipFill rotWithShape="1">
                          <a:blip r:embed="rId16"/>
                          <a:srcRect r="4631"/>
                          <a:stretch>
                            <a:fillRect/>
                          </a:stretch>
                        </pic:blipFill>
                        <pic:spPr bwMode="auto">
                          <a:xfrm>
                            <a:off x="0" y="0"/>
                            <a:ext cx="6291391" cy="3246923"/>
                          </a:xfrm>
                          <a:prstGeom prst="rect">
                            <a:avLst/>
                          </a:prstGeom>
                          <a:noFill/>
                          <a:ln>
                            <a:noFill/>
                          </a:ln>
                          <a:extLst>
                            <a:ext uri="{53640926-AAD7-44D8-BBD7-CCE9431645EC}">
                              <a14:shadowObscured xmlns:a14="http://schemas.microsoft.com/office/drawing/2010/main"/>
                            </a:ext>
                          </a:extLst>
                        </pic:spPr>
                      </pic:pic>
                    </a:graphicData>
                  </a:graphic>
                </wp:inline>
              </w:drawing>
            </w:r>
          </w:p>
          <w:p w14:paraId="5479A698" w14:textId="5B0FA417" w:rsidR="00A63D6C" w:rsidRPr="00DD4919" w:rsidRDefault="00A63D6C" w:rsidP="008D6B55">
            <w:pPr>
              <w:suppressAutoHyphens w:val="0"/>
              <w:spacing w:before="160"/>
              <w:ind w:left="323"/>
              <w:rPr>
                <w:sz w:val="18"/>
                <w:szCs w:val="18"/>
              </w:rPr>
            </w:pPr>
            <w:r w:rsidRPr="00A365ED">
              <w:rPr>
                <w:sz w:val="18"/>
                <w:szCs w:val="18"/>
              </w:rPr>
              <w:t>Source: ABS Australian System of National Accounts, Australian National Accounts: Input-Output Tables (Product Details); Australian National Accounts: Supply Use Tables; BCARR calculations.</w:t>
            </w:r>
          </w:p>
        </w:tc>
      </w:tr>
    </w:tbl>
    <w:p w14:paraId="184745E8" w14:textId="681A99C7" w:rsidR="00A55B63" w:rsidRDefault="00A55B63" w:rsidP="003A26B2">
      <w:pPr>
        <w:pStyle w:val="Heading2"/>
        <w:rPr>
          <w:b w:val="0"/>
        </w:rPr>
      </w:pPr>
      <w:r w:rsidRPr="00A55B63">
        <w:lastRenderedPageBreak/>
        <w:t>Comparison with Australian industries</w:t>
      </w:r>
    </w:p>
    <w:tbl>
      <w:tblPr>
        <w:tblStyle w:val="TableGrid"/>
        <w:tblW w:w="15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10206"/>
      </w:tblGrid>
      <w:tr w:rsidR="00A55B63" w14:paraId="119E855E" w14:textId="77777777" w:rsidTr="00EA51B8">
        <w:tc>
          <w:tcPr>
            <w:tcW w:w="5103" w:type="dxa"/>
            <w:tcBorders>
              <w:right w:val="single" w:sz="4" w:space="0" w:color="auto"/>
            </w:tcBorders>
          </w:tcPr>
          <w:p w14:paraId="02DD78C1" w14:textId="77777777" w:rsidR="00FA5715" w:rsidRPr="00D004DD" w:rsidRDefault="00FA5715" w:rsidP="00FA5715">
            <w:pPr>
              <w:pStyle w:val="Introduction"/>
              <w:rPr>
                <w:bCs/>
                <w:color w:val="auto"/>
                <w:sz w:val="30"/>
                <w:szCs w:val="30"/>
              </w:rPr>
            </w:pPr>
            <w:r>
              <w:rPr>
                <w:bCs/>
                <w:color w:val="auto"/>
                <w:sz w:val="30"/>
                <w:szCs w:val="30"/>
              </w:rPr>
              <w:t>Cultural and creative activity accounted for 2.</w:t>
            </w:r>
            <w:r>
              <w:rPr>
                <w:bCs/>
                <w:color w:val="auto"/>
                <w:sz w:val="30"/>
                <w:szCs w:val="30"/>
                <w:lang w:val="en-AU"/>
              </w:rPr>
              <w:t>6</w:t>
            </w:r>
            <w:r>
              <w:rPr>
                <w:bCs/>
                <w:color w:val="auto"/>
                <w:sz w:val="30"/>
                <w:szCs w:val="30"/>
              </w:rPr>
              <w:t>% of gross value added (GVA)</w:t>
            </w:r>
            <w:r>
              <w:rPr>
                <w:bCs/>
                <w:color w:val="auto"/>
                <w:sz w:val="30"/>
                <w:szCs w:val="30"/>
                <w:vertAlign w:val="superscript"/>
              </w:rPr>
              <w:t xml:space="preserve"> 1</w:t>
            </w:r>
            <w:r>
              <w:rPr>
                <w:bCs/>
                <w:color w:val="auto"/>
                <w:sz w:val="30"/>
                <w:szCs w:val="30"/>
              </w:rPr>
              <w:t xml:space="preserve"> in the economy in 202</w:t>
            </w:r>
            <w:r>
              <w:rPr>
                <w:bCs/>
                <w:color w:val="auto"/>
                <w:sz w:val="30"/>
                <w:szCs w:val="30"/>
                <w:lang w:val="en-AU"/>
              </w:rPr>
              <w:t>4</w:t>
            </w:r>
            <w:r>
              <w:rPr>
                <w:bCs/>
                <w:color w:val="auto"/>
                <w:sz w:val="30"/>
                <w:szCs w:val="30"/>
              </w:rPr>
              <w:t>–2</w:t>
            </w:r>
            <w:r>
              <w:rPr>
                <w:bCs/>
                <w:color w:val="auto"/>
                <w:sz w:val="30"/>
                <w:szCs w:val="30"/>
                <w:lang w:val="en-AU"/>
              </w:rPr>
              <w:t>5</w:t>
            </w:r>
            <w:r>
              <w:rPr>
                <w:bCs/>
                <w:color w:val="auto"/>
                <w:sz w:val="30"/>
                <w:szCs w:val="30"/>
              </w:rPr>
              <w:t xml:space="preserve">. </w:t>
            </w:r>
          </w:p>
          <w:p w14:paraId="422798C5" w14:textId="58343413" w:rsidR="00A55B63" w:rsidRPr="00D004DD" w:rsidRDefault="00FA5715" w:rsidP="00A55B63">
            <w:pPr>
              <w:pStyle w:val="Introduction"/>
              <w:rPr>
                <w:bCs/>
                <w:color w:val="auto"/>
                <w:sz w:val="30"/>
                <w:szCs w:val="30"/>
              </w:rPr>
            </w:pPr>
            <w:r>
              <w:rPr>
                <w:bCs/>
                <w:color w:val="auto"/>
                <w:sz w:val="30"/>
                <w:szCs w:val="30"/>
              </w:rPr>
              <w:t xml:space="preserve">This is comparable to the size of the </w:t>
            </w:r>
            <w:r w:rsidR="001B1CB8">
              <w:rPr>
                <w:bCs/>
                <w:color w:val="auto"/>
                <w:sz w:val="30"/>
                <w:szCs w:val="30"/>
              </w:rPr>
              <w:t>a</w:t>
            </w:r>
            <w:r>
              <w:rPr>
                <w:bCs/>
                <w:color w:val="auto"/>
                <w:sz w:val="30"/>
                <w:szCs w:val="30"/>
              </w:rPr>
              <w:t xml:space="preserve">ccommodation and </w:t>
            </w:r>
            <w:r w:rsidR="001B1CB8">
              <w:rPr>
                <w:bCs/>
                <w:color w:val="auto"/>
                <w:sz w:val="30"/>
                <w:szCs w:val="30"/>
              </w:rPr>
              <w:t>f</w:t>
            </w:r>
            <w:r>
              <w:rPr>
                <w:bCs/>
                <w:color w:val="auto"/>
                <w:sz w:val="30"/>
                <w:szCs w:val="30"/>
              </w:rPr>
              <w:t xml:space="preserve">ood </w:t>
            </w:r>
            <w:r w:rsidR="00212B1F">
              <w:rPr>
                <w:bCs/>
                <w:color w:val="auto"/>
                <w:sz w:val="30"/>
                <w:szCs w:val="30"/>
              </w:rPr>
              <w:t>s</w:t>
            </w:r>
            <w:r>
              <w:rPr>
                <w:bCs/>
                <w:color w:val="auto"/>
                <w:sz w:val="30"/>
                <w:szCs w:val="30"/>
              </w:rPr>
              <w:t>ervices industry at 2.6%.</w:t>
            </w:r>
          </w:p>
          <w:p w14:paraId="27C9D38B" w14:textId="38A9FF48" w:rsidR="001C5DBE" w:rsidRPr="00D004DD" w:rsidRDefault="00A55B63" w:rsidP="008E2D20">
            <w:pPr>
              <w:pStyle w:val="Introduction"/>
              <w:rPr>
                <w:bCs/>
                <w:color w:val="auto"/>
                <w:sz w:val="30"/>
                <w:szCs w:val="30"/>
              </w:rPr>
            </w:pPr>
            <w:r w:rsidRPr="00D004DD">
              <w:rPr>
                <w:bCs/>
                <w:color w:val="auto"/>
                <w:sz w:val="30"/>
                <w:szCs w:val="30"/>
              </w:rPr>
              <w:t xml:space="preserve">Note: Cultural and creative activity is not an industry division, but rather includes output produced by many industries across the economy, including output from the </w:t>
            </w:r>
            <w:r w:rsidR="001B1CB8">
              <w:rPr>
                <w:bCs/>
                <w:color w:val="auto"/>
                <w:sz w:val="30"/>
                <w:szCs w:val="30"/>
              </w:rPr>
              <w:t>a</w:t>
            </w:r>
            <w:r w:rsidRPr="00D004DD">
              <w:rPr>
                <w:bCs/>
                <w:color w:val="auto"/>
                <w:sz w:val="30"/>
                <w:szCs w:val="30"/>
              </w:rPr>
              <w:t xml:space="preserve">rts and </w:t>
            </w:r>
            <w:r w:rsidR="001B1CB8">
              <w:rPr>
                <w:bCs/>
                <w:color w:val="auto"/>
                <w:sz w:val="30"/>
                <w:szCs w:val="30"/>
              </w:rPr>
              <w:t>r</w:t>
            </w:r>
            <w:r w:rsidRPr="00D004DD">
              <w:rPr>
                <w:bCs/>
                <w:color w:val="auto"/>
                <w:sz w:val="30"/>
                <w:szCs w:val="30"/>
              </w:rPr>
              <w:t xml:space="preserve">ecreation </w:t>
            </w:r>
            <w:r w:rsidR="001B1CB8">
              <w:rPr>
                <w:bCs/>
                <w:color w:val="auto"/>
                <w:sz w:val="30"/>
                <w:szCs w:val="30"/>
              </w:rPr>
              <w:t>s</w:t>
            </w:r>
            <w:r w:rsidRPr="00D004DD">
              <w:rPr>
                <w:bCs/>
                <w:color w:val="auto"/>
                <w:sz w:val="30"/>
                <w:szCs w:val="30"/>
              </w:rPr>
              <w:t>ervices division as well as from other industries profiled in this chart.</w:t>
            </w:r>
          </w:p>
          <w:p w14:paraId="6988BD6C" w14:textId="710C0D30" w:rsidR="00A55B63" w:rsidRPr="001C5DBE" w:rsidRDefault="00A55B63" w:rsidP="001C5DBE">
            <w:pPr>
              <w:pStyle w:val="Introduction"/>
              <w:rPr>
                <w:bCs/>
                <w:color w:val="auto"/>
                <w:sz w:val="18"/>
                <w:szCs w:val="18"/>
                <w:lang w:val="en-AU"/>
              </w:rPr>
            </w:pPr>
            <w:r w:rsidRPr="00A55B63">
              <w:rPr>
                <w:bCs/>
                <w:color w:val="auto"/>
                <w:sz w:val="18"/>
                <w:szCs w:val="18"/>
                <w:vertAlign w:val="superscript"/>
                <w:lang w:val="en-AU"/>
              </w:rPr>
              <w:t xml:space="preserve">1 </w:t>
            </w:r>
            <w:r w:rsidRPr="00A55B63">
              <w:rPr>
                <w:bCs/>
                <w:color w:val="auto"/>
                <w:sz w:val="18"/>
                <w:szCs w:val="18"/>
                <w:lang w:val="en-AU"/>
              </w:rPr>
              <w:t xml:space="preserve">GVA is a measure of the contribution to domestic production made by an individual producer, industry or sector. This is the value of output less the value of the goods and services used up in the process of production. By excluding net taxes, GVA provides a more accurate measure of economic activity by industry than gross domestic product (GDP). </w:t>
            </w:r>
          </w:p>
        </w:tc>
        <w:tc>
          <w:tcPr>
            <w:tcW w:w="10206" w:type="dxa"/>
            <w:tcBorders>
              <w:left w:val="single" w:sz="4" w:space="0" w:color="auto"/>
            </w:tcBorders>
          </w:tcPr>
          <w:p w14:paraId="3DD7D8A9" w14:textId="77777777" w:rsidR="00A55B63" w:rsidRDefault="00A55B63" w:rsidP="008E2D20">
            <w:pPr>
              <w:suppressAutoHyphens w:val="0"/>
              <w:rPr>
                <w:lang w:val="x-none"/>
              </w:rPr>
            </w:pPr>
          </w:p>
          <w:p w14:paraId="1C9FB1F9" w14:textId="7FE0AFA9" w:rsidR="00A55B63" w:rsidRPr="00AD6A18" w:rsidRDefault="00A55B63" w:rsidP="008E2D20">
            <w:pPr>
              <w:suppressAutoHyphens w:val="0"/>
              <w:ind w:left="-103" w:firstLine="425"/>
              <w:rPr>
                <w:b/>
                <w:bCs/>
                <w:sz w:val="26"/>
                <w:szCs w:val="26"/>
              </w:rPr>
            </w:pPr>
            <w:r w:rsidRPr="00AD6A18">
              <w:rPr>
                <w:b/>
                <w:bCs/>
                <w:sz w:val="26"/>
                <w:szCs w:val="26"/>
              </w:rPr>
              <w:t xml:space="preserve">Chart 3: </w:t>
            </w:r>
            <w:r w:rsidR="00FA5715">
              <w:rPr>
                <w:b/>
                <w:bCs/>
                <w:sz w:val="26"/>
                <w:szCs w:val="26"/>
              </w:rPr>
              <w:t>Cultural and creative activity GVA and industry share of total economy, 2024–25</w:t>
            </w:r>
          </w:p>
          <w:p w14:paraId="357B6A7C" w14:textId="77777777" w:rsidR="00A55B63" w:rsidRDefault="00A55B63" w:rsidP="008E2D20">
            <w:pPr>
              <w:suppressAutoHyphens w:val="0"/>
              <w:ind w:left="-103" w:firstLine="425"/>
            </w:pPr>
          </w:p>
          <w:p w14:paraId="5AB0E665" w14:textId="159EAEA2" w:rsidR="00A55B63" w:rsidRPr="00CB0FDE" w:rsidRDefault="00FA5715" w:rsidP="008E2D20">
            <w:pPr>
              <w:suppressAutoHyphens w:val="0"/>
              <w:ind w:left="-103" w:firstLine="425"/>
            </w:pPr>
            <w:r w:rsidRPr="00FA5715">
              <w:rPr>
                <w:noProof/>
              </w:rPr>
              <w:drawing>
                <wp:inline distT="0" distB="0" distL="0" distR="0" wp14:anchorId="039E3773" wp14:editId="011BFAAD">
                  <wp:extent cx="5962650" cy="3637276"/>
                  <wp:effectExtent l="0" t="0" r="0" b="1905"/>
                  <wp:docPr id="1655809306" name="Picture 1" descr="This is a bar chart showing that cultural and creative activity made up 2.6% of GVA in 2024–25, comparable to the Accommodation and food services a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809306" name="Picture 1" descr="This is a bar chart showing that cultural and creative activity made up 2.6% of GVA in 2024–25, comparable to the Accommodation and food services at 2.6%."/>
                          <pic:cNvPicPr/>
                        </pic:nvPicPr>
                        <pic:blipFill>
                          <a:blip r:embed="rId17"/>
                          <a:stretch>
                            <a:fillRect/>
                          </a:stretch>
                        </pic:blipFill>
                        <pic:spPr>
                          <a:xfrm>
                            <a:off x="0" y="0"/>
                            <a:ext cx="5969420" cy="3641406"/>
                          </a:xfrm>
                          <a:prstGeom prst="rect">
                            <a:avLst/>
                          </a:prstGeom>
                        </pic:spPr>
                      </pic:pic>
                    </a:graphicData>
                  </a:graphic>
                </wp:inline>
              </w:drawing>
            </w:r>
          </w:p>
          <w:p w14:paraId="4F83983E" w14:textId="77777777" w:rsidR="00A55B63" w:rsidRDefault="00A55B63" w:rsidP="008E2D20">
            <w:pPr>
              <w:suppressAutoHyphens w:val="0"/>
              <w:rPr>
                <w:lang w:val="x-none"/>
              </w:rPr>
            </w:pPr>
          </w:p>
          <w:p w14:paraId="06745D6A" w14:textId="77777777" w:rsidR="00A55B63" w:rsidRPr="00A365ED" w:rsidRDefault="00A55B63" w:rsidP="008E2D20">
            <w:pPr>
              <w:suppressAutoHyphens w:val="0"/>
              <w:ind w:left="322"/>
              <w:rPr>
                <w:sz w:val="18"/>
                <w:szCs w:val="18"/>
              </w:rPr>
            </w:pPr>
            <w:r w:rsidRPr="00A365ED">
              <w:rPr>
                <w:sz w:val="18"/>
                <w:szCs w:val="18"/>
              </w:rPr>
              <w:t>Source: ABS Australian System of National Accounts, Australian National Accounts: Input-Output Tables (Product Details); Australian National Accounts: Supply Use Tables; BCARR calculations.</w:t>
            </w:r>
          </w:p>
          <w:p w14:paraId="39306BA6" w14:textId="77777777" w:rsidR="00A55B63" w:rsidRPr="00A365ED" w:rsidRDefault="00A55B63" w:rsidP="008E2D20">
            <w:pPr>
              <w:suppressAutoHyphens w:val="0"/>
              <w:ind w:firstLine="322"/>
            </w:pPr>
          </w:p>
        </w:tc>
      </w:tr>
    </w:tbl>
    <w:p w14:paraId="31B48CF2" w14:textId="77777777" w:rsidR="00FA5715" w:rsidRDefault="00FA5715" w:rsidP="00020178"/>
    <w:p w14:paraId="0CA0F076" w14:textId="77777777" w:rsidR="00FA5715" w:rsidRDefault="00FA5715">
      <w:pPr>
        <w:suppressAutoHyphens w:val="0"/>
        <w:rPr>
          <w:rFonts w:asciiTheme="majorHAnsi" w:eastAsiaTheme="majorEastAsia" w:hAnsiTheme="majorHAnsi" w:cstheme="majorBidi"/>
          <w:b/>
          <w:color w:val="081E3E" w:themeColor="text2"/>
          <w:sz w:val="36"/>
          <w:szCs w:val="26"/>
        </w:rPr>
      </w:pPr>
      <w:r>
        <w:br w:type="page"/>
      </w:r>
    </w:p>
    <w:p w14:paraId="3BFC8CD3" w14:textId="62596789" w:rsidR="00A55B63" w:rsidRPr="00FA5715" w:rsidRDefault="00A55B63" w:rsidP="00FA5715">
      <w:pPr>
        <w:pStyle w:val="Heading2"/>
        <w:rPr>
          <w:b w:val="0"/>
        </w:rPr>
      </w:pPr>
      <w:r w:rsidRPr="00A55B63">
        <w:lastRenderedPageBreak/>
        <w:t>GVA average annual growth rate by industry division, 20</w:t>
      </w:r>
      <w:r w:rsidR="001C5DBE">
        <w:t>1</w:t>
      </w:r>
      <w:r w:rsidR="00044ED3">
        <w:t>5</w:t>
      </w:r>
      <w:r w:rsidRPr="00A55B63">
        <w:t>–</w:t>
      </w:r>
      <w:r w:rsidR="001C5DBE">
        <w:t>1</w:t>
      </w:r>
      <w:r w:rsidR="00044ED3">
        <w:t>6</w:t>
      </w:r>
      <w:r w:rsidRPr="00A55B63">
        <w:t xml:space="preserve"> to 202</w:t>
      </w:r>
      <w:r w:rsidR="00044ED3">
        <w:t>4</w:t>
      </w:r>
      <w:r w:rsidRPr="00A55B63">
        <w:t>–2</w:t>
      </w:r>
      <w:r w:rsidR="00044ED3">
        <w:t>5</w:t>
      </w:r>
    </w:p>
    <w:tbl>
      <w:tblPr>
        <w:tblStyle w:val="TableGrid"/>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9498"/>
      </w:tblGrid>
      <w:tr w:rsidR="00A55B63" w14:paraId="7E1B4C92" w14:textId="77777777" w:rsidTr="00A17B2F">
        <w:tc>
          <w:tcPr>
            <w:tcW w:w="5103" w:type="dxa"/>
            <w:tcBorders>
              <w:right w:val="single" w:sz="4" w:space="0" w:color="auto"/>
            </w:tcBorders>
          </w:tcPr>
          <w:p w14:paraId="0007C025" w14:textId="77777777" w:rsidR="00C625CA" w:rsidRDefault="00C13219">
            <w:pPr>
              <w:pStyle w:val="Introduction"/>
              <w:spacing w:before="300"/>
              <w:rPr>
                <w:kern w:val="2"/>
                <w:szCs w:val="26"/>
                <w:lang w:eastAsia="en-AU"/>
                <w14:ligatures w14:val="standardContextual"/>
              </w:rPr>
            </w:pPr>
            <w:r w:rsidRPr="00C13219">
              <w:rPr>
                <w:color w:val="auto"/>
                <w:sz w:val="30"/>
                <w:szCs w:val="30"/>
              </w:rPr>
              <w:t xml:space="preserve">The Australian economy has been supported by strong growth in mining, buoyed by high commodity prices, and the health care and social assistance industry, supported by an ageing population. </w:t>
            </w:r>
          </w:p>
          <w:p w14:paraId="50018701" w14:textId="3228AC50" w:rsidR="006C77B9" w:rsidRDefault="001C5DBE" w:rsidP="008E2D20">
            <w:pPr>
              <w:pStyle w:val="Introduction"/>
              <w:rPr>
                <w:bCs/>
                <w:color w:val="auto"/>
                <w:sz w:val="30"/>
                <w:szCs w:val="30"/>
                <w:lang w:val="en-AU"/>
              </w:rPr>
            </w:pPr>
            <w:r w:rsidRPr="00D004DD">
              <w:rPr>
                <w:bCs/>
                <w:color w:val="auto"/>
                <w:sz w:val="30"/>
                <w:szCs w:val="30"/>
                <w:lang w:val="en-AU"/>
              </w:rPr>
              <w:t xml:space="preserve">From </w:t>
            </w:r>
            <w:r w:rsidR="00044ED3" w:rsidRPr="00044ED3">
              <w:rPr>
                <w:bCs/>
                <w:color w:val="auto"/>
                <w:sz w:val="30"/>
                <w:szCs w:val="30"/>
                <w:lang w:val="en-AU"/>
              </w:rPr>
              <w:t>2015–16 to 2024–25</w:t>
            </w:r>
            <w:r w:rsidRPr="00D004DD">
              <w:rPr>
                <w:bCs/>
                <w:color w:val="auto"/>
                <w:sz w:val="30"/>
                <w:szCs w:val="30"/>
                <w:lang w:val="en-AU"/>
              </w:rPr>
              <w:t>, the average annual GVA growth was 13.</w:t>
            </w:r>
            <w:r w:rsidR="00347328">
              <w:rPr>
                <w:bCs/>
                <w:color w:val="auto"/>
                <w:sz w:val="30"/>
                <w:szCs w:val="30"/>
                <w:lang w:val="en-AU"/>
              </w:rPr>
              <w:t>1</w:t>
            </w:r>
            <w:r w:rsidRPr="00D004DD">
              <w:rPr>
                <w:bCs/>
                <w:color w:val="auto"/>
                <w:sz w:val="30"/>
                <w:szCs w:val="30"/>
                <w:lang w:val="en-AU"/>
              </w:rPr>
              <w:t xml:space="preserve">% </w:t>
            </w:r>
            <w:r w:rsidR="00454E3B">
              <w:rPr>
                <w:bCs/>
                <w:color w:val="auto"/>
                <w:sz w:val="30"/>
                <w:szCs w:val="30"/>
                <w:lang w:val="en-AU"/>
              </w:rPr>
              <w:t>for</w:t>
            </w:r>
            <w:r w:rsidR="00454E3B" w:rsidRPr="00D004DD">
              <w:rPr>
                <w:bCs/>
                <w:color w:val="auto"/>
                <w:sz w:val="30"/>
                <w:szCs w:val="30"/>
                <w:lang w:val="en-AU"/>
              </w:rPr>
              <w:t xml:space="preserve"> </w:t>
            </w:r>
            <w:r w:rsidR="00347328">
              <w:rPr>
                <w:bCs/>
                <w:color w:val="auto"/>
                <w:sz w:val="30"/>
                <w:szCs w:val="30"/>
                <w:lang w:val="en-AU"/>
              </w:rPr>
              <w:t>m</w:t>
            </w:r>
            <w:r w:rsidRPr="00D004DD">
              <w:rPr>
                <w:bCs/>
                <w:color w:val="auto"/>
                <w:sz w:val="30"/>
                <w:szCs w:val="30"/>
                <w:lang w:val="en-AU"/>
              </w:rPr>
              <w:t xml:space="preserve">ining, </w:t>
            </w:r>
            <w:r w:rsidR="00F7728C">
              <w:rPr>
                <w:bCs/>
                <w:color w:val="auto"/>
                <w:sz w:val="30"/>
                <w:szCs w:val="30"/>
                <w:lang w:val="en-AU"/>
              </w:rPr>
              <w:t xml:space="preserve">and </w:t>
            </w:r>
            <w:r w:rsidR="00347328">
              <w:rPr>
                <w:bCs/>
                <w:color w:val="auto"/>
                <w:sz w:val="30"/>
                <w:szCs w:val="30"/>
                <w:lang w:val="en-AU"/>
              </w:rPr>
              <w:t>8.0</w:t>
            </w:r>
            <w:r w:rsidRPr="00D004DD">
              <w:rPr>
                <w:bCs/>
                <w:color w:val="auto"/>
                <w:sz w:val="30"/>
                <w:szCs w:val="30"/>
                <w:lang w:val="en-AU"/>
              </w:rPr>
              <w:t xml:space="preserve">% </w:t>
            </w:r>
            <w:r w:rsidR="00454E3B">
              <w:rPr>
                <w:bCs/>
                <w:color w:val="auto"/>
                <w:sz w:val="30"/>
                <w:szCs w:val="30"/>
                <w:lang w:val="en-AU"/>
              </w:rPr>
              <w:t>for</w:t>
            </w:r>
            <w:r w:rsidR="00454E3B" w:rsidRPr="00D004DD">
              <w:rPr>
                <w:bCs/>
                <w:color w:val="auto"/>
                <w:sz w:val="30"/>
                <w:szCs w:val="30"/>
                <w:lang w:val="en-AU"/>
              </w:rPr>
              <w:t xml:space="preserve"> </w:t>
            </w:r>
            <w:r w:rsidR="00347328">
              <w:rPr>
                <w:bCs/>
                <w:color w:val="auto"/>
                <w:sz w:val="30"/>
                <w:szCs w:val="30"/>
                <w:lang w:val="en-AU"/>
              </w:rPr>
              <w:t>h</w:t>
            </w:r>
            <w:r w:rsidRPr="00D004DD">
              <w:rPr>
                <w:bCs/>
                <w:color w:val="auto"/>
                <w:sz w:val="30"/>
                <w:szCs w:val="30"/>
                <w:lang w:val="en-AU"/>
              </w:rPr>
              <w:t xml:space="preserve">ealth </w:t>
            </w:r>
            <w:r w:rsidR="00347328">
              <w:rPr>
                <w:bCs/>
                <w:color w:val="auto"/>
                <w:sz w:val="30"/>
                <w:szCs w:val="30"/>
                <w:lang w:val="en-AU"/>
              </w:rPr>
              <w:t>c</w:t>
            </w:r>
            <w:r w:rsidR="00454E3B" w:rsidRPr="00D004DD">
              <w:rPr>
                <w:bCs/>
                <w:color w:val="auto"/>
                <w:sz w:val="30"/>
                <w:szCs w:val="30"/>
                <w:lang w:val="en-AU"/>
              </w:rPr>
              <w:t xml:space="preserve">are </w:t>
            </w:r>
            <w:r w:rsidRPr="00D004DD">
              <w:rPr>
                <w:bCs/>
                <w:color w:val="auto"/>
                <w:sz w:val="30"/>
                <w:szCs w:val="30"/>
                <w:lang w:val="en-AU"/>
              </w:rPr>
              <w:t xml:space="preserve">and </w:t>
            </w:r>
            <w:r w:rsidR="00347328">
              <w:rPr>
                <w:bCs/>
                <w:color w:val="auto"/>
                <w:sz w:val="30"/>
                <w:szCs w:val="30"/>
                <w:lang w:val="en-AU"/>
              </w:rPr>
              <w:t>s</w:t>
            </w:r>
            <w:r w:rsidRPr="00D004DD">
              <w:rPr>
                <w:bCs/>
                <w:color w:val="auto"/>
                <w:sz w:val="30"/>
                <w:szCs w:val="30"/>
                <w:lang w:val="en-AU"/>
              </w:rPr>
              <w:t xml:space="preserve">ocial </w:t>
            </w:r>
            <w:r w:rsidR="00347328">
              <w:rPr>
                <w:bCs/>
                <w:color w:val="auto"/>
                <w:sz w:val="30"/>
                <w:szCs w:val="30"/>
                <w:lang w:val="en-AU"/>
              </w:rPr>
              <w:t>a</w:t>
            </w:r>
            <w:r w:rsidR="00454E3B" w:rsidRPr="00D004DD">
              <w:rPr>
                <w:bCs/>
                <w:color w:val="auto"/>
                <w:sz w:val="30"/>
                <w:szCs w:val="30"/>
                <w:lang w:val="en-AU"/>
              </w:rPr>
              <w:t>ssistance</w:t>
            </w:r>
            <w:r w:rsidR="006C77B9">
              <w:rPr>
                <w:bCs/>
                <w:color w:val="auto"/>
                <w:sz w:val="30"/>
                <w:szCs w:val="30"/>
                <w:lang w:val="en-AU"/>
              </w:rPr>
              <w:t xml:space="preserve">. </w:t>
            </w:r>
          </w:p>
          <w:p w14:paraId="513F3D8B" w14:textId="75BAF10D" w:rsidR="00A55B63" w:rsidRPr="00AD6A18" w:rsidRDefault="006C77B9" w:rsidP="008E2D20">
            <w:pPr>
              <w:pStyle w:val="Introduction"/>
              <w:rPr>
                <w:bCs/>
                <w:color w:val="auto"/>
                <w:sz w:val="30"/>
                <w:szCs w:val="30"/>
                <w:lang w:val="en-AU"/>
              </w:rPr>
            </w:pPr>
            <w:r>
              <w:rPr>
                <w:bCs/>
                <w:color w:val="auto"/>
                <w:sz w:val="30"/>
                <w:szCs w:val="30"/>
                <w:lang w:val="en-AU"/>
              </w:rPr>
              <w:t>Average annual GVA growth was</w:t>
            </w:r>
            <w:r w:rsidR="001C5DBE" w:rsidRPr="00D004DD">
              <w:rPr>
                <w:bCs/>
                <w:color w:val="auto"/>
                <w:sz w:val="30"/>
                <w:szCs w:val="30"/>
                <w:lang w:val="en-AU"/>
              </w:rPr>
              <w:t xml:space="preserve"> </w:t>
            </w:r>
            <w:r w:rsidR="00F7728C">
              <w:rPr>
                <w:bCs/>
                <w:color w:val="auto"/>
                <w:sz w:val="30"/>
                <w:szCs w:val="30"/>
                <w:lang w:val="en-AU"/>
              </w:rPr>
              <w:t>6.0</w:t>
            </w:r>
            <w:r w:rsidR="001C5DBE" w:rsidRPr="00D004DD">
              <w:rPr>
                <w:bCs/>
                <w:color w:val="auto"/>
                <w:sz w:val="30"/>
                <w:szCs w:val="30"/>
                <w:lang w:val="en-AU"/>
              </w:rPr>
              <w:t xml:space="preserve">% for the overall economy, and </w:t>
            </w:r>
            <w:r w:rsidR="00F7728C">
              <w:rPr>
                <w:bCs/>
                <w:color w:val="auto"/>
                <w:sz w:val="30"/>
                <w:szCs w:val="30"/>
                <w:lang w:val="en-AU"/>
              </w:rPr>
              <w:t>4.5</w:t>
            </w:r>
            <w:r w:rsidR="001C5DBE" w:rsidRPr="00D004DD">
              <w:rPr>
                <w:bCs/>
                <w:color w:val="auto"/>
                <w:sz w:val="30"/>
                <w:szCs w:val="30"/>
                <w:lang w:val="en-AU"/>
              </w:rPr>
              <w:t xml:space="preserve">% </w:t>
            </w:r>
            <w:r w:rsidR="00454E3B">
              <w:rPr>
                <w:bCs/>
                <w:color w:val="auto"/>
                <w:sz w:val="30"/>
                <w:szCs w:val="30"/>
                <w:lang w:val="en-AU"/>
              </w:rPr>
              <w:t>for</w:t>
            </w:r>
            <w:r w:rsidR="00454E3B" w:rsidRPr="00D004DD">
              <w:rPr>
                <w:bCs/>
                <w:color w:val="auto"/>
                <w:sz w:val="30"/>
                <w:szCs w:val="30"/>
                <w:lang w:val="en-AU"/>
              </w:rPr>
              <w:t xml:space="preserve"> </w:t>
            </w:r>
            <w:r w:rsidR="001C5DBE" w:rsidRPr="00D004DD">
              <w:rPr>
                <w:bCs/>
                <w:color w:val="auto"/>
                <w:sz w:val="30"/>
                <w:szCs w:val="30"/>
                <w:lang w:val="en-AU"/>
              </w:rPr>
              <w:t>cultural and creative activit</w:t>
            </w:r>
            <w:r>
              <w:rPr>
                <w:bCs/>
                <w:color w:val="auto"/>
                <w:sz w:val="30"/>
                <w:szCs w:val="30"/>
                <w:lang w:val="en-AU"/>
              </w:rPr>
              <w:t>y</w:t>
            </w:r>
            <w:r w:rsidR="001C5DBE" w:rsidRPr="00D004DD">
              <w:rPr>
                <w:bCs/>
                <w:color w:val="auto"/>
                <w:sz w:val="30"/>
                <w:szCs w:val="30"/>
                <w:lang w:val="en-AU"/>
              </w:rPr>
              <w:t>.</w:t>
            </w:r>
            <w:r w:rsidR="00A55B63" w:rsidRPr="00D004DD">
              <w:rPr>
                <w:bCs/>
                <w:color w:val="auto"/>
                <w:sz w:val="30"/>
                <w:szCs w:val="30"/>
                <w:lang w:val="en-AU"/>
              </w:rPr>
              <w:t xml:space="preserve"> </w:t>
            </w:r>
          </w:p>
          <w:p w14:paraId="0228CE76" w14:textId="77777777" w:rsidR="00A55B63" w:rsidRDefault="00A55B63" w:rsidP="008E2D20">
            <w:pPr>
              <w:suppressAutoHyphens w:val="0"/>
              <w:rPr>
                <w:lang w:val="x-none"/>
              </w:rPr>
            </w:pPr>
          </w:p>
        </w:tc>
        <w:tc>
          <w:tcPr>
            <w:tcW w:w="9498" w:type="dxa"/>
            <w:tcBorders>
              <w:left w:val="single" w:sz="4" w:space="0" w:color="auto"/>
            </w:tcBorders>
          </w:tcPr>
          <w:p w14:paraId="72852F46" w14:textId="77777777" w:rsidR="00A55B63" w:rsidRDefault="00A55B63" w:rsidP="008E2D20">
            <w:pPr>
              <w:suppressAutoHyphens w:val="0"/>
              <w:rPr>
                <w:lang w:val="x-none"/>
              </w:rPr>
            </w:pPr>
          </w:p>
          <w:p w14:paraId="3D66CC33" w14:textId="14215F6E" w:rsidR="00A55B63" w:rsidRPr="00AD6A18" w:rsidRDefault="00A55B63" w:rsidP="008E2D20">
            <w:pPr>
              <w:suppressAutoHyphens w:val="0"/>
              <w:ind w:left="-103" w:firstLine="425"/>
              <w:rPr>
                <w:b/>
                <w:bCs/>
                <w:sz w:val="26"/>
                <w:szCs w:val="26"/>
              </w:rPr>
            </w:pPr>
            <w:r w:rsidRPr="00AD6A18">
              <w:rPr>
                <w:b/>
                <w:bCs/>
                <w:sz w:val="26"/>
                <w:szCs w:val="26"/>
              </w:rPr>
              <w:t xml:space="preserve">Chart 4: GVA average annual growth rate by industry division, </w:t>
            </w:r>
            <w:r w:rsidR="00044ED3" w:rsidRPr="00044ED3">
              <w:rPr>
                <w:b/>
                <w:bCs/>
                <w:sz w:val="26"/>
                <w:szCs w:val="26"/>
              </w:rPr>
              <w:t>2015–16 to 2024–25</w:t>
            </w:r>
          </w:p>
          <w:p w14:paraId="1276178A" w14:textId="0FBE5F02" w:rsidR="001C5DBE" w:rsidRDefault="002E7221" w:rsidP="008E2D20">
            <w:pPr>
              <w:suppressAutoHyphens w:val="0"/>
              <w:ind w:left="-103" w:firstLine="425"/>
            </w:pPr>
            <w:r w:rsidRPr="002E7221">
              <w:rPr>
                <w:noProof/>
              </w:rPr>
              <w:drawing>
                <wp:inline distT="0" distB="0" distL="0" distR="0" wp14:anchorId="154F8035" wp14:editId="7B218085">
                  <wp:extent cx="5645426" cy="3466202"/>
                  <wp:effectExtent l="0" t="0" r="0" b="1270"/>
                  <wp:docPr id="1262571052" name="Picture 1" descr="This is a bar chart showing from 2015–16 to 2024–25, GVA growth average annual was 13.1% for mining, 8.0% for health care and social assistance, 6.0% for the economy overall, and 4.5% for cultural and creative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571052" name="Picture 1" descr="This is a bar chart showing from 2015–16 to 2024–25, GVA growth average annual was 13.1% for mining, 8.0% for health care and social assistance, 6.0% for the economy overall, and 4.5% for cultural and creative activity."/>
                          <pic:cNvPicPr/>
                        </pic:nvPicPr>
                        <pic:blipFill>
                          <a:blip r:embed="rId18"/>
                          <a:stretch>
                            <a:fillRect/>
                          </a:stretch>
                        </pic:blipFill>
                        <pic:spPr>
                          <a:xfrm>
                            <a:off x="0" y="0"/>
                            <a:ext cx="5649435" cy="3468663"/>
                          </a:xfrm>
                          <a:prstGeom prst="rect">
                            <a:avLst/>
                          </a:prstGeom>
                        </pic:spPr>
                      </pic:pic>
                    </a:graphicData>
                  </a:graphic>
                </wp:inline>
              </w:drawing>
            </w:r>
          </w:p>
          <w:p w14:paraId="2BB4A528" w14:textId="77777777" w:rsidR="00A55B63" w:rsidRPr="00CB0FDE" w:rsidRDefault="00A55B63" w:rsidP="008E2D20">
            <w:pPr>
              <w:suppressAutoHyphens w:val="0"/>
              <w:ind w:left="-103" w:firstLine="425"/>
            </w:pPr>
          </w:p>
          <w:p w14:paraId="0656B6F0" w14:textId="77777777" w:rsidR="00A55B63" w:rsidRPr="00A365ED" w:rsidRDefault="00A55B63" w:rsidP="008E2D20">
            <w:pPr>
              <w:suppressAutoHyphens w:val="0"/>
              <w:ind w:left="322"/>
              <w:rPr>
                <w:sz w:val="18"/>
                <w:szCs w:val="18"/>
              </w:rPr>
            </w:pPr>
            <w:r w:rsidRPr="00A365ED">
              <w:rPr>
                <w:sz w:val="18"/>
                <w:szCs w:val="18"/>
              </w:rPr>
              <w:t>Source: ABS Australian System of National Accounts, Australian National Accounts: Input-Output Tables (Product Details); Australian National Accounts: Supply Use Tables; BCARR calculations.</w:t>
            </w:r>
          </w:p>
          <w:p w14:paraId="47B4CCA2" w14:textId="77777777" w:rsidR="00A55B63" w:rsidRPr="00A365ED" w:rsidRDefault="00A55B63" w:rsidP="008E2D20">
            <w:pPr>
              <w:suppressAutoHyphens w:val="0"/>
              <w:ind w:firstLine="322"/>
            </w:pPr>
          </w:p>
        </w:tc>
      </w:tr>
    </w:tbl>
    <w:p w14:paraId="50AF5317" w14:textId="5D810548" w:rsidR="005947F4" w:rsidRDefault="005947F4" w:rsidP="00A63D6C">
      <w:pPr>
        <w:rPr>
          <w:lang w:val="x-none"/>
        </w:rPr>
      </w:pPr>
    </w:p>
    <w:p w14:paraId="08A9D829" w14:textId="3AC84AD0" w:rsidR="00A55B63" w:rsidRPr="00D0397A" w:rsidRDefault="001C5DBE" w:rsidP="003A26B2">
      <w:pPr>
        <w:pStyle w:val="Heading2"/>
      </w:pPr>
      <w:r w:rsidRPr="001C5DBE">
        <w:lastRenderedPageBreak/>
        <w:t>Relative to nominal Gross Domestic Product (GDP)</w:t>
      </w:r>
    </w:p>
    <w:tbl>
      <w:tblPr>
        <w:tblStyle w:val="TableGrid"/>
        <w:tblW w:w="15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10206"/>
      </w:tblGrid>
      <w:tr w:rsidR="00A55B63" w14:paraId="52FFF3A6" w14:textId="77777777" w:rsidTr="00EA51B8">
        <w:tc>
          <w:tcPr>
            <w:tcW w:w="5103" w:type="dxa"/>
            <w:tcBorders>
              <w:right w:val="single" w:sz="4" w:space="0" w:color="auto"/>
            </w:tcBorders>
          </w:tcPr>
          <w:p w14:paraId="01EE3C6F" w14:textId="77777777" w:rsidR="00FA5715" w:rsidRPr="00C16DC9" w:rsidRDefault="00FA5715" w:rsidP="00FA5715">
            <w:pPr>
              <w:pStyle w:val="Introduction"/>
              <w:rPr>
                <w:bCs/>
                <w:color w:val="auto"/>
                <w:sz w:val="30"/>
                <w:szCs w:val="30"/>
              </w:rPr>
            </w:pPr>
            <w:r w:rsidRPr="00C16DC9">
              <w:rPr>
                <w:bCs/>
                <w:color w:val="auto"/>
                <w:sz w:val="30"/>
                <w:szCs w:val="30"/>
              </w:rPr>
              <w:t xml:space="preserve">Overall, </w:t>
            </w:r>
            <w:r w:rsidRPr="00C16DC9">
              <w:rPr>
                <w:bCs/>
                <w:color w:val="auto"/>
                <w:sz w:val="30"/>
                <w:szCs w:val="30"/>
                <w:lang w:val="en-AU"/>
              </w:rPr>
              <w:t xml:space="preserve">the pace of </w:t>
            </w:r>
            <w:r w:rsidRPr="00C16DC9">
              <w:rPr>
                <w:bCs/>
                <w:color w:val="auto"/>
                <w:sz w:val="30"/>
                <w:szCs w:val="30"/>
              </w:rPr>
              <w:t xml:space="preserve">growth in cultural and creative activity has been slower than the pace of growth for the Australian economy. </w:t>
            </w:r>
          </w:p>
          <w:p w14:paraId="2B9112AB" w14:textId="5E423F56" w:rsidR="00FA5715" w:rsidRPr="00C16DC9" w:rsidRDefault="00FA5715" w:rsidP="00FA5715">
            <w:pPr>
              <w:pStyle w:val="Introduction"/>
              <w:rPr>
                <w:bCs/>
                <w:color w:val="auto"/>
                <w:sz w:val="30"/>
                <w:szCs w:val="30"/>
              </w:rPr>
            </w:pPr>
            <w:r w:rsidRPr="00C16DC9">
              <w:rPr>
                <w:bCs/>
                <w:color w:val="auto"/>
                <w:sz w:val="30"/>
                <w:szCs w:val="30"/>
              </w:rPr>
              <w:t xml:space="preserve">This largely reflects the continued strength in </w:t>
            </w:r>
            <w:r w:rsidR="00212B1F" w:rsidRPr="00C16DC9">
              <w:rPr>
                <w:bCs/>
                <w:color w:val="auto"/>
                <w:sz w:val="30"/>
                <w:szCs w:val="30"/>
              </w:rPr>
              <w:t>sectors such as</w:t>
            </w:r>
            <w:r w:rsidRPr="00C16DC9">
              <w:rPr>
                <w:bCs/>
                <w:color w:val="auto"/>
                <w:sz w:val="30"/>
                <w:szCs w:val="30"/>
              </w:rPr>
              <w:t xml:space="preserve"> mining and health</w:t>
            </w:r>
            <w:r w:rsidR="00212B1F" w:rsidRPr="00C16DC9">
              <w:rPr>
                <w:bCs/>
                <w:color w:val="auto"/>
                <w:sz w:val="30"/>
                <w:szCs w:val="30"/>
              </w:rPr>
              <w:t xml:space="preserve"> care and social assistance</w:t>
            </w:r>
            <w:r w:rsidRPr="00C16DC9">
              <w:rPr>
                <w:bCs/>
                <w:color w:val="auto"/>
                <w:sz w:val="30"/>
                <w:szCs w:val="30"/>
              </w:rPr>
              <w:t>, which fall almost entirely outside cultural and creative activity.</w:t>
            </w:r>
          </w:p>
          <w:p w14:paraId="5FDB9EF2" w14:textId="523D0387" w:rsidR="00A55B63" w:rsidRDefault="00C625CA" w:rsidP="00212B1F">
            <w:pPr>
              <w:suppressAutoHyphens w:val="0"/>
              <w:rPr>
                <w:lang w:val="x-none"/>
              </w:rPr>
            </w:pPr>
            <w:r w:rsidRPr="00C16DC9">
              <w:rPr>
                <w:bCs/>
                <w:color w:val="auto"/>
                <w:sz w:val="30"/>
                <w:szCs w:val="30"/>
              </w:rPr>
              <w:t>As a share of GDP, cultural and creative activity declined from 2.9% in 2015–16 to 2.5% in 2024–25.</w:t>
            </w:r>
          </w:p>
        </w:tc>
        <w:tc>
          <w:tcPr>
            <w:tcW w:w="10206" w:type="dxa"/>
            <w:tcBorders>
              <w:left w:val="single" w:sz="4" w:space="0" w:color="auto"/>
            </w:tcBorders>
          </w:tcPr>
          <w:p w14:paraId="076DA33A" w14:textId="77777777" w:rsidR="00A55B63" w:rsidRDefault="00A55B63" w:rsidP="008E2D20">
            <w:pPr>
              <w:suppressAutoHyphens w:val="0"/>
              <w:rPr>
                <w:lang w:val="x-none"/>
              </w:rPr>
            </w:pPr>
          </w:p>
          <w:p w14:paraId="490F7368" w14:textId="57218E5D" w:rsidR="001C5DBE" w:rsidRPr="00751015" w:rsidRDefault="00A55B63" w:rsidP="00751015">
            <w:pPr>
              <w:suppressAutoHyphens w:val="0"/>
              <w:ind w:left="-103" w:firstLine="425"/>
              <w:rPr>
                <w:b/>
                <w:bCs/>
                <w:sz w:val="26"/>
                <w:szCs w:val="26"/>
              </w:rPr>
            </w:pPr>
            <w:r w:rsidRPr="00D0397A">
              <w:rPr>
                <w:b/>
                <w:bCs/>
                <w:sz w:val="26"/>
                <w:szCs w:val="26"/>
              </w:rPr>
              <w:t xml:space="preserve">Chart 5: </w:t>
            </w:r>
            <w:r w:rsidR="001C5DBE" w:rsidRPr="00D0397A">
              <w:rPr>
                <w:b/>
                <w:bCs/>
                <w:sz w:val="26"/>
                <w:szCs w:val="26"/>
              </w:rPr>
              <w:t>Relative to nominal Gross Domestic Product (GDP)</w:t>
            </w:r>
          </w:p>
          <w:p w14:paraId="44DF9E1F" w14:textId="117063B0" w:rsidR="001C5DBE" w:rsidRDefault="00FA5715" w:rsidP="008E2D20">
            <w:pPr>
              <w:suppressAutoHyphens w:val="0"/>
              <w:ind w:left="-103" w:firstLine="425"/>
            </w:pPr>
            <w:r>
              <w:rPr>
                <w:noProof/>
              </w:rPr>
              <w:drawing>
                <wp:inline distT="0" distB="0" distL="0" distR="0" wp14:anchorId="1FAD1AC0" wp14:editId="3347BFFE">
                  <wp:extent cx="6010275" cy="3181910"/>
                  <wp:effectExtent l="0" t="0" r="9525" b="5715"/>
                  <wp:docPr id="890869119" name="Picture 1" descr="This is an index chart showing cultural and creative activity has grown slower than the overall economy since 20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869119" name="Picture 1" descr="This is an index chart showing cultural and creative activity has grown slower than the overall economy since 2015–16."/>
                          <pic:cNvPicPr/>
                        </pic:nvPicPr>
                        <pic:blipFill rotWithShape="1">
                          <a:blip r:embed="rId19"/>
                          <a:srcRect t="5314" b="4036"/>
                          <a:stretch/>
                        </pic:blipFill>
                        <pic:spPr bwMode="auto">
                          <a:xfrm>
                            <a:off x="0" y="0"/>
                            <a:ext cx="6032211" cy="3193523"/>
                          </a:xfrm>
                          <a:prstGeom prst="rect">
                            <a:avLst/>
                          </a:prstGeom>
                          <a:ln>
                            <a:noFill/>
                          </a:ln>
                          <a:extLst>
                            <a:ext uri="{53640926-AAD7-44D8-BBD7-CCE9431645EC}">
                              <a14:shadowObscured xmlns:a14="http://schemas.microsoft.com/office/drawing/2010/main"/>
                            </a:ext>
                          </a:extLst>
                        </pic:spPr>
                      </pic:pic>
                    </a:graphicData>
                  </a:graphic>
                </wp:inline>
              </w:drawing>
            </w:r>
          </w:p>
          <w:p w14:paraId="7F9B74CD" w14:textId="4B6700F0" w:rsidR="00A55B63" w:rsidRDefault="00A55B63" w:rsidP="008E2D20">
            <w:pPr>
              <w:suppressAutoHyphens w:val="0"/>
              <w:rPr>
                <w:lang w:val="x-none"/>
              </w:rPr>
            </w:pPr>
          </w:p>
          <w:p w14:paraId="769526D7" w14:textId="48985E6C" w:rsidR="00497EE4" w:rsidRPr="00A365ED" w:rsidRDefault="00A55B63" w:rsidP="00497EE4">
            <w:pPr>
              <w:suppressAutoHyphens w:val="0"/>
              <w:ind w:left="322"/>
            </w:pPr>
            <w:r w:rsidRPr="00A365ED">
              <w:rPr>
                <w:sz w:val="18"/>
                <w:szCs w:val="18"/>
              </w:rPr>
              <w:t>Source: ABS Australian System of National Accounts, Australian National Accounts: Input-Output Tables (Product Details); Australian National Accounts: Supply Use Tables; BCARR calculations.</w:t>
            </w:r>
          </w:p>
        </w:tc>
      </w:tr>
    </w:tbl>
    <w:p w14:paraId="24E0766F" w14:textId="77777777" w:rsidR="00497EE4" w:rsidRDefault="00497EE4" w:rsidP="00497EE4">
      <w:pPr>
        <w:pStyle w:val="Heading2"/>
        <w:spacing w:before="120"/>
      </w:pPr>
      <w:r>
        <w:t>About this document</w:t>
      </w:r>
    </w:p>
    <w:p w14:paraId="51418A8F" w14:textId="2E849CC9" w:rsidR="00FA5715" w:rsidRPr="00497EE4" w:rsidRDefault="00FA5715" w:rsidP="00FA5715">
      <w:pPr>
        <w:spacing w:before="120"/>
      </w:pPr>
      <w:r>
        <w:t>The Bureau of Communications, Arts and Regional Research (BCARR) within the Department of Infrastructure, Transport, Regional Development, Communications, Sport and the Arts has estimated the economic contribution of Cultural and Creative Activity in Australia from 2015–16 to 2024–25.</w:t>
      </w:r>
    </w:p>
    <w:p w14:paraId="5E155CD0" w14:textId="61F96673" w:rsidR="00497EE4" w:rsidRPr="00497EE4" w:rsidRDefault="00FA5715" w:rsidP="00497EE4">
      <w:pPr>
        <w:spacing w:before="120"/>
      </w:pPr>
      <w:r>
        <w:t xml:space="preserve">This document outlines the key findings from the tables and figures shown in BCARR’s visual summary document: </w:t>
      </w:r>
      <w:r w:rsidRPr="00A6304D">
        <w:rPr>
          <w:i/>
          <w:iCs/>
        </w:rPr>
        <w:t>Cultural and Creative Activity in Australia, 2015–16 to 2024–25</w:t>
      </w:r>
      <w:r>
        <w:t xml:space="preserve"> and is presented alongside a document of Frequently Asked Questions</w:t>
      </w:r>
      <w:r>
        <w:rPr>
          <w:rFonts w:cs="Calibri"/>
        </w:rPr>
        <w:t xml:space="preserve">. </w:t>
      </w:r>
      <w:r>
        <w:t>Further information on the methods used in this research can be found in BCARR’s statistical working paper</w:t>
      </w:r>
      <w:r w:rsidRPr="00A6304D">
        <w:t xml:space="preserve">: </w:t>
      </w:r>
      <w:hyperlink r:id="rId20" w:history="1">
        <w:r w:rsidRPr="00A6304D">
          <w:rPr>
            <w:rStyle w:val="Hyperlink"/>
            <w:rFonts w:ascii="Calibri" w:eastAsia="Calibri" w:hAnsi="Calibri"/>
            <w:i/>
            <w:iCs/>
            <w:kern w:val="24"/>
          </w:rPr>
          <w:t>Cultural and Creative Activity in Australia, 2008–09 to 2022–23 (Methodology Refresh)</w:t>
        </w:r>
      </w:hyperlink>
      <w:r>
        <w:t>.</w:t>
      </w:r>
    </w:p>
    <w:sectPr w:rsidR="00497EE4" w:rsidRPr="00497EE4" w:rsidSect="000D360F">
      <w:headerReference w:type="default" r:id="rId21"/>
      <w:footerReference w:type="default" r:id="rId22"/>
      <w:headerReference w:type="first" r:id="rId23"/>
      <w:footerReference w:type="first" r:id="rId24"/>
      <w:type w:val="continuous"/>
      <w:pgSz w:w="16838" w:h="11906" w:orient="landscape" w:code="9"/>
      <w:pgMar w:top="1134" w:right="1021" w:bottom="1021" w:left="1021" w:header="34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6A1DA" w14:textId="77777777" w:rsidR="003576F3" w:rsidRDefault="003576F3" w:rsidP="008456D5">
      <w:pPr>
        <w:spacing w:before="0" w:after="0"/>
      </w:pPr>
      <w:r>
        <w:separator/>
      </w:r>
    </w:p>
  </w:endnote>
  <w:endnote w:type="continuationSeparator" w:id="0">
    <w:p w14:paraId="42714028" w14:textId="77777777" w:rsidR="003576F3" w:rsidRDefault="003576F3" w:rsidP="008456D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C4CF5" w14:textId="7FD4D0A6" w:rsidR="002B4107" w:rsidRDefault="002B4107" w:rsidP="002B4107">
    <w:pPr>
      <w:pStyle w:val="Footer"/>
      <w:spacing w:before="720"/>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EDA4C" w14:textId="4573C3B0" w:rsidR="00B420EE" w:rsidRDefault="00B7258B" w:rsidP="00B420EE">
    <w:pPr>
      <w:framePr w:w="16840" w:h="284" w:hSpace="181" w:wrap="around" w:vAnchor="page" w:hAnchor="page" w:x="6" w:y="11620"/>
      <w:spacing w:before="0" w:after="0"/>
    </w:pPr>
    <w:r>
      <w:rPr>
        <w:noProof/>
        <w:lang w:eastAsia="en-AU"/>
      </w:rPr>
      <mc:AlternateContent>
        <mc:Choice Requires="wps">
          <w:drawing>
            <wp:anchor distT="0" distB="0" distL="0" distR="0" simplePos="0" relativeHeight="251658242" behindDoc="0" locked="0" layoutInCell="1" allowOverlap="1" wp14:anchorId="05271101" wp14:editId="4DFAD497">
              <wp:simplePos x="635" y="635"/>
              <wp:positionH relativeFrom="page">
                <wp:align>center</wp:align>
              </wp:positionH>
              <wp:positionV relativeFrom="page">
                <wp:align>bottom</wp:align>
              </wp:positionV>
              <wp:extent cx="726440" cy="509270"/>
              <wp:effectExtent l="0" t="0" r="16510" b="0"/>
              <wp:wrapNone/>
              <wp:docPr id="1830470507" name="Text Box 8">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26F5F819" w14:textId="453B9858" w:rsidR="00B7258B" w:rsidRPr="00B7258B" w:rsidRDefault="00B7258B" w:rsidP="00B7258B">
                          <w:pPr>
                            <w:spacing w:after="0"/>
                            <w:rPr>
                              <w:rFonts w:ascii="Aptos" w:eastAsia="Aptos" w:hAnsi="Aptos" w:cs="Aptos"/>
                              <w:noProof/>
                              <w:color w:val="FF0000"/>
                              <w:sz w:val="28"/>
                              <w:szCs w:val="28"/>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271101" id="_x0000_t202" coordsize="21600,21600" o:spt="202" path="m,l,21600r21600,l21600,xe">
              <v:stroke joinstyle="miter"/>
              <v:path gradientshapeok="t" o:connecttype="rect"/>
            </v:shapetype>
            <v:shape id="Text Box 8" o:spid="_x0000_s1027" type="#_x0000_t202" style="position:absolute;margin-left:0;margin-top:0;width:57.2pt;height:40.1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" filled="f" stroked="f">
              <v:textbox style="mso-fit-shape-to-text:t" inset="0,0,0,15pt">
                <w:txbxContent>
                  <w:p w14:paraId="26F5F819" w14:textId="453B9858" w:rsidR="00B7258B" w:rsidRPr="00B7258B" w:rsidRDefault="00B7258B" w:rsidP="00B7258B">
                    <w:pPr>
                      <w:spacing w:after="0"/>
                      <w:rPr>
                        <w:rFonts w:ascii="Aptos" w:eastAsia="Aptos" w:hAnsi="Aptos" w:cs="Aptos"/>
                        <w:noProof/>
                        <w:color w:val="FF0000"/>
                        <w:sz w:val="28"/>
                        <w:szCs w:val="28"/>
                      </w:rPr>
                    </w:pPr>
                  </w:p>
                </w:txbxContent>
              </v:textbox>
              <w10:wrap anchorx="page" anchory="page"/>
            </v:shape>
          </w:pict>
        </mc:Fallback>
      </mc:AlternateContent>
    </w:r>
    <w:r w:rsidR="00B420EE">
      <w:rPr>
        <w:noProof/>
        <w:lang w:eastAsia="en-AU"/>
      </w:rPr>
      <w:drawing>
        <wp:inline distT="0" distB="0" distL="0" distR="0" wp14:anchorId="79B2B8C6" wp14:editId="79B2B8C7">
          <wp:extent cx="10693400" cy="182880"/>
          <wp:effectExtent l="0" t="0" r="0" b="762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3400" cy="182880"/>
                  </a:xfrm>
                  <a:prstGeom prst="rect">
                    <a:avLst/>
                  </a:prstGeom>
                  <a:noFill/>
                </pic:spPr>
              </pic:pic>
            </a:graphicData>
          </a:graphic>
        </wp:inline>
      </w:drawing>
    </w:r>
  </w:p>
  <w:p w14:paraId="5D6717CD" w14:textId="57913CEB" w:rsidR="00B420EE" w:rsidRPr="00654E6E" w:rsidRDefault="00CC6CFF" w:rsidP="00B420EE">
    <w:pPr>
      <w:pStyle w:val="Footer"/>
      <w:tabs>
        <w:tab w:val="clear" w:pos="4513"/>
        <w:tab w:val="clear" w:pos="9026"/>
        <w:tab w:val="center" w:pos="7371"/>
        <w:tab w:val="right" w:pos="14742"/>
      </w:tabs>
      <w:spacing w:after="160"/>
      <w:rPr>
        <w:color w:val="auto"/>
      </w:rPr>
    </w:pPr>
    <w:proofErr w:type="gramStart"/>
    <w:r>
      <w:rPr>
        <w:color w:val="auto"/>
        <w:sz w:val="18"/>
        <w:szCs w:val="18"/>
        <w:lang w:val="en-US"/>
      </w:rPr>
      <w:t>At a glance</w:t>
    </w:r>
    <w:proofErr w:type="gramEnd"/>
    <w:r>
      <w:rPr>
        <w:color w:val="auto"/>
        <w:sz w:val="18"/>
        <w:szCs w:val="18"/>
        <w:lang w:val="en-US"/>
      </w:rPr>
      <w:t>: Cultural and Creative Activity in Australia, 2015–16 to 2024–25</w:t>
    </w:r>
    <w:r w:rsidR="00B420EE" w:rsidRPr="00654E6E">
      <w:rPr>
        <w:color w:val="auto"/>
        <w:sz w:val="18"/>
        <w:szCs w:val="18"/>
        <w:lang w:val="en-US"/>
      </w:rPr>
      <w:tab/>
      <w:t xml:space="preserve">Page </w:t>
    </w:r>
    <w:r w:rsidR="00B420EE" w:rsidRPr="00654E6E">
      <w:rPr>
        <w:color w:val="auto"/>
        <w:sz w:val="18"/>
        <w:szCs w:val="18"/>
        <w:lang w:val="en-US"/>
      </w:rPr>
      <w:fldChar w:fldCharType="begin"/>
    </w:r>
    <w:r w:rsidR="00B420EE" w:rsidRPr="00654E6E">
      <w:rPr>
        <w:color w:val="auto"/>
        <w:sz w:val="18"/>
        <w:szCs w:val="18"/>
        <w:lang w:val="en-US"/>
      </w:rPr>
      <w:instrText xml:space="preserve"> PAGE   \* MERGEFORMAT </w:instrText>
    </w:r>
    <w:r w:rsidR="00B420EE" w:rsidRPr="00654E6E">
      <w:rPr>
        <w:color w:val="auto"/>
        <w:sz w:val="18"/>
        <w:szCs w:val="18"/>
        <w:lang w:val="en-US"/>
      </w:rPr>
      <w:fldChar w:fldCharType="separate"/>
    </w:r>
    <w:r w:rsidR="00B420EE">
      <w:rPr>
        <w:color w:val="auto"/>
        <w:sz w:val="18"/>
        <w:szCs w:val="18"/>
        <w:lang w:val="en-US"/>
      </w:rPr>
      <w:t>6</w:t>
    </w:r>
    <w:r w:rsidR="00B420EE" w:rsidRPr="00654E6E">
      <w:rPr>
        <w:noProof/>
        <w:color w:val="auto"/>
        <w:sz w:val="18"/>
        <w:szCs w:val="18"/>
        <w:lang w:val="en-US"/>
      </w:rPr>
      <w:fldChar w:fldCharType="end"/>
    </w:r>
    <w:r w:rsidR="00B420EE" w:rsidRPr="00654E6E">
      <w:rPr>
        <w:noProof/>
        <w:color w:val="auto"/>
        <w:sz w:val="18"/>
        <w:szCs w:val="18"/>
        <w:lang w:val="en-US"/>
      </w:rPr>
      <w:t xml:space="preserve"> of </w:t>
    </w:r>
    <w:r w:rsidR="00B420EE" w:rsidRPr="00654E6E">
      <w:rPr>
        <w:noProof/>
        <w:color w:val="auto"/>
        <w:sz w:val="18"/>
        <w:szCs w:val="18"/>
        <w:lang w:val="en-US"/>
      </w:rPr>
      <w:fldChar w:fldCharType="begin"/>
    </w:r>
    <w:r w:rsidR="00B420EE" w:rsidRPr="00654E6E">
      <w:rPr>
        <w:noProof/>
        <w:color w:val="auto"/>
        <w:sz w:val="18"/>
        <w:szCs w:val="18"/>
        <w:lang w:val="en-US"/>
      </w:rPr>
      <w:instrText xml:space="preserve"> NUMPAGES   \* MERGEFORMAT </w:instrText>
    </w:r>
    <w:r w:rsidR="00B420EE" w:rsidRPr="00654E6E">
      <w:rPr>
        <w:noProof/>
        <w:color w:val="auto"/>
        <w:sz w:val="18"/>
        <w:szCs w:val="18"/>
        <w:lang w:val="en-US"/>
      </w:rPr>
      <w:fldChar w:fldCharType="separate"/>
    </w:r>
    <w:r w:rsidR="00B420EE">
      <w:rPr>
        <w:noProof/>
        <w:color w:val="auto"/>
        <w:sz w:val="18"/>
        <w:szCs w:val="18"/>
        <w:lang w:val="en-US"/>
      </w:rPr>
      <w:t>12</w:t>
    </w:r>
    <w:r w:rsidR="00B420EE" w:rsidRPr="00654E6E">
      <w:rPr>
        <w:noProof/>
        <w:color w:val="auto"/>
        <w:sz w:val="18"/>
        <w:szCs w:val="18"/>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D2C5A" w14:textId="220DC6C3" w:rsidR="00B420EE" w:rsidRPr="005B23E1" w:rsidRDefault="005B23E1" w:rsidP="005B23E1">
    <w:pPr>
      <w:pStyle w:val="Footer"/>
      <w:ind w:left="-993"/>
    </w:pPr>
    <w:r>
      <w:rPr>
        <w:noProof/>
        <w:lang w:eastAsia="en-AU"/>
      </w:rPr>
      <w:drawing>
        <wp:inline distT="0" distB="0" distL="0" distR="0" wp14:anchorId="36B3DC7F" wp14:editId="058EE15D">
          <wp:extent cx="10692757" cy="3594583"/>
          <wp:effectExtent l="0" t="0" r="0" b="635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35726" cy="360902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6C904" w14:textId="0439B949" w:rsidR="005B23E1" w:rsidRDefault="00B7258B" w:rsidP="00B420EE">
    <w:pPr>
      <w:framePr w:w="16840" w:h="284" w:hSpace="181" w:wrap="around" w:vAnchor="page" w:hAnchor="page" w:x="6" w:y="11620"/>
      <w:spacing w:before="0" w:after="0"/>
    </w:pPr>
    <w:r>
      <w:rPr>
        <w:noProof/>
        <w:lang w:eastAsia="en-AU"/>
      </w:rPr>
      <mc:AlternateContent>
        <mc:Choice Requires="wps">
          <w:drawing>
            <wp:anchor distT="0" distB="0" distL="0" distR="0" simplePos="0" relativeHeight="251658244" behindDoc="0" locked="0" layoutInCell="1" allowOverlap="1" wp14:anchorId="3585C777" wp14:editId="7FE6C68F">
              <wp:simplePos x="0" y="7372350"/>
              <wp:positionH relativeFrom="page">
                <wp:align>center</wp:align>
              </wp:positionH>
              <wp:positionV relativeFrom="page">
                <wp:align>bottom</wp:align>
              </wp:positionV>
              <wp:extent cx="726440" cy="509270"/>
              <wp:effectExtent l="0" t="0" r="16510" b="0"/>
              <wp:wrapNone/>
              <wp:docPr id="678025679" name="Text Box 10">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3DBD6122" w14:textId="2544338A" w:rsidR="00B7258B" w:rsidRPr="00B7258B" w:rsidRDefault="00B7258B" w:rsidP="00B7258B">
                          <w:pPr>
                            <w:spacing w:after="0"/>
                            <w:rPr>
                              <w:rFonts w:ascii="Aptos" w:eastAsia="Aptos" w:hAnsi="Aptos" w:cs="Aptos"/>
                              <w:noProof/>
                              <w:color w:val="FF0000"/>
                              <w:sz w:val="28"/>
                              <w:szCs w:val="28"/>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85C777" id="_x0000_t202" coordsize="21600,21600" o:spt="202" path="m,l,21600r21600,l21600,xe">
              <v:stroke joinstyle="miter"/>
              <v:path gradientshapeok="t" o:connecttype="rect"/>
            </v:shapetype>
            <v:shape id="Text Box 10" o:spid="_x0000_s1028" type="#_x0000_t202" style="position:absolute;margin-left:0;margin-top:0;width:57.2pt;height:40.1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" filled="f" stroked="f">
              <v:textbox style="mso-fit-shape-to-text:t" inset="0,0,0,15pt">
                <w:txbxContent>
                  <w:p w14:paraId="3DBD6122" w14:textId="2544338A" w:rsidR="00B7258B" w:rsidRPr="00B7258B" w:rsidRDefault="00B7258B" w:rsidP="00B7258B">
                    <w:pPr>
                      <w:spacing w:after="0"/>
                      <w:rPr>
                        <w:rFonts w:ascii="Aptos" w:eastAsia="Aptos" w:hAnsi="Aptos" w:cs="Aptos"/>
                        <w:noProof/>
                        <w:color w:val="FF0000"/>
                        <w:sz w:val="28"/>
                        <w:szCs w:val="28"/>
                      </w:rPr>
                    </w:pPr>
                  </w:p>
                </w:txbxContent>
              </v:textbox>
              <w10:wrap anchorx="page" anchory="page"/>
            </v:shape>
          </w:pict>
        </mc:Fallback>
      </mc:AlternateContent>
    </w:r>
    <w:r w:rsidR="005B23E1">
      <w:rPr>
        <w:noProof/>
        <w:lang w:eastAsia="en-AU"/>
      </w:rPr>
      <w:drawing>
        <wp:inline distT="0" distB="0" distL="0" distR="0" wp14:anchorId="590332DF" wp14:editId="6AC37BD0">
          <wp:extent cx="10693400" cy="182880"/>
          <wp:effectExtent l="0" t="0" r="0" b="762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3400" cy="182880"/>
                  </a:xfrm>
                  <a:prstGeom prst="rect">
                    <a:avLst/>
                  </a:prstGeom>
                  <a:noFill/>
                </pic:spPr>
              </pic:pic>
            </a:graphicData>
          </a:graphic>
        </wp:inline>
      </w:drawing>
    </w:r>
  </w:p>
  <w:p w14:paraId="22E70A3F" w14:textId="6CA83D62" w:rsidR="005B23E1" w:rsidRDefault="005B23E1" w:rsidP="005B23E1">
    <w:pPr>
      <w:pStyle w:val="Footer"/>
      <w:tabs>
        <w:tab w:val="clear" w:pos="4513"/>
        <w:tab w:val="clear" w:pos="9026"/>
        <w:tab w:val="right" w:pos="14742"/>
      </w:tabs>
      <w:spacing w:after="120"/>
      <w:rPr>
        <w:rFonts w:cs="Segoe UI"/>
        <w:noProof/>
        <w:szCs w:val="18"/>
      </w:rPr>
    </w:pPr>
    <w:r>
      <w:rPr>
        <w:rFonts w:cs="Segoe UI"/>
        <w:noProof/>
        <w:szCs w:val="18"/>
      </w:rPr>
      <w:fldChar w:fldCharType="begin"/>
    </w:r>
    <w:r>
      <w:rPr>
        <w:rFonts w:cs="Segoe UI"/>
        <w:noProof/>
        <w:szCs w:val="18"/>
      </w:rPr>
      <w:instrText xml:space="preserve"> STYLEREF  "Heading 1"  \* MERGEFORMAT </w:instrText>
    </w:r>
    <w:r>
      <w:rPr>
        <w:rFonts w:cs="Segoe UI"/>
        <w:noProof/>
        <w:szCs w:val="18"/>
      </w:rPr>
      <w:fldChar w:fldCharType="separate"/>
    </w:r>
    <w:r w:rsidR="0092268C">
      <w:rPr>
        <w:rFonts w:cs="Segoe UI"/>
        <w:noProof/>
        <w:szCs w:val="18"/>
      </w:rPr>
      <w:t>At a glance: Cultural and Creative Activity in Australia, 2015–16 to 2024–25</w:t>
    </w:r>
    <w:r>
      <w:rPr>
        <w:rFonts w:cs="Segoe UI"/>
        <w:noProof/>
        <w:szCs w:val="18"/>
      </w:rPr>
      <w:fldChar w:fldCharType="end"/>
    </w:r>
    <w:r>
      <w:rPr>
        <w:rFonts w:cs="Segoe UI"/>
        <w:szCs w:val="18"/>
      </w:rPr>
      <w:tab/>
    </w:r>
    <w:r>
      <w:rPr>
        <w:rFonts w:cs="Segoe UI"/>
        <w:szCs w:val="18"/>
      </w:rPr>
      <w:fldChar w:fldCharType="begin"/>
    </w:r>
    <w:r>
      <w:rPr>
        <w:rFonts w:cs="Segoe UI"/>
        <w:szCs w:val="18"/>
      </w:rPr>
      <w:instrText xml:space="preserve"> PAGE  \* Arabic  \* MERGEFORMAT </w:instrText>
    </w:r>
    <w:r>
      <w:rPr>
        <w:rFonts w:cs="Segoe UI"/>
        <w:szCs w:val="18"/>
      </w:rPr>
      <w:fldChar w:fldCharType="separate"/>
    </w:r>
    <w:r>
      <w:rPr>
        <w:rFonts w:cs="Segoe UI"/>
        <w:szCs w:val="18"/>
      </w:rPr>
      <w:t>3</w:t>
    </w:r>
    <w:r>
      <w:rPr>
        <w:rFonts w:cs="Segoe UI"/>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4FB6B" w14:textId="4F5C072E" w:rsidR="005B23E1" w:rsidRPr="005B23E1" w:rsidRDefault="00B7258B" w:rsidP="005B23E1">
    <w:pPr>
      <w:pStyle w:val="Footer"/>
      <w:ind w:left="-993"/>
    </w:pPr>
    <w:r>
      <w:rPr>
        <w:noProof/>
      </w:rPr>
      <mc:AlternateContent>
        <mc:Choice Requires="wps">
          <w:drawing>
            <wp:anchor distT="0" distB="0" distL="0" distR="0" simplePos="0" relativeHeight="251658243" behindDoc="0" locked="0" layoutInCell="1" allowOverlap="1" wp14:anchorId="188C570A" wp14:editId="069935AC">
              <wp:simplePos x="635" y="635"/>
              <wp:positionH relativeFrom="page">
                <wp:align>center</wp:align>
              </wp:positionH>
              <wp:positionV relativeFrom="page">
                <wp:align>bottom</wp:align>
              </wp:positionV>
              <wp:extent cx="726440" cy="509270"/>
              <wp:effectExtent l="0" t="0" r="16510" b="0"/>
              <wp:wrapNone/>
              <wp:docPr id="1525325971" name="Text Box 9">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774037D9" w14:textId="75AB843A" w:rsidR="00B7258B" w:rsidRPr="00B7258B" w:rsidRDefault="00B7258B" w:rsidP="00B7258B">
                          <w:pPr>
                            <w:spacing w:after="0"/>
                            <w:rPr>
                              <w:rFonts w:ascii="Aptos" w:eastAsia="Aptos" w:hAnsi="Aptos" w:cs="Aptos"/>
                              <w:noProof/>
                              <w:color w:val="FF0000"/>
                              <w:sz w:val="28"/>
                              <w:szCs w:val="28"/>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8C570A" id="_x0000_t202" coordsize="21600,21600" o:spt="202" path="m,l,21600r21600,l21600,xe">
              <v:stroke joinstyle="miter"/>
              <v:path gradientshapeok="t" o:connecttype="rect"/>
            </v:shapetype>
            <v:shape id="Text Box 9" o:spid="_x0000_s1030" type="#_x0000_t202" style="position:absolute;left:0;text-align:left;margin-left:0;margin-top:0;width:57.2pt;height:40.1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" filled="f" stroked="f">
              <v:textbox style="mso-fit-shape-to-text:t" inset="0,0,0,15pt">
                <w:txbxContent>
                  <w:p w14:paraId="774037D9" w14:textId="75AB843A" w:rsidR="00B7258B" w:rsidRPr="00B7258B" w:rsidRDefault="00B7258B" w:rsidP="00B7258B">
                    <w:pPr>
                      <w:spacing w:after="0"/>
                      <w:rPr>
                        <w:rFonts w:ascii="Aptos" w:eastAsia="Aptos" w:hAnsi="Aptos" w:cs="Aptos"/>
                        <w:noProof/>
                        <w:color w:val="FF0000"/>
                        <w:sz w:val="28"/>
                        <w:szCs w:val="2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50A5C" w14:textId="77777777" w:rsidR="003576F3" w:rsidRPr="005912BE" w:rsidRDefault="003576F3" w:rsidP="005912BE">
      <w:pPr>
        <w:spacing w:before="300"/>
        <w:rPr>
          <w:color w:val="008089" w:themeColor="accent2"/>
        </w:rPr>
      </w:pPr>
      <w:r w:rsidRPr="00BB0CD1">
        <w:rPr>
          <w:color w:val="004044" w:themeColor="accent2" w:themeShade="80"/>
        </w:rPr>
        <w:t>----------</w:t>
      </w:r>
    </w:p>
  </w:footnote>
  <w:footnote w:type="continuationSeparator" w:id="0">
    <w:p w14:paraId="559F7C03" w14:textId="77777777" w:rsidR="003576F3" w:rsidRDefault="003576F3" w:rsidP="008456D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4245A" w14:textId="0ED413B2" w:rsidR="002B4107" w:rsidRDefault="000D360F" w:rsidP="002B4107">
    <w:pPr>
      <w:pStyle w:val="Header"/>
      <w:spacing w:after="1320"/>
    </w:pPr>
    <w:r>
      <w:fldChar w:fldCharType="begin"/>
    </w:r>
    <w:r>
      <w:instrText xml:space="preserve"> STYLEREF  "Heading 1" \l  \* MERGEFORMAT </w:instrText>
    </w:r>
    <w:r>
      <w:fldChar w:fldCharType="separate"/>
    </w:r>
    <w:r>
      <w:rPr>
        <w:noProof/>
      </w:rPr>
      <w:t>At a glance: Cultural and Creative Activity in Australia, 2015–16 to 2024–25</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62BE" w14:textId="5CDD835E" w:rsidR="00B7258B" w:rsidRDefault="00B7258B">
    <w:pPr>
      <w:pStyle w:val="Header"/>
    </w:pPr>
    <w:r>
      <w:rPr>
        <w:noProof/>
      </w:rPr>
      <mc:AlternateContent>
        <mc:Choice Requires="wps">
          <w:drawing>
            <wp:anchor distT="0" distB="0" distL="0" distR="0" simplePos="0" relativeHeight="251658240" behindDoc="0" locked="0" layoutInCell="1" allowOverlap="1" wp14:anchorId="3905A123" wp14:editId="06CFF006">
              <wp:simplePos x="635" y="635"/>
              <wp:positionH relativeFrom="page">
                <wp:align>center</wp:align>
              </wp:positionH>
              <wp:positionV relativeFrom="page">
                <wp:align>top</wp:align>
              </wp:positionV>
              <wp:extent cx="726440" cy="509270"/>
              <wp:effectExtent l="0" t="0" r="16510" b="5080"/>
              <wp:wrapNone/>
              <wp:docPr id="1491966065" name="Text Box 3">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624EDD4E" w14:textId="068CEA08" w:rsidR="00B7258B" w:rsidRPr="00B7258B" w:rsidRDefault="00B7258B" w:rsidP="00B7258B">
                          <w:pPr>
                            <w:spacing w:after="0"/>
                            <w:rPr>
                              <w:rFonts w:ascii="Aptos" w:eastAsia="Aptos" w:hAnsi="Aptos" w:cs="Aptos"/>
                              <w:noProof/>
                              <w:color w:val="FF0000"/>
                              <w:sz w:val="28"/>
                              <w:szCs w:val="28"/>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05A123" id="_x0000_t202" coordsize="21600,21600" o:spt="202" path="m,l,21600r21600,l21600,xe">
              <v:stroke joinstyle="miter"/>
              <v:path gradientshapeok="t" o:connecttype="rect"/>
            </v:shapetype>
            <v:shape id="Text Box 3" o:spid="_x0000_s1026" type="#_x0000_t202" style="position:absolute;left:0;text-align:left;margin-left:0;margin-top:0;width:57.2pt;height:40.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" filled="f" stroked="f">
              <v:textbox style="mso-fit-shape-to-text:t" inset="0,15pt,0,0">
                <w:txbxContent>
                  <w:p w14:paraId="624EDD4E" w14:textId="068CEA08" w:rsidR="00B7258B" w:rsidRPr="00B7258B" w:rsidRDefault="00B7258B" w:rsidP="00B7258B">
                    <w:pPr>
                      <w:spacing w:after="0"/>
                      <w:rPr>
                        <w:rFonts w:ascii="Aptos" w:eastAsia="Aptos" w:hAnsi="Aptos" w:cs="Aptos"/>
                        <w:noProof/>
                        <w:color w:val="FF0000"/>
                        <w:sz w:val="28"/>
                        <w:szCs w:val="28"/>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12A11" w14:textId="656E877A" w:rsidR="00E95663" w:rsidRDefault="00E95663" w:rsidP="00D13AE0">
    <w:pPr>
      <w:framePr w:w="16786" w:h="3062" w:wrap="around" w:vAnchor="page" w:hAnchor="page" w:x="12" w:yAlign="top" w:anchorLock="1"/>
      <w:spacing w:before="0" w:after="400"/>
    </w:pPr>
    <w:bookmarkStart w:id="0" w:name="_Hlk148680551"/>
    <w:r>
      <w:rPr>
        <w:noProof/>
        <w:lang w:eastAsia="en-AU"/>
      </w:rPr>
      <w:drawing>
        <wp:inline distT="0" distB="0" distL="0" distR="0" wp14:anchorId="79B2B8C8" wp14:editId="5C504AAE">
          <wp:extent cx="10696575" cy="1943100"/>
          <wp:effectExtent l="0" t="0" r="9525"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6575" cy="1943100"/>
                  </a:xfrm>
                  <a:prstGeom prst="rect">
                    <a:avLst/>
                  </a:prstGeom>
                  <a:noFill/>
                  <a:ln>
                    <a:noFill/>
                  </a:ln>
                </pic:spPr>
              </pic:pic>
            </a:graphicData>
          </a:graphic>
        </wp:inline>
      </w:drawing>
    </w:r>
  </w:p>
  <w:bookmarkEnd w:id="0"/>
  <w:p w14:paraId="20C77EA8" w14:textId="77777777" w:rsidR="00610861" w:rsidRDefault="00610861" w:rsidP="00610861">
    <w:pPr>
      <w:framePr w:w="6521" w:h="1134" w:hSpace="181" w:wrap="around" w:vAnchor="page" w:hAnchor="page" w:x="1022" w:y="852" w:anchorLock="1"/>
      <w:spacing w:after="0"/>
      <w:rPr>
        <w:noProof/>
      </w:rPr>
    </w:pPr>
    <w:r>
      <w:rPr>
        <w:noProof/>
      </w:rPr>
      <w:drawing>
        <wp:inline distT="0" distB="0" distL="0" distR="0" wp14:anchorId="6F33FB55" wp14:editId="383DD59B">
          <wp:extent cx="4068000" cy="669600"/>
          <wp:effectExtent l="0" t="0" r="0" b="0"/>
          <wp:docPr id="4" name="Picture 4" descr="Australian Government&#10;Department of Infrastructure, Transport, Regional Development, Communications, Sport and the 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4068000" cy="669600"/>
                  </a:xfrm>
                  <a:prstGeom prst="rect">
                    <a:avLst/>
                  </a:prstGeom>
                  <a:noFill/>
                  <a:ln>
                    <a:noFill/>
                  </a:ln>
                </pic:spPr>
              </pic:pic>
            </a:graphicData>
          </a:graphic>
        </wp:inline>
      </w:drawing>
    </w:r>
  </w:p>
  <w:p w14:paraId="2052BA84" w14:textId="77777777" w:rsidR="008456D5" w:rsidRPr="00D13AE0" w:rsidRDefault="008456D5" w:rsidP="00D13AE0">
    <w:pPr>
      <w:pStyle w:val="Header"/>
      <w:jc w:val="left"/>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B5B5F" w14:textId="655BBD21" w:rsidR="00497EE4" w:rsidRPr="00305CB1" w:rsidRDefault="00497EE4" w:rsidP="00497EE4">
    <w:pPr>
      <w:pStyle w:val="Header"/>
      <w:rPr>
        <w:rFonts w:cs="Segoe UI Light"/>
        <w:color w:val="001C40"/>
        <w:sz w:val="20"/>
        <w:szCs w:val="20"/>
      </w:rPr>
    </w:pPr>
    <w:r w:rsidRPr="00305CB1">
      <w:rPr>
        <w:rFonts w:cs="Segoe UI Light"/>
        <w:color w:val="001C40"/>
        <w:sz w:val="20"/>
        <w:szCs w:val="20"/>
      </w:rPr>
      <w:fldChar w:fldCharType="begin"/>
    </w:r>
    <w:r w:rsidRPr="00305CB1">
      <w:rPr>
        <w:rFonts w:cs="Segoe UI Light"/>
        <w:color w:val="001C40"/>
        <w:sz w:val="20"/>
        <w:szCs w:val="20"/>
      </w:rPr>
      <w:instrText xml:space="preserve"> STYLEREF  "Heading 2"  \* MERGEFORMAT </w:instrText>
    </w:r>
    <w:r w:rsidRPr="00305CB1">
      <w:rPr>
        <w:rFonts w:cs="Segoe UI Light"/>
        <w:color w:val="001C40"/>
        <w:sz w:val="20"/>
        <w:szCs w:val="20"/>
      </w:rPr>
      <w:fldChar w:fldCharType="separate"/>
    </w:r>
    <w:r w:rsidR="0092268C" w:rsidRPr="0092268C">
      <w:rPr>
        <w:rFonts w:cs="Segoe UI Light"/>
        <w:bCs/>
        <w:noProof/>
        <w:color w:val="001C40"/>
        <w:sz w:val="20"/>
        <w:szCs w:val="20"/>
        <w:lang w:val="en-US"/>
      </w:rPr>
      <w:t>Cultural</w:t>
    </w:r>
    <w:r w:rsidR="0092268C">
      <w:rPr>
        <w:rFonts w:cs="Segoe UI Light"/>
        <w:noProof/>
        <w:color w:val="001C40"/>
        <w:sz w:val="20"/>
        <w:szCs w:val="20"/>
      </w:rPr>
      <w:t xml:space="preserve"> and creative activity 2015–16 and 2024–25</w:t>
    </w:r>
    <w:r w:rsidRPr="00305CB1">
      <w:rPr>
        <w:rFonts w:cs="Segoe UI Light"/>
        <w:color w:val="001C40"/>
        <w:sz w:val="20"/>
        <w:szCs w:val="20"/>
      </w:rPr>
      <w:fldChar w:fldCharType="end"/>
    </w:r>
  </w:p>
  <w:p w14:paraId="2594C5FD" w14:textId="77777777" w:rsidR="00722990" w:rsidRPr="00174E13" w:rsidRDefault="00722990" w:rsidP="00174E1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BCE6B" w14:textId="5EF59E16" w:rsidR="00722990" w:rsidRDefault="00B7258B" w:rsidP="00F82CA0">
    <w:pPr>
      <w:pStyle w:val="Header"/>
      <w:spacing w:after="720"/>
    </w:pPr>
    <w:r>
      <w:rPr>
        <w:noProof/>
      </w:rPr>
      <mc:AlternateContent>
        <mc:Choice Requires="wps">
          <w:drawing>
            <wp:anchor distT="0" distB="0" distL="0" distR="0" simplePos="0" relativeHeight="251658241" behindDoc="0" locked="0" layoutInCell="1" allowOverlap="1" wp14:anchorId="0FBE883D" wp14:editId="08B50A90">
              <wp:simplePos x="635" y="635"/>
              <wp:positionH relativeFrom="page">
                <wp:align>center</wp:align>
              </wp:positionH>
              <wp:positionV relativeFrom="page">
                <wp:align>top</wp:align>
              </wp:positionV>
              <wp:extent cx="726440" cy="509270"/>
              <wp:effectExtent l="0" t="0" r="16510" b="5080"/>
              <wp:wrapNone/>
              <wp:docPr id="1778018059" name="Text Box 4">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20645508" w14:textId="441EC8E1" w:rsidR="00B7258B" w:rsidRPr="00B7258B" w:rsidRDefault="00B7258B" w:rsidP="00B7258B">
                          <w:pPr>
                            <w:spacing w:after="0"/>
                            <w:rPr>
                              <w:rFonts w:ascii="Aptos" w:eastAsia="Aptos" w:hAnsi="Aptos" w:cs="Aptos"/>
                              <w:noProof/>
                              <w:color w:val="FF0000"/>
                              <w:sz w:val="28"/>
                              <w:szCs w:val="28"/>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BE883D" id="_x0000_t202" coordsize="21600,21600" o:spt="202" path="m,l,21600r21600,l21600,xe">
              <v:stroke joinstyle="miter"/>
              <v:path gradientshapeok="t" o:connecttype="rect"/>
            </v:shapetype>
            <v:shape id="Text Box 4" o:spid="_x0000_s1029" type="#_x0000_t202" style="position:absolute;left:0;text-align:left;margin-left:0;margin-top:0;width:57.2pt;height:40.1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" filled="f" stroked="f">
              <v:textbox style="mso-fit-shape-to-text:t" inset="0,15pt,0,0">
                <w:txbxContent>
                  <w:p w14:paraId="20645508" w14:textId="441EC8E1" w:rsidR="00B7258B" w:rsidRPr="00B7258B" w:rsidRDefault="00B7258B" w:rsidP="00B7258B">
                    <w:pPr>
                      <w:spacing w:after="0"/>
                      <w:rPr>
                        <w:rFonts w:ascii="Aptos" w:eastAsia="Aptos" w:hAnsi="Aptos" w:cs="Aptos"/>
                        <w:noProof/>
                        <w:color w:val="FF0000"/>
                        <w:sz w:val="28"/>
                        <w:szCs w:val="28"/>
                      </w:rPr>
                    </w:pPr>
                  </w:p>
                </w:txbxContent>
              </v:textbox>
              <w10:wrap anchorx="page" anchory="page"/>
            </v:shape>
          </w:pict>
        </mc:Fallback>
      </mc:AlternateContent>
    </w:r>
    <w:fldSimple w:instr=" STYLEREF  &quot;Heading 1&quot; \l  \* MERGEFORMAT ">
      <w:r w:rsidR="005B23E1">
        <w:rPr>
          <w:noProof/>
        </w:rPr>
        <w:t>At a glance: Cultural and Creative Activity in Australia, 2015–16 to 2024–25</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CC57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3263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9AEC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F803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A8AC9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C7CAF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FEFE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AA64F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1C3D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DDC00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71F4A"/>
    <w:multiLevelType w:val="hybridMultilevel"/>
    <w:tmpl w:val="00F892D4"/>
    <w:lvl w:ilvl="0" w:tplc="403CBF40">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4F552B9"/>
    <w:multiLevelType w:val="multilevel"/>
    <w:tmpl w:val="9E1E9102"/>
    <w:styleLink w:val="ListNumbered"/>
    <w:lvl w:ilvl="0">
      <w:start w:val="1"/>
      <w:numFmt w:val="decimal"/>
      <w:pStyle w:val="ListNumbered1"/>
      <w:lvlText w:val="%1."/>
      <w:lvlJc w:val="left"/>
      <w:pPr>
        <w:ind w:left="284" w:hanging="284"/>
      </w:pPr>
      <w:rPr>
        <w:rFonts w:hint="default"/>
      </w:rPr>
    </w:lvl>
    <w:lvl w:ilvl="1">
      <w:start w:val="1"/>
      <w:numFmt w:val="decimal"/>
      <w:pStyle w:val="ListNumbered21"/>
      <w:lvlText w:val="%1.%2"/>
      <w:lvlJc w:val="left"/>
      <w:pPr>
        <w:ind w:left="851" w:hanging="567"/>
      </w:pPr>
      <w:rPr>
        <w:rFonts w:hint="default"/>
      </w:rPr>
    </w:lvl>
    <w:lvl w:ilvl="2">
      <w:start w:val="1"/>
      <w:numFmt w:val="decimal"/>
      <w:pStyle w:val="ListNumbered311"/>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CD1564D"/>
    <w:multiLevelType w:val="hybridMultilevel"/>
    <w:tmpl w:val="7DCEC5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D621AED"/>
    <w:multiLevelType w:val="multilevel"/>
    <w:tmpl w:val="C2EED61A"/>
    <w:numStyleLink w:val="NumberedHeadings"/>
  </w:abstractNum>
  <w:abstractNum w:abstractNumId="14" w15:restartNumberingAfterBreak="0">
    <w:nsid w:val="291D6B45"/>
    <w:multiLevelType w:val="multilevel"/>
    <w:tmpl w:val="E800F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160C5E"/>
    <w:multiLevelType w:val="multilevel"/>
    <w:tmpl w:val="298C34E4"/>
    <w:styleLink w:val="AppendixNumbers"/>
    <w:lvl w:ilvl="0">
      <w:start w:val="1"/>
      <w:numFmt w:val="upperLetter"/>
      <w:pStyle w:val="AppendixHeading1"/>
      <w:suff w:val="space"/>
      <w:lvlText w:val="Appendix %1 –"/>
      <w:lvlJc w:val="left"/>
      <w:pPr>
        <w:ind w:left="0" w:firstLine="0"/>
      </w:pPr>
      <w:rPr>
        <w:rFonts w:hint="default"/>
      </w:rPr>
    </w:lvl>
    <w:lvl w:ilvl="1">
      <w:start w:val="1"/>
      <w:numFmt w:val="decimal"/>
      <w:pStyle w:val="Appendix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A976FEA"/>
    <w:multiLevelType w:val="multilevel"/>
    <w:tmpl w:val="7B722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A51938"/>
    <w:multiLevelType w:val="multilevel"/>
    <w:tmpl w:val="298C34E4"/>
    <w:numStyleLink w:val="AppendixNumbers"/>
  </w:abstractNum>
  <w:abstractNum w:abstractNumId="18" w15:restartNumberingAfterBreak="0">
    <w:nsid w:val="3F166873"/>
    <w:multiLevelType w:val="multilevel"/>
    <w:tmpl w:val="C2EED61A"/>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1134" w:hanging="1134"/>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134"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173295E"/>
    <w:multiLevelType w:val="multilevel"/>
    <w:tmpl w:val="5B2C35CE"/>
    <w:styleLink w:val="Bullets"/>
    <w:lvl w:ilvl="0">
      <w:start w:val="1"/>
      <w:numFmt w:val="bullet"/>
      <w:pStyle w:val="Bullet1"/>
      <w:lvlText w:val="•"/>
      <w:lvlJc w:val="left"/>
      <w:pPr>
        <w:ind w:left="284" w:hanging="284"/>
      </w:pPr>
      <w:rPr>
        <w:rFonts w:ascii="Calibri" w:hAnsi="Calibri" w:hint="default"/>
        <w:color w:val="auto"/>
      </w:rPr>
    </w:lvl>
    <w:lvl w:ilvl="1">
      <w:start w:val="1"/>
      <w:numFmt w:val="bullet"/>
      <w:pStyle w:val="Bullet2"/>
      <w:lvlText w:val="–"/>
      <w:lvlJc w:val="left"/>
      <w:pPr>
        <w:ind w:left="568" w:hanging="284"/>
      </w:pPr>
      <w:rPr>
        <w:rFonts w:ascii="Calibri" w:hAnsi="Calibri" w:hint="default"/>
        <w:color w:val="auto"/>
      </w:rPr>
    </w:lvl>
    <w:lvl w:ilvl="2">
      <w:start w:val="1"/>
      <w:numFmt w:val="bullet"/>
      <w:pStyle w:val="Bullet3"/>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0" w15:restartNumberingAfterBreak="0">
    <w:nsid w:val="545B01A1"/>
    <w:multiLevelType w:val="hybridMultilevel"/>
    <w:tmpl w:val="4AEEF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C7C5C3D"/>
    <w:multiLevelType w:val="multilevel"/>
    <w:tmpl w:val="4B5A47B2"/>
    <w:styleLink w:val="AttachmentNumbers"/>
    <w:lvl w:ilvl="0">
      <w:start w:val="1"/>
      <w:numFmt w:val="upperLetter"/>
      <w:pStyle w:val="AttachmentHeading1"/>
      <w:suff w:val="space"/>
      <w:lvlText w:val="Attachment %1 –"/>
      <w:lvlJc w:val="left"/>
      <w:pPr>
        <w:ind w:left="0" w:firstLine="0"/>
      </w:pPr>
      <w:rPr>
        <w:rFonts w:hint="default"/>
      </w:rPr>
    </w:lvl>
    <w:lvl w:ilvl="1">
      <w:start w:val="1"/>
      <w:numFmt w:val="decimal"/>
      <w:pStyle w:val="Attachment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0E7485E"/>
    <w:multiLevelType w:val="multilevel"/>
    <w:tmpl w:val="D69832D4"/>
    <w:styleLink w:val="BoxedBullets"/>
    <w:lvl w:ilvl="0">
      <w:start w:val="1"/>
      <w:numFmt w:val="bullet"/>
      <w:pStyle w:val="Box1Bullet1"/>
      <w:lvlText w:val=""/>
      <w:lvlJc w:val="left"/>
      <w:pPr>
        <w:ind w:left="567" w:hanging="283"/>
      </w:pPr>
      <w:rPr>
        <w:rFonts w:ascii="Symbol" w:hAnsi="Symbol" w:hint="default"/>
        <w:color w:val="auto"/>
      </w:rPr>
    </w:lvl>
    <w:lvl w:ilvl="1">
      <w:start w:val="1"/>
      <w:numFmt w:val="bullet"/>
      <w:pStyle w:val="Box2Bullet1"/>
      <w:lvlText w:val=""/>
      <w:lvlJc w:val="left"/>
      <w:pPr>
        <w:ind w:left="567" w:hanging="283"/>
      </w:pPr>
      <w:rPr>
        <w:rFonts w:ascii="Symbol" w:hAnsi="Symbol" w:hint="default"/>
        <w:color w:val="auto"/>
      </w:rPr>
    </w:lvl>
    <w:lvl w:ilvl="2">
      <w:start w:val="1"/>
      <w:numFmt w:val="bullet"/>
      <w:pStyle w:val="Box2Checklist"/>
      <w:lvlText w:val="□"/>
      <w:lvlJc w:val="left"/>
      <w:pPr>
        <w:ind w:left="567" w:hanging="283"/>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FEB4F57"/>
    <w:multiLevelType w:val="hybridMultilevel"/>
    <w:tmpl w:val="111EFF56"/>
    <w:lvl w:ilvl="0" w:tplc="401A8E4A">
      <w:start w:val="1"/>
      <w:numFmt w:val="bullet"/>
      <w:lvlText w:val="•"/>
      <w:lvlJc w:val="left"/>
      <w:pPr>
        <w:tabs>
          <w:tab w:val="num" w:pos="720"/>
        </w:tabs>
        <w:ind w:left="720" w:hanging="360"/>
      </w:pPr>
      <w:rPr>
        <w:rFonts w:ascii="Arial" w:hAnsi="Arial" w:hint="default"/>
      </w:rPr>
    </w:lvl>
    <w:lvl w:ilvl="1" w:tplc="212CFAFA" w:tentative="1">
      <w:start w:val="1"/>
      <w:numFmt w:val="bullet"/>
      <w:lvlText w:val="•"/>
      <w:lvlJc w:val="left"/>
      <w:pPr>
        <w:tabs>
          <w:tab w:val="num" w:pos="1440"/>
        </w:tabs>
        <w:ind w:left="1440" w:hanging="360"/>
      </w:pPr>
      <w:rPr>
        <w:rFonts w:ascii="Arial" w:hAnsi="Arial" w:hint="default"/>
      </w:rPr>
    </w:lvl>
    <w:lvl w:ilvl="2" w:tplc="CAB295D8" w:tentative="1">
      <w:start w:val="1"/>
      <w:numFmt w:val="bullet"/>
      <w:lvlText w:val="•"/>
      <w:lvlJc w:val="left"/>
      <w:pPr>
        <w:tabs>
          <w:tab w:val="num" w:pos="2160"/>
        </w:tabs>
        <w:ind w:left="2160" w:hanging="360"/>
      </w:pPr>
      <w:rPr>
        <w:rFonts w:ascii="Arial" w:hAnsi="Arial" w:hint="default"/>
      </w:rPr>
    </w:lvl>
    <w:lvl w:ilvl="3" w:tplc="279028BE" w:tentative="1">
      <w:start w:val="1"/>
      <w:numFmt w:val="bullet"/>
      <w:lvlText w:val="•"/>
      <w:lvlJc w:val="left"/>
      <w:pPr>
        <w:tabs>
          <w:tab w:val="num" w:pos="2880"/>
        </w:tabs>
        <w:ind w:left="2880" w:hanging="360"/>
      </w:pPr>
      <w:rPr>
        <w:rFonts w:ascii="Arial" w:hAnsi="Arial" w:hint="default"/>
      </w:rPr>
    </w:lvl>
    <w:lvl w:ilvl="4" w:tplc="8A66D6E0" w:tentative="1">
      <w:start w:val="1"/>
      <w:numFmt w:val="bullet"/>
      <w:lvlText w:val="•"/>
      <w:lvlJc w:val="left"/>
      <w:pPr>
        <w:tabs>
          <w:tab w:val="num" w:pos="3600"/>
        </w:tabs>
        <w:ind w:left="3600" w:hanging="360"/>
      </w:pPr>
      <w:rPr>
        <w:rFonts w:ascii="Arial" w:hAnsi="Arial" w:hint="default"/>
      </w:rPr>
    </w:lvl>
    <w:lvl w:ilvl="5" w:tplc="F0826872" w:tentative="1">
      <w:start w:val="1"/>
      <w:numFmt w:val="bullet"/>
      <w:lvlText w:val="•"/>
      <w:lvlJc w:val="left"/>
      <w:pPr>
        <w:tabs>
          <w:tab w:val="num" w:pos="4320"/>
        </w:tabs>
        <w:ind w:left="4320" w:hanging="360"/>
      </w:pPr>
      <w:rPr>
        <w:rFonts w:ascii="Arial" w:hAnsi="Arial" w:hint="default"/>
      </w:rPr>
    </w:lvl>
    <w:lvl w:ilvl="6" w:tplc="3EB62C98" w:tentative="1">
      <w:start w:val="1"/>
      <w:numFmt w:val="bullet"/>
      <w:lvlText w:val="•"/>
      <w:lvlJc w:val="left"/>
      <w:pPr>
        <w:tabs>
          <w:tab w:val="num" w:pos="5040"/>
        </w:tabs>
        <w:ind w:left="5040" w:hanging="360"/>
      </w:pPr>
      <w:rPr>
        <w:rFonts w:ascii="Arial" w:hAnsi="Arial" w:hint="default"/>
      </w:rPr>
    </w:lvl>
    <w:lvl w:ilvl="7" w:tplc="501E10B2" w:tentative="1">
      <w:start w:val="1"/>
      <w:numFmt w:val="bullet"/>
      <w:lvlText w:val="•"/>
      <w:lvlJc w:val="left"/>
      <w:pPr>
        <w:tabs>
          <w:tab w:val="num" w:pos="5760"/>
        </w:tabs>
        <w:ind w:left="5760" w:hanging="360"/>
      </w:pPr>
      <w:rPr>
        <w:rFonts w:ascii="Arial" w:hAnsi="Arial" w:hint="default"/>
      </w:rPr>
    </w:lvl>
    <w:lvl w:ilvl="8" w:tplc="CDC491A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D9D353F"/>
    <w:multiLevelType w:val="hybridMultilevel"/>
    <w:tmpl w:val="ECDAF6DA"/>
    <w:lvl w:ilvl="0" w:tplc="0C090005">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7E554E84"/>
    <w:multiLevelType w:val="multilevel"/>
    <w:tmpl w:val="8FCE6D18"/>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2096170639">
    <w:abstractNumId w:val="9"/>
  </w:num>
  <w:num w:numId="2" w16cid:durableId="1155026489">
    <w:abstractNumId w:val="7"/>
  </w:num>
  <w:num w:numId="3" w16cid:durableId="470830235">
    <w:abstractNumId w:val="6"/>
  </w:num>
  <w:num w:numId="4" w16cid:durableId="1275868584">
    <w:abstractNumId w:val="5"/>
  </w:num>
  <w:num w:numId="5" w16cid:durableId="945386613">
    <w:abstractNumId w:val="4"/>
  </w:num>
  <w:num w:numId="6" w16cid:durableId="1405496034">
    <w:abstractNumId w:val="8"/>
  </w:num>
  <w:num w:numId="7" w16cid:durableId="1446386388">
    <w:abstractNumId w:val="3"/>
  </w:num>
  <w:num w:numId="8" w16cid:durableId="1681397604">
    <w:abstractNumId w:val="2"/>
  </w:num>
  <w:num w:numId="9" w16cid:durableId="1992785040">
    <w:abstractNumId w:val="1"/>
  </w:num>
  <w:num w:numId="10" w16cid:durableId="691804068">
    <w:abstractNumId w:val="0"/>
  </w:num>
  <w:num w:numId="11" w16cid:durableId="427891140">
    <w:abstractNumId w:val="19"/>
  </w:num>
  <w:num w:numId="12" w16cid:durableId="154784039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03371975">
    <w:abstractNumId w:val="25"/>
  </w:num>
  <w:num w:numId="14" w16cid:durableId="174653527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15363099">
    <w:abstractNumId w:val="11"/>
  </w:num>
  <w:num w:numId="16" w16cid:durableId="1725725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31404063">
    <w:abstractNumId w:val="18"/>
  </w:num>
  <w:num w:numId="18" w16cid:durableId="829760944">
    <w:abstractNumId w:val="13"/>
  </w:num>
  <w:num w:numId="19" w16cid:durableId="558177739">
    <w:abstractNumId w:val="15"/>
  </w:num>
  <w:num w:numId="20" w16cid:durableId="18538399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35017051">
    <w:abstractNumId w:val="17"/>
  </w:num>
  <w:num w:numId="22" w16cid:durableId="645823282">
    <w:abstractNumId w:val="21"/>
  </w:num>
  <w:num w:numId="23" w16cid:durableId="9793836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06400295">
    <w:abstractNumId w:val="22"/>
  </w:num>
  <w:num w:numId="25" w16cid:durableId="1554345181">
    <w:abstractNumId w:val="22"/>
  </w:num>
  <w:num w:numId="26" w16cid:durableId="452406429">
    <w:abstractNumId w:val="22"/>
  </w:num>
  <w:num w:numId="27" w16cid:durableId="2114592539">
    <w:abstractNumId w:val="22"/>
  </w:num>
  <w:num w:numId="28" w16cid:durableId="1191992229">
    <w:abstractNumId w:val="20"/>
  </w:num>
  <w:num w:numId="29" w16cid:durableId="1087579677">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5640859">
    <w:abstractNumId w:val="23"/>
  </w:num>
  <w:num w:numId="31" w16cid:durableId="1025907514">
    <w:abstractNumId w:val="12"/>
  </w:num>
  <w:num w:numId="32" w16cid:durableId="2076392235">
    <w:abstractNumId w:val="24"/>
  </w:num>
  <w:num w:numId="33" w16cid:durableId="1073510853">
    <w:abstractNumId w:val="10"/>
  </w:num>
  <w:num w:numId="34" w16cid:durableId="1824393995">
    <w:abstractNumId w:val="14"/>
  </w:num>
  <w:num w:numId="35" w16cid:durableId="13806691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CB"/>
    <w:rsid w:val="00002C49"/>
    <w:rsid w:val="0000505E"/>
    <w:rsid w:val="00012B85"/>
    <w:rsid w:val="000137E4"/>
    <w:rsid w:val="0001430B"/>
    <w:rsid w:val="0001625B"/>
    <w:rsid w:val="00017A31"/>
    <w:rsid w:val="00020178"/>
    <w:rsid w:val="000218A6"/>
    <w:rsid w:val="00025531"/>
    <w:rsid w:val="00036364"/>
    <w:rsid w:val="00043F85"/>
    <w:rsid w:val="000447CA"/>
    <w:rsid w:val="00044ED3"/>
    <w:rsid w:val="00051A2A"/>
    <w:rsid w:val="000651EB"/>
    <w:rsid w:val="000909CB"/>
    <w:rsid w:val="00096359"/>
    <w:rsid w:val="000A4A6C"/>
    <w:rsid w:val="000A5EE0"/>
    <w:rsid w:val="000C5020"/>
    <w:rsid w:val="000D0CE7"/>
    <w:rsid w:val="000D360F"/>
    <w:rsid w:val="000D6660"/>
    <w:rsid w:val="000D78E1"/>
    <w:rsid w:val="000E24BA"/>
    <w:rsid w:val="000E5674"/>
    <w:rsid w:val="000F732D"/>
    <w:rsid w:val="001013F0"/>
    <w:rsid w:val="001058CA"/>
    <w:rsid w:val="0011047D"/>
    <w:rsid w:val="001204F8"/>
    <w:rsid w:val="00130097"/>
    <w:rsid w:val="00134936"/>
    <w:rsid w:val="001349C6"/>
    <w:rsid w:val="001352B5"/>
    <w:rsid w:val="00137A0C"/>
    <w:rsid w:val="0015153B"/>
    <w:rsid w:val="00174E13"/>
    <w:rsid w:val="00181F8F"/>
    <w:rsid w:val="001856A9"/>
    <w:rsid w:val="001A20E3"/>
    <w:rsid w:val="001A6783"/>
    <w:rsid w:val="001B1CB8"/>
    <w:rsid w:val="001B36B6"/>
    <w:rsid w:val="001C5DBE"/>
    <w:rsid w:val="001E022B"/>
    <w:rsid w:val="001E29DA"/>
    <w:rsid w:val="001F39F3"/>
    <w:rsid w:val="00212B1F"/>
    <w:rsid w:val="00213B50"/>
    <w:rsid w:val="002254D5"/>
    <w:rsid w:val="0022611D"/>
    <w:rsid w:val="00226FEE"/>
    <w:rsid w:val="00234989"/>
    <w:rsid w:val="002424F9"/>
    <w:rsid w:val="002508EC"/>
    <w:rsid w:val="002566B3"/>
    <w:rsid w:val="0026422D"/>
    <w:rsid w:val="00270E03"/>
    <w:rsid w:val="00274EB6"/>
    <w:rsid w:val="002754FE"/>
    <w:rsid w:val="00284164"/>
    <w:rsid w:val="00287D8B"/>
    <w:rsid w:val="002919A6"/>
    <w:rsid w:val="002938E6"/>
    <w:rsid w:val="002B3569"/>
    <w:rsid w:val="002B36C4"/>
    <w:rsid w:val="002B4107"/>
    <w:rsid w:val="002B7197"/>
    <w:rsid w:val="002C098A"/>
    <w:rsid w:val="002C4F3F"/>
    <w:rsid w:val="002C7AAF"/>
    <w:rsid w:val="002E1ADA"/>
    <w:rsid w:val="002E7221"/>
    <w:rsid w:val="002F6404"/>
    <w:rsid w:val="003021E5"/>
    <w:rsid w:val="003212C8"/>
    <w:rsid w:val="00330271"/>
    <w:rsid w:val="00347328"/>
    <w:rsid w:val="00356DED"/>
    <w:rsid w:val="003576F3"/>
    <w:rsid w:val="00357C54"/>
    <w:rsid w:val="003655B2"/>
    <w:rsid w:val="003720E9"/>
    <w:rsid w:val="003824D6"/>
    <w:rsid w:val="0038315D"/>
    <w:rsid w:val="003903D0"/>
    <w:rsid w:val="00396904"/>
    <w:rsid w:val="003A26B2"/>
    <w:rsid w:val="003A75DC"/>
    <w:rsid w:val="003C625A"/>
    <w:rsid w:val="003D0B38"/>
    <w:rsid w:val="003E6980"/>
    <w:rsid w:val="003F27C1"/>
    <w:rsid w:val="003F2F20"/>
    <w:rsid w:val="003F775D"/>
    <w:rsid w:val="00403951"/>
    <w:rsid w:val="004204FC"/>
    <w:rsid w:val="00420F04"/>
    <w:rsid w:val="004425C6"/>
    <w:rsid w:val="00450D0E"/>
    <w:rsid w:val="00454E3B"/>
    <w:rsid w:val="0045541D"/>
    <w:rsid w:val="00466371"/>
    <w:rsid w:val="00477E77"/>
    <w:rsid w:val="004824B6"/>
    <w:rsid w:val="00497EE4"/>
    <w:rsid w:val="004A4A63"/>
    <w:rsid w:val="004B581E"/>
    <w:rsid w:val="004D3375"/>
    <w:rsid w:val="004D62D1"/>
    <w:rsid w:val="00501AA5"/>
    <w:rsid w:val="0051332B"/>
    <w:rsid w:val="00515210"/>
    <w:rsid w:val="00541213"/>
    <w:rsid w:val="00546218"/>
    <w:rsid w:val="00554518"/>
    <w:rsid w:val="00556925"/>
    <w:rsid w:val="00563BBB"/>
    <w:rsid w:val="005824B6"/>
    <w:rsid w:val="0058341D"/>
    <w:rsid w:val="005912BE"/>
    <w:rsid w:val="005947F4"/>
    <w:rsid w:val="00597479"/>
    <w:rsid w:val="005B23E1"/>
    <w:rsid w:val="005C479A"/>
    <w:rsid w:val="005E7F8A"/>
    <w:rsid w:val="005F3E97"/>
    <w:rsid w:val="005F794B"/>
    <w:rsid w:val="00610861"/>
    <w:rsid w:val="006166A6"/>
    <w:rsid w:val="00622946"/>
    <w:rsid w:val="0062395B"/>
    <w:rsid w:val="006335A6"/>
    <w:rsid w:val="00646D69"/>
    <w:rsid w:val="00647439"/>
    <w:rsid w:val="00673462"/>
    <w:rsid w:val="006746D9"/>
    <w:rsid w:val="00684B12"/>
    <w:rsid w:val="00695F30"/>
    <w:rsid w:val="006A266A"/>
    <w:rsid w:val="006A44DA"/>
    <w:rsid w:val="006C0127"/>
    <w:rsid w:val="006C37BC"/>
    <w:rsid w:val="006C77B9"/>
    <w:rsid w:val="006D1D54"/>
    <w:rsid w:val="006D279E"/>
    <w:rsid w:val="006D2BB6"/>
    <w:rsid w:val="006D681A"/>
    <w:rsid w:val="006E1ECA"/>
    <w:rsid w:val="006E1F84"/>
    <w:rsid w:val="006E28B2"/>
    <w:rsid w:val="006F0452"/>
    <w:rsid w:val="006F1A27"/>
    <w:rsid w:val="00722990"/>
    <w:rsid w:val="00751015"/>
    <w:rsid w:val="00755A05"/>
    <w:rsid w:val="00762B7B"/>
    <w:rsid w:val="00785C1D"/>
    <w:rsid w:val="00792486"/>
    <w:rsid w:val="007934AF"/>
    <w:rsid w:val="00795D11"/>
    <w:rsid w:val="007A05BE"/>
    <w:rsid w:val="007A49DD"/>
    <w:rsid w:val="007B07FD"/>
    <w:rsid w:val="007C4225"/>
    <w:rsid w:val="007C53C4"/>
    <w:rsid w:val="007D74A5"/>
    <w:rsid w:val="007E41F3"/>
    <w:rsid w:val="008067A1"/>
    <w:rsid w:val="008108C6"/>
    <w:rsid w:val="00820382"/>
    <w:rsid w:val="008306E0"/>
    <w:rsid w:val="00831DD8"/>
    <w:rsid w:val="00833F68"/>
    <w:rsid w:val="0083550D"/>
    <w:rsid w:val="008456D5"/>
    <w:rsid w:val="0084634B"/>
    <w:rsid w:val="0084637E"/>
    <w:rsid w:val="008523EE"/>
    <w:rsid w:val="00855475"/>
    <w:rsid w:val="008633FE"/>
    <w:rsid w:val="008656DA"/>
    <w:rsid w:val="008841AD"/>
    <w:rsid w:val="0089159B"/>
    <w:rsid w:val="00894E0D"/>
    <w:rsid w:val="008A1887"/>
    <w:rsid w:val="008A7FE4"/>
    <w:rsid w:val="008B6A81"/>
    <w:rsid w:val="008B7F61"/>
    <w:rsid w:val="008C3033"/>
    <w:rsid w:val="008D014D"/>
    <w:rsid w:val="008D0D2A"/>
    <w:rsid w:val="008D6B55"/>
    <w:rsid w:val="008E1B2C"/>
    <w:rsid w:val="008E2A0D"/>
    <w:rsid w:val="008F0F7A"/>
    <w:rsid w:val="0091008B"/>
    <w:rsid w:val="0092268C"/>
    <w:rsid w:val="009313B1"/>
    <w:rsid w:val="009777AD"/>
    <w:rsid w:val="00980AC5"/>
    <w:rsid w:val="009915DA"/>
    <w:rsid w:val="00995ACF"/>
    <w:rsid w:val="009A16B4"/>
    <w:rsid w:val="009A618E"/>
    <w:rsid w:val="009B00F2"/>
    <w:rsid w:val="009E15C7"/>
    <w:rsid w:val="009F70F6"/>
    <w:rsid w:val="00A0200F"/>
    <w:rsid w:val="00A070A2"/>
    <w:rsid w:val="00A15E86"/>
    <w:rsid w:val="00A17B2F"/>
    <w:rsid w:val="00A20A3B"/>
    <w:rsid w:val="00A241C3"/>
    <w:rsid w:val="00A30B12"/>
    <w:rsid w:val="00A31C18"/>
    <w:rsid w:val="00A3312D"/>
    <w:rsid w:val="00A365ED"/>
    <w:rsid w:val="00A4175F"/>
    <w:rsid w:val="00A41B46"/>
    <w:rsid w:val="00A5466E"/>
    <w:rsid w:val="00A55B63"/>
    <w:rsid w:val="00A6304D"/>
    <w:rsid w:val="00A63D6C"/>
    <w:rsid w:val="00A65FED"/>
    <w:rsid w:val="00A92249"/>
    <w:rsid w:val="00A95814"/>
    <w:rsid w:val="00A95970"/>
    <w:rsid w:val="00AA68DE"/>
    <w:rsid w:val="00AB4E7F"/>
    <w:rsid w:val="00AC472C"/>
    <w:rsid w:val="00AD06B4"/>
    <w:rsid w:val="00AD66A9"/>
    <w:rsid w:val="00AD6A18"/>
    <w:rsid w:val="00AD7703"/>
    <w:rsid w:val="00AF613D"/>
    <w:rsid w:val="00B0783C"/>
    <w:rsid w:val="00B420EE"/>
    <w:rsid w:val="00B42AC2"/>
    <w:rsid w:val="00B468BA"/>
    <w:rsid w:val="00B46A59"/>
    <w:rsid w:val="00B47B08"/>
    <w:rsid w:val="00B50241"/>
    <w:rsid w:val="00B511F0"/>
    <w:rsid w:val="00B7258B"/>
    <w:rsid w:val="00B74C14"/>
    <w:rsid w:val="00B74E41"/>
    <w:rsid w:val="00B80000"/>
    <w:rsid w:val="00BA43F8"/>
    <w:rsid w:val="00BB0CD1"/>
    <w:rsid w:val="00BB3944"/>
    <w:rsid w:val="00BB3AAC"/>
    <w:rsid w:val="00BB793C"/>
    <w:rsid w:val="00BC5E87"/>
    <w:rsid w:val="00BE6DB7"/>
    <w:rsid w:val="00BF42A3"/>
    <w:rsid w:val="00C07B75"/>
    <w:rsid w:val="00C13219"/>
    <w:rsid w:val="00C16DC9"/>
    <w:rsid w:val="00C218CD"/>
    <w:rsid w:val="00C3001C"/>
    <w:rsid w:val="00C30673"/>
    <w:rsid w:val="00C35955"/>
    <w:rsid w:val="00C50E00"/>
    <w:rsid w:val="00C625CA"/>
    <w:rsid w:val="00C6646A"/>
    <w:rsid w:val="00C77382"/>
    <w:rsid w:val="00C9252E"/>
    <w:rsid w:val="00C96F09"/>
    <w:rsid w:val="00C975AF"/>
    <w:rsid w:val="00CA1960"/>
    <w:rsid w:val="00CB0FDE"/>
    <w:rsid w:val="00CC25B2"/>
    <w:rsid w:val="00CC6CFF"/>
    <w:rsid w:val="00CD233E"/>
    <w:rsid w:val="00CE6ACB"/>
    <w:rsid w:val="00CE784D"/>
    <w:rsid w:val="00CF0DE2"/>
    <w:rsid w:val="00CF6CFD"/>
    <w:rsid w:val="00D004DD"/>
    <w:rsid w:val="00D02062"/>
    <w:rsid w:val="00D035D5"/>
    <w:rsid w:val="00D0397A"/>
    <w:rsid w:val="00D13AE0"/>
    <w:rsid w:val="00D20D47"/>
    <w:rsid w:val="00D33F64"/>
    <w:rsid w:val="00D43C92"/>
    <w:rsid w:val="00D5655E"/>
    <w:rsid w:val="00D57778"/>
    <w:rsid w:val="00D71395"/>
    <w:rsid w:val="00D71FF8"/>
    <w:rsid w:val="00D7598C"/>
    <w:rsid w:val="00D85321"/>
    <w:rsid w:val="00D9437D"/>
    <w:rsid w:val="00D95B24"/>
    <w:rsid w:val="00DD2989"/>
    <w:rsid w:val="00DD4919"/>
    <w:rsid w:val="00DE114F"/>
    <w:rsid w:val="00DE2647"/>
    <w:rsid w:val="00DE4362"/>
    <w:rsid w:val="00DE4FE2"/>
    <w:rsid w:val="00E04908"/>
    <w:rsid w:val="00E065BB"/>
    <w:rsid w:val="00E17902"/>
    <w:rsid w:val="00E342FD"/>
    <w:rsid w:val="00E3470A"/>
    <w:rsid w:val="00E50D2E"/>
    <w:rsid w:val="00E63037"/>
    <w:rsid w:val="00E65985"/>
    <w:rsid w:val="00E763E2"/>
    <w:rsid w:val="00E92FE5"/>
    <w:rsid w:val="00E95663"/>
    <w:rsid w:val="00EA51B8"/>
    <w:rsid w:val="00EB0B79"/>
    <w:rsid w:val="00EB2104"/>
    <w:rsid w:val="00EC3543"/>
    <w:rsid w:val="00EE741C"/>
    <w:rsid w:val="00F07136"/>
    <w:rsid w:val="00F11869"/>
    <w:rsid w:val="00F12182"/>
    <w:rsid w:val="00F1428D"/>
    <w:rsid w:val="00F14F27"/>
    <w:rsid w:val="00F26462"/>
    <w:rsid w:val="00F279AA"/>
    <w:rsid w:val="00F304B5"/>
    <w:rsid w:val="00F4519F"/>
    <w:rsid w:val="00F50C76"/>
    <w:rsid w:val="00F5773F"/>
    <w:rsid w:val="00F67CDB"/>
    <w:rsid w:val="00F7728C"/>
    <w:rsid w:val="00F92245"/>
    <w:rsid w:val="00F929C5"/>
    <w:rsid w:val="00FA274E"/>
    <w:rsid w:val="00FA5715"/>
    <w:rsid w:val="00FB07AD"/>
    <w:rsid w:val="00FC0253"/>
    <w:rsid w:val="00FC32B2"/>
    <w:rsid w:val="00FC34AF"/>
    <w:rsid w:val="00FD2F6C"/>
    <w:rsid w:val="00FD415F"/>
    <w:rsid w:val="00FE317A"/>
    <w:rsid w:val="00FF1655"/>
    <w:rsid w:val="00FF3B5A"/>
    <w:rsid w:val="16C13748"/>
    <w:rsid w:val="26662FEF"/>
    <w:rsid w:val="452F5B68"/>
    <w:rsid w:val="48E8006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B2B83F"/>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8"/>
    <w:lsdException w:name="Emphasis" w:uiPriority="28"/>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8"/>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6B2"/>
    <w:pPr>
      <w:suppressAutoHyphens/>
    </w:pPr>
  </w:style>
  <w:style w:type="paragraph" w:styleId="Heading1">
    <w:name w:val="heading 1"/>
    <w:basedOn w:val="Normal"/>
    <w:next w:val="Normal"/>
    <w:link w:val="Heading1Char"/>
    <w:uiPriority w:val="9"/>
    <w:qFormat/>
    <w:rsid w:val="00DE4362"/>
    <w:pPr>
      <w:keepNext/>
      <w:keepLines/>
      <w:spacing w:before="480" w:after="160"/>
      <w:contextualSpacing/>
      <w:outlineLvl w:val="0"/>
    </w:pPr>
    <w:rPr>
      <w:rFonts w:asciiTheme="majorHAnsi" w:eastAsiaTheme="majorEastAsia" w:hAnsiTheme="majorHAnsi" w:cstheme="majorBidi"/>
      <w:color w:val="081E3E" w:themeColor="text2"/>
      <w:sz w:val="44"/>
      <w:szCs w:val="32"/>
    </w:rPr>
  </w:style>
  <w:style w:type="paragraph" w:styleId="Heading2">
    <w:name w:val="heading 2"/>
    <w:basedOn w:val="Normal"/>
    <w:next w:val="Normal"/>
    <w:link w:val="Heading2Char"/>
    <w:uiPriority w:val="9"/>
    <w:unhideWhenUsed/>
    <w:qFormat/>
    <w:rsid w:val="003A26B2"/>
    <w:pPr>
      <w:keepNext/>
      <w:keepLines/>
      <w:spacing w:before="320" w:after="160"/>
      <w:outlineLvl w:val="1"/>
    </w:pPr>
    <w:rPr>
      <w:rFonts w:asciiTheme="majorHAnsi" w:eastAsiaTheme="majorEastAsia" w:hAnsiTheme="majorHAnsi" w:cstheme="majorBidi"/>
      <w:b/>
      <w:color w:val="081E3E" w:themeColor="text2"/>
      <w:sz w:val="36"/>
      <w:szCs w:val="26"/>
    </w:rPr>
  </w:style>
  <w:style w:type="paragraph" w:styleId="Heading3">
    <w:name w:val="heading 3"/>
    <w:basedOn w:val="Normal"/>
    <w:next w:val="Normal"/>
    <w:link w:val="Heading3Char"/>
    <w:uiPriority w:val="9"/>
    <w:unhideWhenUsed/>
    <w:qFormat/>
    <w:rsid w:val="003A26B2"/>
    <w:pPr>
      <w:keepNext/>
      <w:keepLines/>
      <w:tabs>
        <w:tab w:val="center" w:pos="4932"/>
      </w:tabs>
      <w:spacing w:before="240" w:after="160"/>
      <w:ind w:left="317"/>
      <w:outlineLvl w:val="2"/>
    </w:pPr>
    <w:rPr>
      <w:rFonts w:asciiTheme="majorHAnsi" w:eastAsiaTheme="majorEastAsia" w:hAnsiTheme="majorHAnsi" w:cstheme="majorBidi"/>
      <w:b/>
      <w:color w:val="49515C"/>
      <w:sz w:val="30"/>
      <w:szCs w:val="30"/>
    </w:rPr>
  </w:style>
  <w:style w:type="paragraph" w:styleId="Heading4">
    <w:name w:val="heading 4"/>
    <w:basedOn w:val="Normal"/>
    <w:next w:val="Normal"/>
    <w:link w:val="Heading4Char"/>
    <w:uiPriority w:val="9"/>
    <w:unhideWhenUsed/>
    <w:rsid w:val="00A92249"/>
    <w:pPr>
      <w:keepNext/>
      <w:keepLines/>
      <w:spacing w:before="240" w:after="160"/>
      <w:outlineLvl w:val="3"/>
    </w:pPr>
    <w:rPr>
      <w:rFonts w:asciiTheme="majorHAnsi" w:eastAsiaTheme="majorEastAsia" w:hAnsiTheme="majorHAnsi" w:cstheme="majorBidi"/>
      <w:b/>
      <w:iCs/>
      <w:color w:val="49515C" w:themeColor="accent4" w:themeShade="80"/>
      <w:sz w:val="26"/>
    </w:rPr>
  </w:style>
  <w:style w:type="paragraph" w:styleId="Heading5">
    <w:name w:val="heading 5"/>
    <w:basedOn w:val="Normal"/>
    <w:next w:val="Normal"/>
    <w:link w:val="Heading5Char"/>
    <w:uiPriority w:val="9"/>
    <w:unhideWhenUsed/>
    <w:rsid w:val="005F794B"/>
    <w:pPr>
      <w:keepNext/>
      <w:keepLines/>
      <w:spacing w:before="240" w:after="160"/>
      <w:outlineLvl w:val="4"/>
    </w:pPr>
    <w:rPr>
      <w:rFonts w:asciiTheme="majorHAnsi" w:eastAsiaTheme="majorEastAsia" w:hAnsiTheme="majorHAnsi" w:cstheme="majorBidi"/>
      <w:b/>
      <w:color w:val="081E3E" w:themeColor="text2"/>
    </w:rPr>
  </w:style>
  <w:style w:type="paragraph" w:styleId="Heading6">
    <w:name w:val="heading 6"/>
    <w:basedOn w:val="Normal"/>
    <w:next w:val="Normal"/>
    <w:link w:val="Heading6Char"/>
    <w:uiPriority w:val="9"/>
    <w:semiHidden/>
    <w:unhideWhenUsed/>
    <w:rsid w:val="005F794B"/>
    <w:pPr>
      <w:keepNext/>
      <w:keepLines/>
      <w:spacing w:before="240" w:after="160"/>
      <w:outlineLvl w:val="5"/>
    </w:pPr>
    <w:rPr>
      <w:rFonts w:asciiTheme="majorHAnsi" w:eastAsiaTheme="majorEastAsia" w:hAnsiTheme="majorHAnsi" w:cstheme="majorBidi"/>
      <w:i/>
      <w:color w:val="081E3E"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FE2"/>
    <w:rPr>
      <w:color w:val="808080"/>
    </w:rPr>
  </w:style>
  <w:style w:type="paragraph" w:styleId="Title">
    <w:name w:val="Title"/>
    <w:basedOn w:val="Normal"/>
    <w:next w:val="Normal"/>
    <w:link w:val="TitleChar"/>
    <w:uiPriority w:val="17"/>
    <w:qFormat/>
    <w:rsid w:val="000651EB"/>
    <w:pPr>
      <w:spacing w:before="1680" w:after="240"/>
      <w:outlineLvl w:val="0"/>
    </w:pPr>
    <w:rPr>
      <w:rFonts w:asciiTheme="majorHAnsi" w:eastAsiaTheme="majorEastAsia" w:hAnsiTheme="majorHAnsi" w:cstheme="majorBidi"/>
      <w:b/>
      <w:color w:val="081E3E" w:themeColor="text2"/>
      <w:sz w:val="60"/>
      <w:szCs w:val="56"/>
    </w:rPr>
  </w:style>
  <w:style w:type="character" w:customStyle="1" w:styleId="TitleChar">
    <w:name w:val="Title Char"/>
    <w:basedOn w:val="DefaultParagraphFont"/>
    <w:link w:val="Title"/>
    <w:uiPriority w:val="17"/>
    <w:rsid w:val="000651EB"/>
    <w:rPr>
      <w:rFonts w:asciiTheme="majorHAnsi" w:eastAsiaTheme="majorEastAsia" w:hAnsiTheme="majorHAnsi" w:cstheme="majorBidi"/>
      <w:b/>
      <w:color w:val="081E3E" w:themeColor="text2"/>
      <w:sz w:val="60"/>
      <w:szCs w:val="56"/>
    </w:rPr>
  </w:style>
  <w:style w:type="paragraph" w:styleId="Subtitle">
    <w:name w:val="Subtitle"/>
    <w:basedOn w:val="Normal"/>
    <w:next w:val="Normal"/>
    <w:link w:val="SubtitleChar"/>
    <w:uiPriority w:val="18"/>
    <w:qFormat/>
    <w:rsid w:val="00A20A3B"/>
    <w:pPr>
      <w:numPr>
        <w:ilvl w:val="1"/>
      </w:numPr>
      <w:spacing w:before="240" w:after="160"/>
    </w:pPr>
    <w:rPr>
      <w:rFonts w:asciiTheme="majorHAnsi" w:eastAsiaTheme="minorEastAsia" w:hAnsiTheme="majorHAnsi"/>
      <w:color w:val="377B88"/>
      <w:sz w:val="44"/>
    </w:rPr>
  </w:style>
  <w:style w:type="character" w:customStyle="1" w:styleId="SubtitleChar">
    <w:name w:val="Subtitle Char"/>
    <w:basedOn w:val="DefaultParagraphFont"/>
    <w:link w:val="Subtitle"/>
    <w:uiPriority w:val="18"/>
    <w:rsid w:val="00A20A3B"/>
    <w:rPr>
      <w:rFonts w:asciiTheme="majorHAnsi" w:eastAsiaTheme="minorEastAsia" w:hAnsiTheme="majorHAnsi"/>
      <w:color w:val="377B88"/>
      <w:kern w:val="12"/>
      <w:sz w:val="44"/>
      <w:szCs w:val="22"/>
    </w:rPr>
  </w:style>
  <w:style w:type="paragraph" w:customStyle="1" w:styleId="CoverDate">
    <w:name w:val="Cover Date"/>
    <w:basedOn w:val="Normal"/>
    <w:uiPriority w:val="19"/>
    <w:qFormat/>
    <w:rsid w:val="00D02062"/>
    <w:rPr>
      <w:b/>
      <w:color w:val="081E3E" w:themeColor="text2"/>
    </w:rPr>
  </w:style>
  <w:style w:type="paragraph" w:styleId="Header">
    <w:name w:val="header"/>
    <w:basedOn w:val="Normal"/>
    <w:link w:val="HeaderChar"/>
    <w:uiPriority w:val="99"/>
    <w:unhideWhenUsed/>
    <w:rsid w:val="005912BE"/>
    <w:pPr>
      <w:tabs>
        <w:tab w:val="center" w:pos="4513"/>
        <w:tab w:val="right" w:pos="9026"/>
      </w:tabs>
      <w:spacing w:before="0" w:after="0"/>
      <w:jc w:val="right"/>
    </w:pPr>
    <w:rPr>
      <w:sz w:val="16"/>
    </w:rPr>
  </w:style>
  <w:style w:type="character" w:customStyle="1" w:styleId="HeaderChar">
    <w:name w:val="Header Char"/>
    <w:basedOn w:val="DefaultParagraphFont"/>
    <w:link w:val="Header"/>
    <w:uiPriority w:val="99"/>
    <w:rsid w:val="005912BE"/>
    <w:rPr>
      <w:kern w:val="12"/>
      <w:sz w:val="16"/>
    </w:rPr>
  </w:style>
  <w:style w:type="paragraph" w:styleId="Footer">
    <w:name w:val="footer"/>
    <w:basedOn w:val="Normal"/>
    <w:link w:val="FooterChar"/>
    <w:uiPriority w:val="99"/>
    <w:unhideWhenUsed/>
    <w:rsid w:val="007A05BE"/>
    <w:pPr>
      <w:tabs>
        <w:tab w:val="center" w:pos="4513"/>
        <w:tab w:val="right" w:pos="9026"/>
      </w:tabs>
      <w:spacing w:before="0" w:after="0"/>
    </w:pPr>
    <w:rPr>
      <w:sz w:val="16"/>
    </w:rPr>
  </w:style>
  <w:style w:type="character" w:customStyle="1" w:styleId="FooterChar">
    <w:name w:val="Footer Char"/>
    <w:basedOn w:val="DefaultParagraphFont"/>
    <w:link w:val="Footer"/>
    <w:uiPriority w:val="99"/>
    <w:rsid w:val="007A05BE"/>
    <w:rPr>
      <w:kern w:val="12"/>
      <w:sz w:val="16"/>
    </w:rPr>
  </w:style>
  <w:style w:type="character" w:styleId="PageNumber">
    <w:name w:val="page number"/>
    <w:basedOn w:val="DefaultParagraphFont"/>
    <w:uiPriority w:val="99"/>
    <w:semiHidden/>
    <w:rsid w:val="007A05BE"/>
    <w:rPr>
      <w:b/>
      <w:sz w:val="20"/>
    </w:rPr>
  </w:style>
  <w:style w:type="paragraph" w:customStyle="1" w:styleId="CoverPhoto">
    <w:name w:val="Cover Photo"/>
    <w:basedOn w:val="Normal"/>
    <w:uiPriority w:val="19"/>
    <w:qFormat/>
    <w:rsid w:val="0022611D"/>
    <w:pPr>
      <w:spacing w:before="1240" w:after="160"/>
    </w:pPr>
  </w:style>
  <w:style w:type="paragraph" w:styleId="NoSpacing">
    <w:name w:val="No Spacing"/>
    <w:uiPriority w:val="1"/>
    <w:qFormat/>
    <w:rsid w:val="000E5674"/>
    <w:pPr>
      <w:suppressAutoHyphens/>
      <w:contextualSpacing/>
    </w:pPr>
    <w:rPr>
      <w:kern w:val="12"/>
    </w:rPr>
  </w:style>
  <w:style w:type="paragraph" w:customStyle="1" w:styleId="ImprintHeading">
    <w:name w:val="Imprint Heading"/>
    <w:basedOn w:val="Normal"/>
    <w:uiPriority w:val="12"/>
    <w:rsid w:val="000E5674"/>
    <w:pPr>
      <w:spacing w:before="240" w:after="160"/>
      <w:outlineLvl w:val="1"/>
    </w:pPr>
    <w:rPr>
      <w:b/>
      <w:lang w:val="x-none"/>
    </w:rPr>
  </w:style>
  <w:style w:type="character" w:styleId="Hyperlink">
    <w:name w:val="Hyperlink"/>
    <w:basedOn w:val="DefaultParagraphFont"/>
    <w:uiPriority w:val="99"/>
    <w:unhideWhenUsed/>
    <w:rsid w:val="000E5674"/>
    <w:rPr>
      <w:color w:val="0046FF" w:themeColor="hyperlink"/>
      <w:u w:val="single"/>
    </w:rPr>
  </w:style>
  <w:style w:type="table" w:styleId="TableGrid">
    <w:name w:val="Table Grid"/>
    <w:basedOn w:val="TableNormal"/>
    <w:uiPriority w:val="39"/>
    <w:rsid w:val="005F794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5912BE"/>
    <w:pPr>
      <w:spacing w:before="0" w:after="0"/>
      <w:ind w:left="284" w:hanging="284"/>
    </w:pPr>
    <w:rPr>
      <w:sz w:val="18"/>
    </w:rPr>
  </w:style>
  <w:style w:type="character" w:customStyle="1" w:styleId="FootnoteTextChar">
    <w:name w:val="Footnote Text Char"/>
    <w:basedOn w:val="DefaultParagraphFont"/>
    <w:link w:val="FootnoteText"/>
    <w:uiPriority w:val="99"/>
    <w:rsid w:val="005912BE"/>
    <w:rPr>
      <w:kern w:val="12"/>
      <w:sz w:val="18"/>
    </w:rPr>
  </w:style>
  <w:style w:type="character" w:styleId="FootnoteReference">
    <w:name w:val="footnote reference"/>
    <w:basedOn w:val="DefaultParagraphFont"/>
    <w:uiPriority w:val="99"/>
    <w:semiHidden/>
    <w:unhideWhenUsed/>
    <w:rsid w:val="005F794B"/>
    <w:rPr>
      <w:vertAlign w:val="superscript"/>
    </w:rPr>
  </w:style>
  <w:style w:type="character" w:customStyle="1" w:styleId="Heading1Char">
    <w:name w:val="Heading 1 Char"/>
    <w:basedOn w:val="DefaultParagraphFont"/>
    <w:link w:val="Heading1"/>
    <w:uiPriority w:val="9"/>
    <w:rsid w:val="00DE4362"/>
    <w:rPr>
      <w:rFonts w:asciiTheme="majorHAnsi" w:eastAsiaTheme="majorEastAsia" w:hAnsiTheme="majorHAnsi" w:cstheme="majorBidi"/>
      <w:color w:val="081E3E" w:themeColor="text2"/>
      <w:kern w:val="12"/>
      <w:sz w:val="44"/>
      <w:szCs w:val="32"/>
    </w:rPr>
  </w:style>
  <w:style w:type="character" w:customStyle="1" w:styleId="Heading2Char">
    <w:name w:val="Heading 2 Char"/>
    <w:basedOn w:val="DefaultParagraphFont"/>
    <w:link w:val="Heading2"/>
    <w:uiPriority w:val="9"/>
    <w:rsid w:val="003A26B2"/>
    <w:rPr>
      <w:rFonts w:asciiTheme="majorHAnsi" w:eastAsiaTheme="majorEastAsia" w:hAnsiTheme="majorHAnsi" w:cstheme="majorBidi"/>
      <w:b/>
      <w:color w:val="081E3E" w:themeColor="text2"/>
      <w:sz w:val="36"/>
      <w:szCs w:val="26"/>
    </w:rPr>
  </w:style>
  <w:style w:type="paragraph" w:customStyle="1" w:styleId="Introduction">
    <w:name w:val="Introduction"/>
    <w:basedOn w:val="Normal"/>
    <w:qFormat/>
    <w:rsid w:val="00A20A3B"/>
    <w:pPr>
      <w:spacing w:before="240" w:after="240"/>
    </w:pPr>
    <w:rPr>
      <w:color w:val="377B88"/>
      <w:sz w:val="26"/>
      <w:lang w:val="x-none"/>
    </w:rPr>
  </w:style>
  <w:style w:type="character" w:customStyle="1" w:styleId="Heading3Char">
    <w:name w:val="Heading 3 Char"/>
    <w:basedOn w:val="DefaultParagraphFont"/>
    <w:link w:val="Heading3"/>
    <w:uiPriority w:val="9"/>
    <w:rsid w:val="003A26B2"/>
    <w:rPr>
      <w:rFonts w:asciiTheme="majorHAnsi" w:eastAsiaTheme="majorEastAsia" w:hAnsiTheme="majorHAnsi" w:cstheme="majorBidi"/>
      <w:b/>
      <w:color w:val="49515C"/>
      <w:sz w:val="30"/>
      <w:szCs w:val="30"/>
    </w:rPr>
  </w:style>
  <w:style w:type="character" w:customStyle="1" w:styleId="Heading4Char">
    <w:name w:val="Heading 4 Char"/>
    <w:basedOn w:val="DefaultParagraphFont"/>
    <w:link w:val="Heading4"/>
    <w:uiPriority w:val="9"/>
    <w:rsid w:val="00A92249"/>
    <w:rPr>
      <w:rFonts w:asciiTheme="majorHAnsi" w:eastAsiaTheme="majorEastAsia" w:hAnsiTheme="majorHAnsi" w:cstheme="majorBidi"/>
      <w:b/>
      <w:iCs/>
      <w:color w:val="49515C" w:themeColor="accent4" w:themeShade="80"/>
      <w:sz w:val="26"/>
    </w:rPr>
  </w:style>
  <w:style w:type="character" w:customStyle="1" w:styleId="Heading5Char">
    <w:name w:val="Heading 5 Char"/>
    <w:basedOn w:val="DefaultParagraphFont"/>
    <w:link w:val="Heading5"/>
    <w:uiPriority w:val="9"/>
    <w:rsid w:val="005F794B"/>
    <w:rPr>
      <w:rFonts w:asciiTheme="majorHAnsi" w:eastAsiaTheme="majorEastAsia" w:hAnsiTheme="majorHAnsi" w:cstheme="majorBidi"/>
      <w:b/>
      <w:color w:val="081E3E" w:themeColor="text2"/>
      <w:kern w:val="12"/>
      <w:sz w:val="22"/>
    </w:rPr>
  </w:style>
  <w:style w:type="character" w:customStyle="1" w:styleId="Heading6Char">
    <w:name w:val="Heading 6 Char"/>
    <w:basedOn w:val="DefaultParagraphFont"/>
    <w:link w:val="Heading6"/>
    <w:uiPriority w:val="9"/>
    <w:semiHidden/>
    <w:rsid w:val="005F794B"/>
    <w:rPr>
      <w:rFonts w:asciiTheme="majorHAnsi" w:eastAsiaTheme="majorEastAsia" w:hAnsiTheme="majorHAnsi" w:cstheme="majorBidi"/>
      <w:i/>
      <w:color w:val="081E3E" w:themeColor="text2"/>
      <w:kern w:val="12"/>
      <w:sz w:val="22"/>
    </w:rPr>
  </w:style>
  <w:style w:type="paragraph" w:styleId="Caption">
    <w:name w:val="caption"/>
    <w:basedOn w:val="Normal"/>
    <w:next w:val="Normal"/>
    <w:uiPriority w:val="14"/>
    <w:qFormat/>
    <w:rsid w:val="005F794B"/>
    <w:pPr>
      <w:spacing w:before="240" w:after="160"/>
    </w:pPr>
    <w:rPr>
      <w:b/>
      <w:iCs/>
      <w:szCs w:val="18"/>
    </w:rPr>
  </w:style>
  <w:style w:type="table" w:customStyle="1" w:styleId="DefaultTable1">
    <w:name w:val="Default Table 1"/>
    <w:basedOn w:val="TableNormal"/>
    <w:uiPriority w:val="99"/>
    <w:rsid w:val="00D5655E"/>
    <w:pPr>
      <w:spacing w:before="80"/>
    </w:pPr>
    <w:tblPr>
      <w:tblStyleRowBandSize w:val="1"/>
      <w:tblStyleColBandSize w:val="1"/>
      <w:tblBorders>
        <w:top w:val="single" w:sz="4" w:space="0" w:color="008089" w:themeColor="accent2"/>
        <w:bottom w:val="single" w:sz="4" w:space="0" w:color="008089" w:themeColor="accent2"/>
        <w:insideH w:val="single" w:sz="4" w:space="0" w:color="008089" w:themeColor="accent2"/>
      </w:tblBorders>
    </w:tblPr>
    <w:tblStylePr w:type="firstRow">
      <w:rPr>
        <w:b/>
        <w:color w:val="FFFFFF" w:themeColor="background1"/>
      </w:rPr>
      <w:tblPr/>
      <w:trPr>
        <w:tblHeader/>
      </w:trPr>
      <w:tcPr>
        <w:tcBorders>
          <w:top w:val="nil"/>
          <w:bottom w:val="nil"/>
        </w:tcBorders>
        <w:shd w:val="clear" w:color="auto" w:fill="081E3E" w:themeFill="accent1"/>
      </w:tcPr>
    </w:tblStylePr>
    <w:tblStylePr w:type="lastRow">
      <w:rPr>
        <w:b/>
      </w:rPr>
      <w:tblPr/>
      <w:tcPr>
        <w:shd w:val="clear" w:color="auto" w:fill="F2F6E8"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Sourcenotes">
    <w:name w:val="Source notes"/>
    <w:basedOn w:val="Normal"/>
    <w:uiPriority w:val="15"/>
    <w:qFormat/>
    <w:rsid w:val="001349C6"/>
    <w:pPr>
      <w:spacing w:before="120"/>
    </w:pPr>
    <w:rPr>
      <w:sz w:val="16"/>
      <w:lang w:val="x-none"/>
    </w:rPr>
  </w:style>
  <w:style w:type="paragraph" w:customStyle="1" w:styleId="Sourcenotesnumbered">
    <w:name w:val="Source notes numbered"/>
    <w:basedOn w:val="Sourcenotes"/>
    <w:uiPriority w:val="15"/>
    <w:qFormat/>
    <w:rsid w:val="001349C6"/>
    <w:pPr>
      <w:spacing w:before="80"/>
    </w:pPr>
  </w:style>
  <w:style w:type="paragraph" w:customStyle="1" w:styleId="ListLegal1">
    <w:name w:val="List Legal 1"/>
    <w:basedOn w:val="Normal"/>
    <w:uiPriority w:val="3"/>
    <w:qFormat/>
    <w:rsid w:val="00FC32B2"/>
    <w:pPr>
      <w:numPr>
        <w:numId w:val="13"/>
      </w:numPr>
      <w:spacing w:before="80"/>
    </w:pPr>
    <w:rPr>
      <w:lang w:val="x-none"/>
    </w:rPr>
  </w:style>
  <w:style w:type="paragraph" w:customStyle="1" w:styleId="ListLegal2">
    <w:name w:val="List Legal 2"/>
    <w:basedOn w:val="ListLegal1"/>
    <w:uiPriority w:val="3"/>
    <w:rsid w:val="00FC32B2"/>
    <w:pPr>
      <w:numPr>
        <w:ilvl w:val="1"/>
      </w:numPr>
    </w:pPr>
  </w:style>
  <w:style w:type="paragraph" w:customStyle="1" w:styleId="ListLegal3">
    <w:name w:val="List Legal 3"/>
    <w:basedOn w:val="ListLegal2"/>
    <w:uiPriority w:val="3"/>
    <w:rsid w:val="00FC32B2"/>
    <w:pPr>
      <w:numPr>
        <w:ilvl w:val="2"/>
      </w:numPr>
    </w:pPr>
  </w:style>
  <w:style w:type="paragraph" w:customStyle="1" w:styleId="ListNumbered1">
    <w:name w:val="List Numbered 1"/>
    <w:basedOn w:val="Normal"/>
    <w:uiPriority w:val="3"/>
    <w:qFormat/>
    <w:rsid w:val="00FC32B2"/>
    <w:pPr>
      <w:numPr>
        <w:numId w:val="15"/>
      </w:numPr>
      <w:spacing w:before="80"/>
    </w:pPr>
    <w:rPr>
      <w:lang w:val="x-none"/>
    </w:rPr>
  </w:style>
  <w:style w:type="paragraph" w:customStyle="1" w:styleId="ListNumbered21">
    <w:name w:val="List Numbered 2.1"/>
    <w:basedOn w:val="ListNumbered1"/>
    <w:uiPriority w:val="3"/>
    <w:rsid w:val="00FC32B2"/>
    <w:pPr>
      <w:numPr>
        <w:ilvl w:val="1"/>
      </w:numPr>
    </w:pPr>
  </w:style>
  <w:style w:type="paragraph" w:customStyle="1" w:styleId="ListNumbered311">
    <w:name w:val="List Numbered 3.1.1"/>
    <w:basedOn w:val="ListNumbered21"/>
    <w:uiPriority w:val="3"/>
    <w:rsid w:val="00FC32B2"/>
    <w:pPr>
      <w:numPr>
        <w:ilvl w:val="2"/>
      </w:numPr>
    </w:pPr>
  </w:style>
  <w:style w:type="paragraph" w:customStyle="1" w:styleId="Bullet1">
    <w:name w:val="Bullet 1"/>
    <w:basedOn w:val="Normal"/>
    <w:uiPriority w:val="3"/>
    <w:qFormat/>
    <w:rsid w:val="00CF6CFD"/>
    <w:pPr>
      <w:numPr>
        <w:numId w:val="11"/>
      </w:numPr>
      <w:spacing w:before="80"/>
    </w:pPr>
    <w:rPr>
      <w:lang w:val="x-none"/>
    </w:rPr>
  </w:style>
  <w:style w:type="paragraph" w:customStyle="1" w:styleId="Bullet2">
    <w:name w:val="Bullet 2"/>
    <w:basedOn w:val="Bullet1"/>
    <w:uiPriority w:val="3"/>
    <w:rsid w:val="00CF6CFD"/>
    <w:pPr>
      <w:numPr>
        <w:ilvl w:val="1"/>
      </w:numPr>
    </w:pPr>
  </w:style>
  <w:style w:type="paragraph" w:customStyle="1" w:styleId="Bullet3">
    <w:name w:val="Bullet 3"/>
    <w:basedOn w:val="Bullet2"/>
    <w:uiPriority w:val="3"/>
    <w:rsid w:val="00CF6CFD"/>
    <w:pPr>
      <w:numPr>
        <w:ilvl w:val="2"/>
      </w:numPr>
    </w:pPr>
  </w:style>
  <w:style w:type="paragraph" w:styleId="TOCHeading">
    <w:name w:val="TOC Heading"/>
    <w:basedOn w:val="Heading1"/>
    <w:next w:val="Normal"/>
    <w:uiPriority w:val="38"/>
    <w:rsid w:val="00CF6CFD"/>
    <w:pPr>
      <w:spacing w:before="0"/>
    </w:pPr>
  </w:style>
  <w:style w:type="paragraph" w:customStyle="1" w:styleId="Box1Text">
    <w:name w:val="Box 1 Text"/>
    <w:basedOn w:val="Normal"/>
    <w:uiPriority w:val="23"/>
    <w:qFormat/>
    <w:rsid w:val="00CF6CFD"/>
    <w:pPr>
      <w:pBdr>
        <w:top w:val="single" w:sz="4" w:space="14" w:color="008089" w:themeColor="accent2"/>
        <w:left w:val="single" w:sz="4" w:space="14" w:color="008089" w:themeColor="accent2"/>
        <w:bottom w:val="single" w:sz="4" w:space="14" w:color="008089" w:themeColor="accent2"/>
        <w:right w:val="single" w:sz="4" w:space="14" w:color="008089" w:themeColor="accent2"/>
      </w:pBdr>
      <w:ind w:left="284" w:right="284"/>
    </w:pPr>
    <w:rPr>
      <w:lang w:val="x-none"/>
    </w:rPr>
  </w:style>
  <w:style w:type="paragraph" w:customStyle="1" w:styleId="Box1Heading">
    <w:name w:val="Box 1 Heading"/>
    <w:basedOn w:val="Box1Text"/>
    <w:uiPriority w:val="23"/>
    <w:qFormat/>
    <w:rsid w:val="00CF6CFD"/>
    <w:rPr>
      <w:b/>
    </w:rPr>
  </w:style>
  <w:style w:type="paragraph" w:customStyle="1" w:styleId="Box1Bullet1">
    <w:name w:val="Box 1 Bullet 1"/>
    <w:basedOn w:val="Box1Text"/>
    <w:uiPriority w:val="24"/>
    <w:qFormat/>
    <w:rsid w:val="007C53C4"/>
    <w:pPr>
      <w:numPr>
        <w:numId w:val="27"/>
      </w:numPr>
      <w:spacing w:before="80"/>
    </w:pPr>
    <w:rPr>
      <w:kern w:val="12"/>
      <w:sz w:val="20"/>
      <w:szCs w:val="20"/>
    </w:rPr>
  </w:style>
  <w:style w:type="paragraph" w:customStyle="1" w:styleId="Box2Text">
    <w:name w:val="Box 2 Text"/>
    <w:basedOn w:val="Normal"/>
    <w:uiPriority w:val="24"/>
    <w:qFormat/>
    <w:rsid w:val="007C53C4"/>
    <w:pPr>
      <w:pBdr>
        <w:top w:val="single" w:sz="4" w:space="14" w:color="F2F6E8" w:themeColor="accent5" w:themeTint="33"/>
        <w:left w:val="single" w:sz="4" w:space="14" w:color="F2F6E8" w:themeColor="accent5" w:themeTint="33"/>
        <w:bottom w:val="single" w:sz="4" w:space="14" w:color="F2F6E8" w:themeColor="accent5" w:themeTint="33"/>
        <w:right w:val="single" w:sz="4" w:space="14" w:color="F2F6E8" w:themeColor="accent5" w:themeTint="33"/>
      </w:pBdr>
      <w:shd w:val="clear" w:color="auto" w:fill="F2F6E8" w:themeFill="accent5" w:themeFillTint="33"/>
      <w:ind w:left="284" w:right="284"/>
    </w:pPr>
    <w:rPr>
      <w:lang w:val="x-none"/>
    </w:rPr>
  </w:style>
  <w:style w:type="paragraph" w:customStyle="1" w:styleId="Box2Heading">
    <w:name w:val="Box 2 Heading"/>
    <w:basedOn w:val="Box2Text"/>
    <w:uiPriority w:val="24"/>
    <w:qFormat/>
    <w:rsid w:val="00541213"/>
    <w:rPr>
      <w:b/>
    </w:rPr>
  </w:style>
  <w:style w:type="paragraph" w:customStyle="1" w:styleId="Box2Bullet1">
    <w:name w:val="Box 2 Bullet 1"/>
    <w:basedOn w:val="Box2Text"/>
    <w:uiPriority w:val="25"/>
    <w:qFormat/>
    <w:rsid w:val="007C53C4"/>
    <w:pPr>
      <w:numPr>
        <w:ilvl w:val="1"/>
        <w:numId w:val="27"/>
      </w:numPr>
      <w:spacing w:before="80"/>
    </w:pPr>
    <w:rPr>
      <w:kern w:val="12"/>
      <w:sz w:val="20"/>
      <w:szCs w:val="20"/>
    </w:rPr>
  </w:style>
  <w:style w:type="table" w:customStyle="1" w:styleId="IconBoxTable">
    <w:name w:val="Icon Box Table"/>
    <w:basedOn w:val="TableNormal"/>
    <w:uiPriority w:val="99"/>
    <w:rsid w:val="00D5655E"/>
    <w:pPr>
      <w:spacing w:before="80"/>
    </w:p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Bullets">
    <w:name w:val="Bullets"/>
    <w:uiPriority w:val="99"/>
    <w:rsid w:val="009B00F2"/>
    <w:pPr>
      <w:numPr>
        <w:numId w:val="11"/>
      </w:numPr>
    </w:pPr>
  </w:style>
  <w:style w:type="numbering" w:customStyle="1" w:styleId="ListLegal">
    <w:name w:val="List Legal"/>
    <w:uiPriority w:val="99"/>
    <w:rsid w:val="00477E77"/>
    <w:pPr>
      <w:numPr>
        <w:numId w:val="13"/>
      </w:numPr>
    </w:pPr>
  </w:style>
  <w:style w:type="numbering" w:customStyle="1" w:styleId="ListNumbered">
    <w:name w:val="List Numbered"/>
    <w:uiPriority w:val="99"/>
    <w:rsid w:val="00477E77"/>
    <w:pPr>
      <w:numPr>
        <w:numId w:val="15"/>
      </w:numPr>
    </w:pPr>
  </w:style>
  <w:style w:type="paragraph" w:customStyle="1" w:styleId="Heading1Numbered">
    <w:name w:val="Heading 1 Numbered"/>
    <w:basedOn w:val="Heading1"/>
    <w:uiPriority w:val="10"/>
    <w:rsid w:val="003F775D"/>
    <w:pPr>
      <w:numPr>
        <w:numId w:val="18"/>
      </w:numPr>
    </w:pPr>
  </w:style>
  <w:style w:type="paragraph" w:customStyle="1" w:styleId="Heading2Numbered">
    <w:name w:val="Heading 2 Numbered"/>
    <w:basedOn w:val="Heading2"/>
    <w:uiPriority w:val="10"/>
    <w:rsid w:val="003F775D"/>
    <w:pPr>
      <w:numPr>
        <w:ilvl w:val="1"/>
        <w:numId w:val="18"/>
      </w:numPr>
    </w:pPr>
  </w:style>
  <w:style w:type="paragraph" w:customStyle="1" w:styleId="Heading3Numbered">
    <w:name w:val="Heading 3 Numbered"/>
    <w:basedOn w:val="Heading3"/>
    <w:uiPriority w:val="10"/>
    <w:rsid w:val="003F775D"/>
    <w:pPr>
      <w:numPr>
        <w:ilvl w:val="2"/>
        <w:numId w:val="18"/>
      </w:numPr>
    </w:pPr>
  </w:style>
  <w:style w:type="paragraph" w:customStyle="1" w:styleId="Heading4Numbered">
    <w:name w:val="Heading 4 Numbered"/>
    <w:basedOn w:val="Heading4"/>
    <w:uiPriority w:val="10"/>
    <w:rsid w:val="003F775D"/>
    <w:pPr>
      <w:numPr>
        <w:ilvl w:val="3"/>
        <w:numId w:val="18"/>
      </w:numPr>
    </w:pPr>
  </w:style>
  <w:style w:type="paragraph" w:customStyle="1" w:styleId="Heading5Numbered">
    <w:name w:val="Heading 5 Numbered"/>
    <w:basedOn w:val="Heading5"/>
    <w:uiPriority w:val="10"/>
    <w:rsid w:val="003F775D"/>
    <w:pPr>
      <w:numPr>
        <w:ilvl w:val="4"/>
        <w:numId w:val="18"/>
      </w:numPr>
    </w:pPr>
  </w:style>
  <w:style w:type="numbering" w:customStyle="1" w:styleId="NumberedHeadings">
    <w:name w:val="Numbered Headings"/>
    <w:uiPriority w:val="99"/>
    <w:rsid w:val="003F775D"/>
    <w:pPr>
      <w:numPr>
        <w:numId w:val="17"/>
      </w:numPr>
    </w:pPr>
  </w:style>
  <w:style w:type="paragraph" w:customStyle="1" w:styleId="AppendixHeading1">
    <w:name w:val="Appendix Heading 1"/>
    <w:basedOn w:val="Heading1"/>
    <w:uiPriority w:val="11"/>
    <w:qFormat/>
    <w:rsid w:val="0001430B"/>
    <w:pPr>
      <w:numPr>
        <w:numId w:val="21"/>
      </w:numPr>
    </w:pPr>
  </w:style>
  <w:style w:type="paragraph" w:customStyle="1" w:styleId="AppendixHeading2">
    <w:name w:val="Appendix Heading 2"/>
    <w:basedOn w:val="Heading2"/>
    <w:uiPriority w:val="11"/>
    <w:rsid w:val="0001430B"/>
    <w:pPr>
      <w:numPr>
        <w:ilvl w:val="1"/>
        <w:numId w:val="21"/>
      </w:numPr>
    </w:pPr>
  </w:style>
  <w:style w:type="paragraph" w:customStyle="1" w:styleId="AttachmentHeading1">
    <w:name w:val="Attachment Heading 1"/>
    <w:basedOn w:val="Heading1"/>
    <w:uiPriority w:val="11"/>
    <w:qFormat/>
    <w:rsid w:val="0001430B"/>
    <w:pPr>
      <w:numPr>
        <w:numId w:val="22"/>
      </w:numPr>
    </w:pPr>
  </w:style>
  <w:style w:type="paragraph" w:customStyle="1" w:styleId="AttachmentHeading2">
    <w:name w:val="Attachment Heading 2"/>
    <w:basedOn w:val="Heading2"/>
    <w:uiPriority w:val="11"/>
    <w:rsid w:val="0001430B"/>
    <w:pPr>
      <w:numPr>
        <w:ilvl w:val="1"/>
        <w:numId w:val="22"/>
      </w:numPr>
    </w:pPr>
  </w:style>
  <w:style w:type="numbering" w:customStyle="1" w:styleId="AppendixNumbers">
    <w:name w:val="Appendix Numbers"/>
    <w:uiPriority w:val="99"/>
    <w:rsid w:val="0001430B"/>
    <w:pPr>
      <w:numPr>
        <w:numId w:val="19"/>
      </w:numPr>
    </w:pPr>
  </w:style>
  <w:style w:type="numbering" w:customStyle="1" w:styleId="AttachmentNumbers">
    <w:name w:val="Attachment Numbers"/>
    <w:uiPriority w:val="99"/>
    <w:rsid w:val="0001430B"/>
    <w:pPr>
      <w:numPr>
        <w:numId w:val="22"/>
      </w:numPr>
    </w:pPr>
  </w:style>
  <w:style w:type="paragraph" w:styleId="Quote">
    <w:name w:val="Quote"/>
    <w:basedOn w:val="Normal"/>
    <w:next w:val="Normal"/>
    <w:link w:val="QuoteChar"/>
    <w:uiPriority w:val="29"/>
    <w:qFormat/>
    <w:rsid w:val="00012B85"/>
    <w:pPr>
      <w:pBdr>
        <w:left w:val="single" w:sz="48" w:space="22" w:color="4BB3B5"/>
      </w:pBdr>
      <w:spacing w:after="160"/>
      <w:ind w:left="567" w:right="567"/>
    </w:pPr>
    <w:rPr>
      <w:b/>
      <w:iCs/>
      <w:color w:val="404040" w:themeColor="text1" w:themeTint="BF"/>
    </w:rPr>
  </w:style>
  <w:style w:type="character" w:customStyle="1" w:styleId="QuoteChar">
    <w:name w:val="Quote Char"/>
    <w:basedOn w:val="DefaultParagraphFont"/>
    <w:link w:val="Quote"/>
    <w:uiPriority w:val="29"/>
    <w:rsid w:val="00012B85"/>
    <w:rPr>
      <w:b/>
      <w:iCs/>
      <w:color w:val="404040" w:themeColor="text1" w:themeTint="BF"/>
    </w:rPr>
  </w:style>
  <w:style w:type="paragraph" w:styleId="TOC1">
    <w:name w:val="toc 1"/>
    <w:basedOn w:val="Normal"/>
    <w:next w:val="Normal"/>
    <w:autoRedefine/>
    <w:uiPriority w:val="39"/>
    <w:rsid w:val="00E3470A"/>
    <w:pPr>
      <w:keepLines/>
      <w:ind w:left="567" w:hanging="567"/>
    </w:pPr>
    <w:rPr>
      <w:b/>
      <w:sz w:val="24"/>
      <w:u w:val="single" w:color="008089" w:themeColor="accent2"/>
    </w:rPr>
  </w:style>
  <w:style w:type="paragraph" w:styleId="TOC2">
    <w:name w:val="toc 2"/>
    <w:basedOn w:val="Normal"/>
    <w:next w:val="Normal"/>
    <w:autoRedefine/>
    <w:uiPriority w:val="39"/>
    <w:rsid w:val="00A95970"/>
    <w:pPr>
      <w:keepLines/>
      <w:spacing w:before="80"/>
      <w:ind w:left="567" w:hanging="567"/>
    </w:pPr>
  </w:style>
  <w:style w:type="paragraph" w:styleId="TOC3">
    <w:name w:val="toc 3"/>
    <w:basedOn w:val="Normal"/>
    <w:next w:val="Normal"/>
    <w:autoRedefine/>
    <w:uiPriority w:val="39"/>
    <w:rsid w:val="00DE4362"/>
    <w:pPr>
      <w:spacing w:before="80"/>
      <w:ind w:left="1134" w:hanging="567"/>
    </w:pPr>
  </w:style>
  <w:style w:type="paragraph" w:styleId="TableofFigures">
    <w:name w:val="table of figures"/>
    <w:basedOn w:val="Normal"/>
    <w:next w:val="Normal"/>
    <w:uiPriority w:val="40"/>
    <w:unhideWhenUsed/>
    <w:rsid w:val="006E1ECA"/>
    <w:pPr>
      <w:spacing w:before="80"/>
    </w:pPr>
  </w:style>
  <w:style w:type="paragraph" w:customStyle="1" w:styleId="AreaHeading">
    <w:name w:val="Area Heading"/>
    <w:basedOn w:val="Normal"/>
    <w:qFormat/>
    <w:rsid w:val="00D13AE0"/>
    <w:pPr>
      <w:spacing w:before="0" w:after="240"/>
      <w:ind w:left="-1021" w:firstLine="1021"/>
    </w:pPr>
    <w:rPr>
      <w:rFonts w:cs="Times New Roman (Body CS)"/>
      <w:caps/>
      <w:color w:val="49515C" w:themeColor="accent4" w:themeShade="80"/>
    </w:rPr>
  </w:style>
  <w:style w:type="paragraph" w:customStyle="1" w:styleId="Box2Checklist">
    <w:name w:val="Box 2 Checklist"/>
    <w:basedOn w:val="Box2Text"/>
    <w:uiPriority w:val="26"/>
    <w:qFormat/>
    <w:rsid w:val="007C53C4"/>
    <w:pPr>
      <w:numPr>
        <w:ilvl w:val="2"/>
        <w:numId w:val="27"/>
      </w:numPr>
    </w:pPr>
    <w:rPr>
      <w:kern w:val="12"/>
      <w:sz w:val="20"/>
      <w:szCs w:val="20"/>
    </w:rPr>
  </w:style>
  <w:style w:type="numbering" w:customStyle="1" w:styleId="BoxedBullets">
    <w:name w:val="Boxed Bullets"/>
    <w:uiPriority w:val="99"/>
    <w:rsid w:val="007C53C4"/>
    <w:pPr>
      <w:numPr>
        <w:numId w:val="24"/>
      </w:numPr>
    </w:pPr>
  </w:style>
  <w:style w:type="character" w:styleId="FollowedHyperlink">
    <w:name w:val="FollowedHyperlink"/>
    <w:basedOn w:val="DefaultParagraphFont"/>
    <w:uiPriority w:val="99"/>
    <w:semiHidden/>
    <w:unhideWhenUsed/>
    <w:rsid w:val="00CF0DE2"/>
    <w:rPr>
      <w:color w:val="0046FF" w:themeColor="followedHyperlink"/>
      <w:u w:val="single"/>
    </w:rPr>
  </w:style>
  <w:style w:type="paragraph" w:customStyle="1" w:styleId="SecurityMarker">
    <w:name w:val="Security Marker"/>
    <w:basedOn w:val="Normal"/>
    <w:qFormat/>
    <w:rsid w:val="00B420EE"/>
    <w:pPr>
      <w:spacing w:before="60" w:after="60"/>
      <w:jc w:val="center"/>
    </w:pPr>
    <w:rPr>
      <w:b/>
      <w:bCs/>
      <w:caps/>
      <w:noProof/>
      <w:color w:val="E10000"/>
      <w:sz w:val="28"/>
      <w:szCs w:val="28"/>
      <w:shd w:val="clear" w:color="auto" w:fill="FFFFFF" w:themeFill="background1"/>
    </w:rPr>
  </w:style>
  <w:style w:type="character" w:customStyle="1" w:styleId="UnresolvedMention1">
    <w:name w:val="Unresolved Mention1"/>
    <w:basedOn w:val="DefaultParagraphFont"/>
    <w:uiPriority w:val="99"/>
    <w:semiHidden/>
    <w:unhideWhenUsed/>
    <w:rsid w:val="002919A6"/>
    <w:rPr>
      <w:color w:val="605E5C"/>
      <w:shd w:val="clear" w:color="auto" w:fill="E1DFDD"/>
    </w:rPr>
  </w:style>
  <w:style w:type="character" w:styleId="CommentReference">
    <w:name w:val="annotation reference"/>
    <w:basedOn w:val="DefaultParagraphFont"/>
    <w:uiPriority w:val="99"/>
    <w:semiHidden/>
    <w:unhideWhenUsed/>
    <w:rsid w:val="00C975AF"/>
    <w:rPr>
      <w:sz w:val="16"/>
      <w:szCs w:val="16"/>
    </w:rPr>
  </w:style>
  <w:style w:type="paragraph" w:styleId="CommentText">
    <w:name w:val="annotation text"/>
    <w:basedOn w:val="Normal"/>
    <w:link w:val="CommentTextChar"/>
    <w:uiPriority w:val="99"/>
    <w:semiHidden/>
    <w:unhideWhenUsed/>
    <w:rsid w:val="00C975AF"/>
    <w:rPr>
      <w:sz w:val="20"/>
      <w:szCs w:val="20"/>
    </w:rPr>
  </w:style>
  <w:style w:type="character" w:customStyle="1" w:styleId="CommentTextChar">
    <w:name w:val="Comment Text Char"/>
    <w:basedOn w:val="DefaultParagraphFont"/>
    <w:link w:val="CommentText"/>
    <w:uiPriority w:val="99"/>
    <w:semiHidden/>
    <w:rsid w:val="00C975AF"/>
    <w:rPr>
      <w:sz w:val="20"/>
      <w:szCs w:val="20"/>
    </w:rPr>
  </w:style>
  <w:style w:type="paragraph" w:styleId="CommentSubject">
    <w:name w:val="annotation subject"/>
    <w:basedOn w:val="CommentText"/>
    <w:next w:val="CommentText"/>
    <w:link w:val="CommentSubjectChar"/>
    <w:uiPriority w:val="99"/>
    <w:semiHidden/>
    <w:unhideWhenUsed/>
    <w:rsid w:val="00C975AF"/>
    <w:rPr>
      <w:b/>
      <w:bCs/>
    </w:rPr>
  </w:style>
  <w:style w:type="character" w:customStyle="1" w:styleId="CommentSubjectChar">
    <w:name w:val="Comment Subject Char"/>
    <w:basedOn w:val="CommentTextChar"/>
    <w:link w:val="CommentSubject"/>
    <w:uiPriority w:val="99"/>
    <w:semiHidden/>
    <w:rsid w:val="00C975AF"/>
    <w:rPr>
      <w:b/>
      <w:bCs/>
      <w:sz w:val="20"/>
      <w:szCs w:val="20"/>
    </w:rPr>
  </w:style>
  <w:style w:type="paragraph" w:styleId="BalloonText">
    <w:name w:val="Balloon Text"/>
    <w:basedOn w:val="Normal"/>
    <w:link w:val="BalloonTextChar"/>
    <w:uiPriority w:val="99"/>
    <w:semiHidden/>
    <w:unhideWhenUsed/>
    <w:rsid w:val="00C975AF"/>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75AF"/>
    <w:rPr>
      <w:rFonts w:ascii="Segoe UI" w:hAnsi="Segoe UI" w:cs="Segoe UI"/>
      <w:sz w:val="18"/>
      <w:szCs w:val="18"/>
    </w:rPr>
  </w:style>
  <w:style w:type="paragraph" w:styleId="ListParagraph">
    <w:name w:val="List Paragraph"/>
    <w:basedOn w:val="Normal"/>
    <w:uiPriority w:val="99"/>
    <w:unhideWhenUsed/>
    <w:qFormat/>
    <w:rsid w:val="00722990"/>
    <w:pPr>
      <w:ind w:left="720"/>
      <w:contextualSpacing/>
    </w:pPr>
  </w:style>
  <w:style w:type="paragraph" w:customStyle="1" w:styleId="DocHeading">
    <w:name w:val="DocHeading"/>
    <w:basedOn w:val="Heading1"/>
    <w:qFormat/>
    <w:rsid w:val="00722990"/>
    <w:pPr>
      <w:spacing w:before="160" w:after="220"/>
    </w:pPr>
    <w:rPr>
      <w:rFonts w:asciiTheme="minorHAnsi" w:hAnsiTheme="minorHAnsi" w:cstheme="minorHAnsi"/>
      <w:b/>
    </w:rPr>
  </w:style>
  <w:style w:type="paragraph" w:styleId="NormalWeb">
    <w:name w:val="Normal (Web)"/>
    <w:basedOn w:val="Normal"/>
    <w:uiPriority w:val="99"/>
    <w:semiHidden/>
    <w:unhideWhenUsed/>
    <w:rsid w:val="00F26462"/>
    <w:pPr>
      <w:suppressAutoHyphens w:val="0"/>
      <w:spacing w:before="100" w:beforeAutospacing="1" w:after="100" w:afterAutospacing="1"/>
    </w:pPr>
    <w:rPr>
      <w:rFonts w:ascii="Times New Roman" w:eastAsiaTheme="minorEastAsia" w:hAnsi="Times New Roman" w:cs="Times New Roman"/>
      <w:color w:val="auto"/>
      <w:sz w:val="24"/>
      <w:szCs w:val="24"/>
      <w:lang w:eastAsia="en-AU"/>
    </w:rPr>
  </w:style>
  <w:style w:type="character" w:styleId="UnresolvedMention">
    <w:name w:val="Unresolved Mention"/>
    <w:basedOn w:val="DefaultParagraphFont"/>
    <w:uiPriority w:val="99"/>
    <w:semiHidden/>
    <w:unhideWhenUsed/>
    <w:rsid w:val="00647439"/>
    <w:rPr>
      <w:color w:val="605E5C"/>
      <w:shd w:val="clear" w:color="auto" w:fill="E1DFDD"/>
    </w:rPr>
  </w:style>
  <w:style w:type="paragraph" w:styleId="Revision">
    <w:name w:val="Revision"/>
    <w:hidden/>
    <w:uiPriority w:val="99"/>
    <w:semiHidden/>
    <w:rsid w:val="00454E3B"/>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96407">
      <w:bodyDiv w:val="1"/>
      <w:marLeft w:val="0"/>
      <w:marRight w:val="0"/>
      <w:marTop w:val="0"/>
      <w:marBottom w:val="0"/>
      <w:divBdr>
        <w:top w:val="none" w:sz="0" w:space="0" w:color="auto"/>
        <w:left w:val="none" w:sz="0" w:space="0" w:color="auto"/>
        <w:bottom w:val="none" w:sz="0" w:space="0" w:color="auto"/>
        <w:right w:val="none" w:sz="0" w:space="0" w:color="auto"/>
      </w:divBdr>
    </w:div>
    <w:div w:id="37164725">
      <w:bodyDiv w:val="1"/>
      <w:marLeft w:val="0"/>
      <w:marRight w:val="0"/>
      <w:marTop w:val="0"/>
      <w:marBottom w:val="0"/>
      <w:divBdr>
        <w:top w:val="none" w:sz="0" w:space="0" w:color="auto"/>
        <w:left w:val="none" w:sz="0" w:space="0" w:color="auto"/>
        <w:bottom w:val="none" w:sz="0" w:space="0" w:color="auto"/>
        <w:right w:val="none" w:sz="0" w:space="0" w:color="auto"/>
      </w:divBdr>
    </w:div>
    <w:div w:id="486363797">
      <w:bodyDiv w:val="1"/>
      <w:marLeft w:val="0"/>
      <w:marRight w:val="0"/>
      <w:marTop w:val="0"/>
      <w:marBottom w:val="0"/>
      <w:divBdr>
        <w:top w:val="none" w:sz="0" w:space="0" w:color="auto"/>
        <w:left w:val="none" w:sz="0" w:space="0" w:color="auto"/>
        <w:bottom w:val="none" w:sz="0" w:space="0" w:color="auto"/>
        <w:right w:val="none" w:sz="0" w:space="0" w:color="auto"/>
      </w:divBdr>
    </w:div>
    <w:div w:id="598829613">
      <w:bodyDiv w:val="1"/>
      <w:marLeft w:val="0"/>
      <w:marRight w:val="0"/>
      <w:marTop w:val="0"/>
      <w:marBottom w:val="0"/>
      <w:divBdr>
        <w:top w:val="none" w:sz="0" w:space="0" w:color="auto"/>
        <w:left w:val="none" w:sz="0" w:space="0" w:color="auto"/>
        <w:bottom w:val="none" w:sz="0" w:space="0" w:color="auto"/>
        <w:right w:val="none" w:sz="0" w:space="0" w:color="auto"/>
      </w:divBdr>
    </w:div>
    <w:div w:id="1084491503">
      <w:bodyDiv w:val="1"/>
      <w:marLeft w:val="0"/>
      <w:marRight w:val="0"/>
      <w:marTop w:val="0"/>
      <w:marBottom w:val="0"/>
      <w:divBdr>
        <w:top w:val="none" w:sz="0" w:space="0" w:color="auto"/>
        <w:left w:val="none" w:sz="0" w:space="0" w:color="auto"/>
        <w:bottom w:val="none" w:sz="0" w:space="0" w:color="auto"/>
        <w:right w:val="none" w:sz="0" w:space="0" w:color="auto"/>
      </w:divBdr>
    </w:div>
    <w:div w:id="1102803833">
      <w:bodyDiv w:val="1"/>
      <w:marLeft w:val="0"/>
      <w:marRight w:val="0"/>
      <w:marTop w:val="0"/>
      <w:marBottom w:val="0"/>
      <w:divBdr>
        <w:top w:val="none" w:sz="0" w:space="0" w:color="auto"/>
        <w:left w:val="none" w:sz="0" w:space="0" w:color="auto"/>
        <w:bottom w:val="none" w:sz="0" w:space="0" w:color="auto"/>
        <w:right w:val="none" w:sz="0" w:space="0" w:color="auto"/>
      </w:divBdr>
    </w:div>
    <w:div w:id="1121267049">
      <w:bodyDiv w:val="1"/>
      <w:marLeft w:val="0"/>
      <w:marRight w:val="0"/>
      <w:marTop w:val="0"/>
      <w:marBottom w:val="0"/>
      <w:divBdr>
        <w:top w:val="none" w:sz="0" w:space="0" w:color="auto"/>
        <w:left w:val="none" w:sz="0" w:space="0" w:color="auto"/>
        <w:bottom w:val="none" w:sz="0" w:space="0" w:color="auto"/>
        <w:right w:val="none" w:sz="0" w:space="0" w:color="auto"/>
      </w:divBdr>
    </w:div>
    <w:div w:id="1145123560">
      <w:bodyDiv w:val="1"/>
      <w:marLeft w:val="0"/>
      <w:marRight w:val="0"/>
      <w:marTop w:val="0"/>
      <w:marBottom w:val="0"/>
      <w:divBdr>
        <w:top w:val="none" w:sz="0" w:space="0" w:color="auto"/>
        <w:left w:val="none" w:sz="0" w:space="0" w:color="auto"/>
        <w:bottom w:val="none" w:sz="0" w:space="0" w:color="auto"/>
        <w:right w:val="none" w:sz="0" w:space="0" w:color="auto"/>
      </w:divBdr>
    </w:div>
    <w:div w:id="1721436607">
      <w:bodyDiv w:val="1"/>
      <w:marLeft w:val="0"/>
      <w:marRight w:val="0"/>
      <w:marTop w:val="0"/>
      <w:marBottom w:val="0"/>
      <w:divBdr>
        <w:top w:val="none" w:sz="0" w:space="0" w:color="auto"/>
        <w:left w:val="none" w:sz="0" w:space="0" w:color="auto"/>
        <w:bottom w:val="none" w:sz="0" w:space="0" w:color="auto"/>
        <w:right w:val="none" w:sz="0" w:space="0" w:color="auto"/>
      </w:divBdr>
    </w:div>
    <w:div w:id="1779910708">
      <w:bodyDiv w:val="1"/>
      <w:marLeft w:val="0"/>
      <w:marRight w:val="0"/>
      <w:marTop w:val="0"/>
      <w:marBottom w:val="0"/>
      <w:divBdr>
        <w:top w:val="none" w:sz="0" w:space="0" w:color="auto"/>
        <w:left w:val="none" w:sz="0" w:space="0" w:color="auto"/>
        <w:bottom w:val="none" w:sz="0" w:space="0" w:color="auto"/>
        <w:right w:val="none" w:sz="0" w:space="0" w:color="auto"/>
      </w:divBdr>
    </w:div>
    <w:div w:id="1815442795">
      <w:bodyDiv w:val="1"/>
      <w:marLeft w:val="0"/>
      <w:marRight w:val="0"/>
      <w:marTop w:val="0"/>
      <w:marBottom w:val="0"/>
      <w:divBdr>
        <w:top w:val="none" w:sz="0" w:space="0" w:color="auto"/>
        <w:left w:val="none" w:sz="0" w:space="0" w:color="auto"/>
        <w:bottom w:val="none" w:sz="0" w:space="0" w:color="auto"/>
        <w:right w:val="none" w:sz="0" w:space="0" w:color="auto"/>
      </w:divBdr>
      <w:divsChild>
        <w:div w:id="1226262219">
          <w:marLeft w:val="446"/>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infrastructure.gov.au/department/media/publications/cultural-and-creative-activity-australia-2008-09-2022-23-methodology-refresh-statistical-worki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eader" Target="header5.xml"/><Relationship Id="rId10" Type="http://schemas.openxmlformats.org/officeDocument/2006/relationships/header" Target="header2.xm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INFRA 2022">
      <a:dk1>
        <a:srgbClr val="000000"/>
      </a:dk1>
      <a:lt1>
        <a:srgbClr val="FFFFFF"/>
      </a:lt1>
      <a:dk2>
        <a:srgbClr val="081E3E"/>
      </a:dk2>
      <a:lt2>
        <a:srgbClr val="E7E7E7"/>
      </a:lt2>
      <a:accent1>
        <a:srgbClr val="081E3E"/>
      </a:accent1>
      <a:accent2>
        <a:srgbClr val="008089"/>
      </a:accent2>
      <a:accent3>
        <a:srgbClr val="77D1F4"/>
      </a:accent3>
      <a:accent4>
        <a:srgbClr val="9AA3AF"/>
      </a:accent4>
      <a:accent5>
        <a:srgbClr val="C0D48F"/>
      </a:accent5>
      <a:accent6>
        <a:srgbClr val="6FC197"/>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2C363AC-70DC-48F0-9C09-B23C3CE0D0B3}">
  <ds:schemaRefs>
    <ds:schemaRef ds:uri="http://schemas.openxmlformats.org/officeDocument/2006/bibliography"/>
  </ds:schemaRefs>
</ds:datastoreItem>
</file>

<file path=docMetadata/LabelInfo.xml><?xml version="1.0" encoding="utf-8"?>
<clbl:labelList xmlns:clbl="http://schemas.microsoft.com/office/2020/mipLabelMetadata">
  <clbl:label id="{1e08a618-4c1e-4517-8ef1-59cb63d68e36}" enabled="1" method="Privileged" siteId="{aa21b640-bac2-456d-8505-f2cc07f51784}" contentBits="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910</Words>
  <Characters>5193</Characters>
  <Application>Microsoft Office Word</Application>
  <DocSecurity>0</DocSecurity>
  <Lines>43</Lines>
  <Paragraphs>12</Paragraphs>
  <ScaleCrop>false</ScaleCrop>
  <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2026-09-01T04:44:00Z</dcterms:created>
  <dcterms:modified xsi:type="dcterms:W3CDTF">2026-09-01T04:45:00Z</dcterms:modified>
  <cp:contentStatus/>
</cp:coreProperties>
</file>