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D04F0" w14:textId="0DC6E452" w:rsidR="00EE4855" w:rsidRDefault="007C591A" w:rsidP="00B2759C">
      <w:pPr>
        <w:tabs>
          <w:tab w:val="left" w:pos="5387"/>
        </w:tabs>
        <w:spacing w:after="720"/>
      </w:pPr>
      <w:r w:rsidRPr="00705B49">
        <w:rPr>
          <w:noProof/>
          <w:lang w:eastAsia="en-AU"/>
        </w:rPr>
        <w:drawing>
          <wp:inline distT="0" distB="0" distL="0" distR="0" wp14:anchorId="65FE6DE5" wp14:editId="4F3DD1AF">
            <wp:extent cx="3238500" cy="592455"/>
            <wp:effectExtent l="0" t="0" r="0" b="0"/>
            <wp:docPr id="20" name="Picture 20" descr="Australian Government&#10;Department of Infrastructure, Transport, Regional Development, Communications and the Arts" title="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6820" cy="594433"/>
                    </a:xfrm>
                    <a:prstGeom prst="rect">
                      <a:avLst/>
                    </a:prstGeom>
                  </pic:spPr>
                </pic:pic>
              </a:graphicData>
            </a:graphic>
          </wp:inline>
        </w:drawing>
      </w:r>
      <w:r w:rsidR="00B2759C">
        <w:tab/>
      </w:r>
      <w:r w:rsidRPr="00705B49">
        <w:rPr>
          <w:noProof/>
          <w:lang w:eastAsia="en-AU"/>
        </w:rPr>
        <w:drawing>
          <wp:inline distT="0" distB="0" distL="0" distR="0" wp14:anchorId="07751FA2" wp14:editId="4A55B9F9">
            <wp:extent cx="2506345" cy="631190"/>
            <wp:effectExtent l="0" t="0" r="8255" b="0"/>
            <wp:docPr id="1" name="Picture 1"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reau of Communications, Arts and Regional Research"/>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6345" cy="631190"/>
                    </a:xfrm>
                    <a:prstGeom prst="rect">
                      <a:avLst/>
                    </a:prstGeom>
                  </pic:spPr>
                </pic:pic>
              </a:graphicData>
            </a:graphic>
          </wp:inline>
        </w:drawing>
      </w:r>
    </w:p>
    <w:p w14:paraId="38C3476D" w14:textId="77777777" w:rsidR="00EE4855" w:rsidRDefault="00EE4855" w:rsidP="000E29BE">
      <w:pPr>
        <w:spacing w:after="720"/>
        <w:sectPr w:rsidR="00EE4855" w:rsidSect="000E29BE">
          <w:headerReference w:type="default" r:id="rId10"/>
          <w:footerReference w:type="default" r:id="rId11"/>
          <w:footerReference w:type="first" r:id="rId12"/>
          <w:footnotePr>
            <w:numFmt w:val="lowerRoman"/>
          </w:footnotePr>
          <w:endnotePr>
            <w:numFmt w:val="decimal"/>
          </w:endnotePr>
          <w:pgSz w:w="11906" w:h="16838"/>
          <w:pgMar w:top="1135" w:right="991" w:bottom="1276" w:left="1440" w:header="0" w:footer="113" w:gutter="0"/>
          <w:cols w:space="708"/>
          <w:titlePg/>
          <w:docGrid w:linePitch="360"/>
        </w:sectPr>
      </w:pPr>
    </w:p>
    <w:p w14:paraId="3697EB14" w14:textId="77777777" w:rsidR="00B041CB" w:rsidRPr="00B041CB" w:rsidRDefault="00EE4855" w:rsidP="00A060E9">
      <w:pPr>
        <w:pStyle w:val="Heading1"/>
      </w:pPr>
      <w:r w:rsidRPr="00A060E9">
        <w:t>Productivity</w:t>
      </w:r>
      <w:r w:rsidRPr="00705B49">
        <w:t xml:space="preserve"> impacts from improved broadban</w:t>
      </w:r>
      <w:r>
        <w:t>d</w:t>
      </w:r>
    </w:p>
    <w:p w14:paraId="7D2226DE" w14:textId="77777777" w:rsidR="00B041CB" w:rsidRPr="00B041CB" w:rsidRDefault="00EE4855" w:rsidP="00A060E9">
      <w:pPr>
        <w:pStyle w:val="Subtitle"/>
      </w:pPr>
      <w:r w:rsidRPr="00705B49">
        <w:t>Firm-level analysis</w:t>
      </w:r>
    </w:p>
    <w:p w14:paraId="223A133A" w14:textId="77777777" w:rsidR="00B041CB" w:rsidRPr="00B041CB" w:rsidRDefault="00EE4855" w:rsidP="00A060E9">
      <w:pPr>
        <w:suppressAutoHyphens/>
        <w:spacing w:before="160" w:after="80"/>
        <w:rPr>
          <w:rFonts w:eastAsia="Calibri" w:cs="Times New Roman"/>
          <w:b/>
          <w:color w:val="081E3E"/>
          <w:kern w:val="12"/>
          <w:sz w:val="20"/>
          <w:szCs w:val="20"/>
        </w:rPr>
      </w:pPr>
      <w:r>
        <w:rPr>
          <w:rFonts w:eastAsia="Calibri" w:cs="Times New Roman"/>
          <w:b/>
          <w:color w:val="081E3E"/>
          <w:kern w:val="12"/>
          <w:sz w:val="20"/>
          <w:szCs w:val="20"/>
        </w:rPr>
        <w:t>March</w:t>
      </w:r>
      <w:r w:rsidR="00B041CB" w:rsidRPr="00B041CB">
        <w:rPr>
          <w:rFonts w:eastAsia="Calibri" w:cs="Times New Roman"/>
          <w:b/>
          <w:color w:val="081E3E"/>
          <w:kern w:val="12"/>
          <w:sz w:val="20"/>
          <w:szCs w:val="20"/>
        </w:rPr>
        <w:t xml:space="preserve"> 202</w:t>
      </w:r>
      <w:r w:rsidR="00D85DEB">
        <w:rPr>
          <w:rFonts w:eastAsia="Calibri" w:cs="Times New Roman"/>
          <w:b/>
          <w:color w:val="081E3E"/>
          <w:kern w:val="12"/>
          <w:sz w:val="20"/>
          <w:szCs w:val="20"/>
        </w:rPr>
        <w:t>3</w:t>
      </w:r>
    </w:p>
    <w:p w14:paraId="29006639" w14:textId="77777777" w:rsidR="009C1ECD" w:rsidRDefault="009C1ECD" w:rsidP="009C1ECD">
      <w:pPr>
        <w:jc w:val="right"/>
        <w:rPr>
          <w:rFonts w:eastAsia="Calibri" w:cs="Times New Roman"/>
          <w:color w:val="000000"/>
          <w:kern w:val="12"/>
          <w:sz w:val="20"/>
          <w:szCs w:val="20"/>
        </w:rPr>
      </w:pPr>
    </w:p>
    <w:p w14:paraId="0F5E5D7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2357ADF" w14:textId="77777777" w:rsidR="0068740B" w:rsidRPr="00705B49" w:rsidRDefault="0068740B" w:rsidP="0068740B">
      <w:pPr>
        <w:pStyle w:val="NoSpacing"/>
      </w:pPr>
      <w:r w:rsidRPr="00705B49">
        <w:lastRenderedPageBreak/>
        <w:t>© Commonwealth of Australia 2023</w:t>
      </w:r>
    </w:p>
    <w:p w14:paraId="48B79D85" w14:textId="77777777" w:rsidR="0068740B" w:rsidRPr="00705B49" w:rsidRDefault="0068740B" w:rsidP="0068740B">
      <w:r w:rsidRPr="00161A70">
        <w:t>March 2023</w:t>
      </w:r>
    </w:p>
    <w:p w14:paraId="4722CF5B" w14:textId="77777777" w:rsidR="0068740B" w:rsidRPr="00705B49" w:rsidRDefault="0068740B" w:rsidP="0068740B">
      <w:pPr>
        <w:pStyle w:val="Heading2notshowing"/>
      </w:pPr>
      <w:r w:rsidRPr="00705B49">
        <w:t>Ownership of intellectual property rights in this publication</w:t>
      </w:r>
    </w:p>
    <w:p w14:paraId="1D79C04F" w14:textId="77777777" w:rsidR="0068740B" w:rsidRPr="00705B49" w:rsidRDefault="0068740B" w:rsidP="0068740B">
      <w:r w:rsidRPr="00705B49">
        <w:t>Unless otherwise noted, copyright (and any other intellectual property rights, if any) in this publication is owned by the Commonwealth of Australia (referred to below as the Commonwealth).</w:t>
      </w:r>
    </w:p>
    <w:p w14:paraId="62D35FE7" w14:textId="77777777" w:rsidR="0068740B" w:rsidRPr="00705B49" w:rsidRDefault="0068740B" w:rsidP="0068740B">
      <w:pPr>
        <w:pStyle w:val="Heading2notshowing"/>
      </w:pPr>
      <w:r w:rsidRPr="00705B49">
        <w:t>Disclaimer</w:t>
      </w:r>
    </w:p>
    <w:p w14:paraId="62130C83" w14:textId="77777777" w:rsidR="0068740B" w:rsidRPr="00705B49" w:rsidRDefault="0068740B" w:rsidP="0068740B">
      <w:r w:rsidRPr="00705B49">
        <w:t>The material contained in this publication is made available on the understanding that the Commonwealth is not providing professional advice, and that users exercise their own skill and care with respect to its use, and seek independent advice if necessary.</w:t>
      </w:r>
    </w:p>
    <w:p w14:paraId="0FD3F780" w14:textId="77777777" w:rsidR="0068740B" w:rsidRPr="00705B49" w:rsidRDefault="0068740B" w:rsidP="0068740B">
      <w:r w:rsidRPr="00705B49">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51CAB148" w14:textId="77777777" w:rsidR="0068740B" w:rsidRPr="00705B49" w:rsidRDefault="0068740B" w:rsidP="0068740B">
      <w:pPr>
        <w:pStyle w:val="Heading2notshowing"/>
      </w:pPr>
      <w:r w:rsidRPr="00705B49">
        <w:t>Creative Commons licence</w:t>
      </w:r>
    </w:p>
    <w:p w14:paraId="67FFF171" w14:textId="77777777" w:rsidR="0068740B" w:rsidRPr="00705B49" w:rsidRDefault="0068740B" w:rsidP="0068740B">
      <w:r w:rsidRPr="00705B49">
        <w:t>With the exception of (a) the Coat of Arms; (b) the Department of Infrastructure, Transport, Regional Development and Communications photos and graphics; and (c) [OTHER], copyright in this publication is licensed under a Creative Commons Attribution 4.0 Australia Licence.</w:t>
      </w:r>
    </w:p>
    <w:p w14:paraId="60DE7788" w14:textId="77777777" w:rsidR="0068740B" w:rsidRPr="00705B49" w:rsidRDefault="0068740B" w:rsidP="0068740B">
      <w:r w:rsidRPr="00705B49">
        <w:t>Creative Commons Attribution 4.0 Australia Licence is a standard form licence agreement that allows you to copy, communicate and adapt this publication provided that you attribute the work to the Commonwealth and abide by the other licence terms.</w:t>
      </w:r>
    </w:p>
    <w:p w14:paraId="519C836F" w14:textId="77777777" w:rsidR="0068740B" w:rsidRPr="00705B49" w:rsidRDefault="0068740B" w:rsidP="0068740B">
      <w:r w:rsidRPr="00705B49">
        <w:t xml:space="preserve">Further information on the licence terms is available from </w:t>
      </w:r>
      <w:hyperlink r:id="rId13" w:tooltip="Creative Commons website" w:history="1">
        <w:r w:rsidRPr="00705B49">
          <w:rPr>
            <w:rStyle w:val="Hyperlink"/>
          </w:rPr>
          <w:t>https://creativecommons.org/licenses/by/4.0/</w:t>
        </w:r>
      </w:hyperlink>
      <w:r>
        <w:t>.</w:t>
      </w:r>
    </w:p>
    <w:p w14:paraId="7C6B09CB" w14:textId="77777777" w:rsidR="0068740B" w:rsidRPr="00705B49" w:rsidRDefault="0068740B" w:rsidP="0068740B">
      <w:r w:rsidRPr="00705B49">
        <w:t>This publication should be attributed in the following way: © Commonwealth of Australia 2023</w:t>
      </w:r>
      <w:r>
        <w:t>.</w:t>
      </w:r>
    </w:p>
    <w:p w14:paraId="3163B419" w14:textId="77777777" w:rsidR="0068740B" w:rsidRPr="00705B49" w:rsidRDefault="0068740B" w:rsidP="0068740B">
      <w:pPr>
        <w:pStyle w:val="Heading2notshowing"/>
      </w:pPr>
      <w:r w:rsidRPr="00705B49">
        <w:t>Use of the Coat of Arms</w:t>
      </w:r>
    </w:p>
    <w:p w14:paraId="5900E697" w14:textId="77777777" w:rsidR="0068740B" w:rsidRPr="00705B49" w:rsidRDefault="0068740B" w:rsidP="0068740B">
      <w:r w:rsidRPr="00705B49">
        <w:t>The Department of the Prime Minister and Cabinet sets the terms under which the Coat of Arms is used. Please refer to the Commonwealth Coat of Arms</w:t>
      </w:r>
      <w:r>
        <w:t>—</w:t>
      </w:r>
      <w:r w:rsidRPr="00705B49">
        <w:t xml:space="preserve">Information and Guidelines publication available at </w:t>
      </w:r>
      <w:hyperlink r:id="rId14" w:tooltip="Department of Prime Minister and Cabinet website" w:history="1">
        <w:r w:rsidRPr="00705B49">
          <w:rPr>
            <w:rStyle w:val="Hyperlink"/>
          </w:rPr>
          <w:t>http://www.pmc.gov.au</w:t>
        </w:r>
      </w:hyperlink>
      <w:r w:rsidRPr="00705B49">
        <w:t>.</w:t>
      </w:r>
    </w:p>
    <w:p w14:paraId="129B21F3" w14:textId="77777777" w:rsidR="0068740B" w:rsidRPr="00705B49" w:rsidRDefault="0068740B" w:rsidP="0068740B">
      <w:pPr>
        <w:pStyle w:val="Heading2notshowing"/>
      </w:pPr>
      <w:r w:rsidRPr="00705B49">
        <w:t>Contact us</w:t>
      </w:r>
    </w:p>
    <w:p w14:paraId="64721AC0" w14:textId="77777777" w:rsidR="0068740B" w:rsidRPr="00705B49" w:rsidRDefault="0068740B" w:rsidP="0068740B">
      <w:r w:rsidRPr="00705B49">
        <w:t>This publication is available in hard copy or PDF format. All other rights are reserved, including in relation to any departmental logos or trade marks which may exist. For enquiries regarding the licence and any use of this publication, please contact:</w:t>
      </w:r>
    </w:p>
    <w:p w14:paraId="08792FCA" w14:textId="77777777" w:rsidR="0068740B" w:rsidRPr="00705B49" w:rsidRDefault="0068740B" w:rsidP="0068740B">
      <w:pPr>
        <w:pStyle w:val="NoSpacing"/>
      </w:pPr>
      <w:r w:rsidRPr="00705B49">
        <w:t>Director – Creative Services</w:t>
      </w:r>
    </w:p>
    <w:p w14:paraId="2C2B0B69" w14:textId="77777777" w:rsidR="0068740B" w:rsidRPr="00705B49" w:rsidRDefault="0068740B" w:rsidP="0068740B">
      <w:pPr>
        <w:pStyle w:val="NoSpacing"/>
      </w:pPr>
      <w:r w:rsidRPr="00705B49">
        <w:t>Communication Branch</w:t>
      </w:r>
    </w:p>
    <w:p w14:paraId="0A618960" w14:textId="77777777" w:rsidR="0068740B" w:rsidRPr="00705B49" w:rsidRDefault="0068740B" w:rsidP="0068740B">
      <w:pPr>
        <w:pStyle w:val="NoSpacing"/>
      </w:pPr>
      <w:r w:rsidRPr="00705B49">
        <w:t>Department of Infrastructure, Transport, Regional Development, Communications and the Arts</w:t>
      </w:r>
    </w:p>
    <w:p w14:paraId="5ADFCD43" w14:textId="77777777" w:rsidR="0068740B" w:rsidRPr="00705B49" w:rsidRDefault="0068740B" w:rsidP="0068740B">
      <w:pPr>
        <w:pStyle w:val="NoSpacing"/>
      </w:pPr>
      <w:r w:rsidRPr="00705B49">
        <w:t>GPO Box 594</w:t>
      </w:r>
    </w:p>
    <w:p w14:paraId="56D275AE" w14:textId="77777777" w:rsidR="0068740B" w:rsidRPr="00705B49" w:rsidRDefault="0068740B" w:rsidP="0068740B">
      <w:pPr>
        <w:pStyle w:val="NoSpacing"/>
      </w:pPr>
      <w:r w:rsidRPr="00705B49">
        <w:t>Canberra ACT 2601</w:t>
      </w:r>
    </w:p>
    <w:p w14:paraId="62F97517" w14:textId="77777777" w:rsidR="0068740B" w:rsidRPr="00705B49" w:rsidRDefault="0068740B" w:rsidP="0068740B">
      <w:r w:rsidRPr="00705B49">
        <w:t>Australia</w:t>
      </w:r>
    </w:p>
    <w:p w14:paraId="170DEE3E" w14:textId="77777777" w:rsidR="0068740B" w:rsidRPr="00705B49" w:rsidRDefault="0068740B" w:rsidP="0068740B">
      <w:r w:rsidRPr="00705B49">
        <w:t xml:space="preserve">Email: </w:t>
      </w:r>
      <w:hyperlink r:id="rId15" w:tooltip="Email the Publishing team at the Department of Infrastructure, Transport, Regional Development and Communications" w:history="1">
        <w:r w:rsidRPr="00705B49">
          <w:rPr>
            <w:rStyle w:val="Hyperlink"/>
          </w:rPr>
          <w:t>publishing@infrastructure.gov.au</w:t>
        </w:r>
      </w:hyperlink>
    </w:p>
    <w:p w14:paraId="0C796FCF" w14:textId="77777777" w:rsidR="009C1ECD" w:rsidRDefault="0068740B" w:rsidP="0068740B">
      <w:r w:rsidRPr="00705B49">
        <w:t xml:space="preserve">Website: </w:t>
      </w:r>
      <w:hyperlink r:id="rId16" w:tooltip="Department of Infrastructure, Transport, Regional Development and Communications website" w:history="1">
        <w:r w:rsidRPr="00705B49">
          <w:rPr>
            <w:rStyle w:val="Hyperlink"/>
          </w:rPr>
          <w:t>www.infrastructure.gov.au</w:t>
        </w:r>
      </w:hyperlink>
      <w:r w:rsidR="009C1ECD">
        <w:br w:type="page"/>
      </w:r>
    </w:p>
    <w:p w14:paraId="29C2FCEA" w14:textId="77777777" w:rsidR="00670726" w:rsidRPr="00796AB4" w:rsidRDefault="00670726" w:rsidP="00796AB4">
      <w:pPr>
        <w:pStyle w:val="Heading2notshowing"/>
        <w:rPr>
          <w:sz w:val="44"/>
          <w:szCs w:val="44"/>
        </w:rPr>
      </w:pPr>
      <w:r w:rsidRPr="00796AB4">
        <w:rPr>
          <w:sz w:val="44"/>
          <w:szCs w:val="44"/>
        </w:rPr>
        <w:lastRenderedPageBreak/>
        <w:t>Table of contents</w:t>
      </w:r>
    </w:p>
    <w:p w14:paraId="386D76FF" w14:textId="29915188" w:rsidR="000F7F63" w:rsidRDefault="00D56177" w:rsidP="000F7F63">
      <w:pPr>
        <w:pStyle w:val="TOC1"/>
        <w:rPr>
          <w:rFonts w:asciiTheme="minorHAnsi" w:eastAsiaTheme="minorEastAsia" w:hAnsiTheme="minorHAnsi"/>
          <w:noProof/>
          <w:color w:val="auto"/>
          <w:sz w:val="22"/>
          <w:u w:val="none"/>
          <w:lang w:eastAsia="en-AU"/>
        </w:rPr>
      </w:pPr>
      <w:r>
        <w:fldChar w:fldCharType="begin"/>
      </w:r>
      <w:r>
        <w:instrText xml:space="preserve"> TOC \h \z \u \t "Heading 2,1,Heading 3,2,Heading 4,3" </w:instrText>
      </w:r>
      <w:r>
        <w:fldChar w:fldCharType="separate"/>
      </w:r>
      <w:hyperlink w:anchor="_Toc129777677" w:history="1">
        <w:r w:rsidR="000F7F63" w:rsidRPr="00006ECA">
          <w:rPr>
            <w:rStyle w:val="Hyperlink"/>
            <w:noProof/>
          </w:rPr>
          <w:t>Key Findings</w:t>
        </w:r>
        <w:r w:rsidR="000F7F63">
          <w:rPr>
            <w:noProof/>
            <w:webHidden/>
          </w:rPr>
          <w:tab/>
        </w:r>
        <w:r w:rsidR="000F7F63">
          <w:rPr>
            <w:noProof/>
            <w:webHidden/>
          </w:rPr>
          <w:fldChar w:fldCharType="begin"/>
        </w:r>
        <w:r w:rsidR="000F7F63">
          <w:rPr>
            <w:noProof/>
            <w:webHidden/>
          </w:rPr>
          <w:instrText xml:space="preserve"> PAGEREF _Toc129777677 \h </w:instrText>
        </w:r>
        <w:r w:rsidR="000F7F63">
          <w:rPr>
            <w:noProof/>
            <w:webHidden/>
          </w:rPr>
        </w:r>
        <w:r w:rsidR="000F7F63">
          <w:rPr>
            <w:noProof/>
            <w:webHidden/>
          </w:rPr>
          <w:fldChar w:fldCharType="separate"/>
        </w:r>
        <w:r w:rsidR="00CC7B9C">
          <w:rPr>
            <w:noProof/>
            <w:webHidden/>
          </w:rPr>
          <w:t>5</w:t>
        </w:r>
        <w:r w:rsidR="000F7F63">
          <w:rPr>
            <w:noProof/>
            <w:webHidden/>
          </w:rPr>
          <w:fldChar w:fldCharType="end"/>
        </w:r>
      </w:hyperlink>
    </w:p>
    <w:p w14:paraId="5A7AF43E" w14:textId="5CA5AF38" w:rsidR="000F7F63" w:rsidRDefault="005562AF" w:rsidP="000F7F63">
      <w:pPr>
        <w:pStyle w:val="TOC1"/>
        <w:rPr>
          <w:rFonts w:asciiTheme="minorHAnsi" w:eastAsiaTheme="minorEastAsia" w:hAnsiTheme="minorHAnsi"/>
          <w:noProof/>
          <w:color w:val="auto"/>
          <w:sz w:val="22"/>
          <w:u w:val="none"/>
          <w:lang w:eastAsia="en-AU"/>
        </w:rPr>
      </w:pPr>
      <w:hyperlink w:anchor="_Toc129777678" w:history="1">
        <w:r w:rsidR="000F7F63" w:rsidRPr="00006ECA">
          <w:rPr>
            <w:rStyle w:val="Hyperlink"/>
            <w:noProof/>
          </w:rPr>
          <w:t>Introduction</w:t>
        </w:r>
        <w:r w:rsidR="000F7F63">
          <w:rPr>
            <w:noProof/>
            <w:webHidden/>
          </w:rPr>
          <w:tab/>
        </w:r>
        <w:r w:rsidR="000F7F63">
          <w:rPr>
            <w:noProof/>
            <w:webHidden/>
          </w:rPr>
          <w:fldChar w:fldCharType="begin"/>
        </w:r>
        <w:r w:rsidR="000F7F63">
          <w:rPr>
            <w:noProof/>
            <w:webHidden/>
          </w:rPr>
          <w:instrText xml:space="preserve"> PAGEREF _Toc129777678 \h </w:instrText>
        </w:r>
        <w:r w:rsidR="000F7F63">
          <w:rPr>
            <w:noProof/>
            <w:webHidden/>
          </w:rPr>
        </w:r>
        <w:r w:rsidR="000F7F63">
          <w:rPr>
            <w:noProof/>
            <w:webHidden/>
          </w:rPr>
          <w:fldChar w:fldCharType="separate"/>
        </w:r>
        <w:r w:rsidR="00CC7B9C">
          <w:rPr>
            <w:noProof/>
            <w:webHidden/>
          </w:rPr>
          <w:t>6</w:t>
        </w:r>
        <w:r w:rsidR="000F7F63">
          <w:rPr>
            <w:noProof/>
            <w:webHidden/>
          </w:rPr>
          <w:fldChar w:fldCharType="end"/>
        </w:r>
      </w:hyperlink>
    </w:p>
    <w:p w14:paraId="39F8E609" w14:textId="3E985630" w:rsidR="000F7F63" w:rsidRDefault="005562AF" w:rsidP="000F7F63">
      <w:pPr>
        <w:pStyle w:val="TOC1"/>
        <w:rPr>
          <w:rFonts w:asciiTheme="minorHAnsi" w:eastAsiaTheme="minorEastAsia" w:hAnsiTheme="minorHAnsi"/>
          <w:noProof/>
          <w:color w:val="auto"/>
          <w:sz w:val="22"/>
          <w:u w:val="none"/>
          <w:lang w:eastAsia="en-AU"/>
        </w:rPr>
      </w:pPr>
      <w:hyperlink w:anchor="_Toc129777679" w:history="1">
        <w:r w:rsidR="000F7F63" w:rsidRPr="00006ECA">
          <w:rPr>
            <w:rStyle w:val="Hyperlink"/>
            <w:noProof/>
          </w:rPr>
          <w:t>Changes in business use of broadband</w:t>
        </w:r>
        <w:r w:rsidR="000F7F63">
          <w:rPr>
            <w:noProof/>
            <w:webHidden/>
          </w:rPr>
          <w:tab/>
        </w:r>
        <w:r w:rsidR="000F7F63">
          <w:rPr>
            <w:noProof/>
            <w:webHidden/>
          </w:rPr>
          <w:fldChar w:fldCharType="begin"/>
        </w:r>
        <w:r w:rsidR="000F7F63">
          <w:rPr>
            <w:noProof/>
            <w:webHidden/>
          </w:rPr>
          <w:instrText xml:space="preserve"> PAGEREF _Toc129777679 \h </w:instrText>
        </w:r>
        <w:r w:rsidR="000F7F63">
          <w:rPr>
            <w:noProof/>
            <w:webHidden/>
          </w:rPr>
        </w:r>
        <w:r w:rsidR="000F7F63">
          <w:rPr>
            <w:noProof/>
            <w:webHidden/>
          </w:rPr>
          <w:fldChar w:fldCharType="separate"/>
        </w:r>
        <w:r w:rsidR="00CC7B9C">
          <w:rPr>
            <w:noProof/>
            <w:webHidden/>
          </w:rPr>
          <w:t>7</w:t>
        </w:r>
        <w:r w:rsidR="000F7F63">
          <w:rPr>
            <w:noProof/>
            <w:webHidden/>
          </w:rPr>
          <w:fldChar w:fldCharType="end"/>
        </w:r>
      </w:hyperlink>
    </w:p>
    <w:p w14:paraId="1C9DB63F" w14:textId="4C58D5AC" w:rsidR="000F7F63" w:rsidRDefault="005562AF">
      <w:pPr>
        <w:pStyle w:val="TOC2"/>
        <w:rPr>
          <w:rFonts w:asciiTheme="minorHAnsi" w:eastAsiaTheme="minorEastAsia" w:hAnsiTheme="minorHAnsi"/>
          <w:noProof/>
          <w:lang w:eastAsia="en-AU"/>
        </w:rPr>
      </w:pPr>
      <w:hyperlink w:anchor="_Toc129777680" w:history="1">
        <w:r w:rsidR="000F7F63" w:rsidRPr="00006ECA">
          <w:rPr>
            <w:rStyle w:val="Hyperlink"/>
            <w:noProof/>
          </w:rPr>
          <w:t>Businesses are carrying out more of their activities online</w:t>
        </w:r>
        <w:r w:rsidR="000F7F63">
          <w:rPr>
            <w:noProof/>
            <w:webHidden/>
          </w:rPr>
          <w:tab/>
        </w:r>
        <w:r w:rsidR="000F7F63">
          <w:rPr>
            <w:noProof/>
            <w:webHidden/>
          </w:rPr>
          <w:fldChar w:fldCharType="begin"/>
        </w:r>
        <w:r w:rsidR="000F7F63">
          <w:rPr>
            <w:noProof/>
            <w:webHidden/>
          </w:rPr>
          <w:instrText xml:space="preserve"> PAGEREF _Toc129777680 \h </w:instrText>
        </w:r>
        <w:r w:rsidR="000F7F63">
          <w:rPr>
            <w:noProof/>
            <w:webHidden/>
          </w:rPr>
        </w:r>
        <w:r w:rsidR="000F7F63">
          <w:rPr>
            <w:noProof/>
            <w:webHidden/>
          </w:rPr>
          <w:fldChar w:fldCharType="separate"/>
        </w:r>
        <w:r w:rsidR="00CC7B9C">
          <w:rPr>
            <w:noProof/>
            <w:webHidden/>
          </w:rPr>
          <w:t>7</w:t>
        </w:r>
        <w:r w:rsidR="000F7F63">
          <w:rPr>
            <w:noProof/>
            <w:webHidden/>
          </w:rPr>
          <w:fldChar w:fldCharType="end"/>
        </w:r>
      </w:hyperlink>
    </w:p>
    <w:p w14:paraId="69655398" w14:textId="2DC771C2" w:rsidR="000F7F63" w:rsidRDefault="005562AF">
      <w:pPr>
        <w:pStyle w:val="TOC2"/>
        <w:rPr>
          <w:rFonts w:asciiTheme="minorHAnsi" w:eastAsiaTheme="minorEastAsia" w:hAnsiTheme="minorHAnsi"/>
          <w:noProof/>
          <w:lang w:eastAsia="en-AU"/>
        </w:rPr>
      </w:pPr>
      <w:hyperlink w:anchor="_Toc129777681" w:history="1">
        <w:r w:rsidR="000F7F63" w:rsidRPr="00006ECA">
          <w:rPr>
            <w:rStyle w:val="Hyperlink"/>
            <w:noProof/>
          </w:rPr>
          <w:t>Shift from DSL to fibre broadband</w:t>
        </w:r>
        <w:r w:rsidR="000F7F63">
          <w:rPr>
            <w:noProof/>
            <w:webHidden/>
          </w:rPr>
          <w:tab/>
        </w:r>
        <w:r w:rsidR="000F7F63">
          <w:rPr>
            <w:noProof/>
            <w:webHidden/>
          </w:rPr>
          <w:fldChar w:fldCharType="begin"/>
        </w:r>
        <w:r w:rsidR="000F7F63">
          <w:rPr>
            <w:noProof/>
            <w:webHidden/>
          </w:rPr>
          <w:instrText xml:space="preserve"> PAGEREF _Toc129777681 \h </w:instrText>
        </w:r>
        <w:r w:rsidR="000F7F63">
          <w:rPr>
            <w:noProof/>
            <w:webHidden/>
          </w:rPr>
        </w:r>
        <w:r w:rsidR="000F7F63">
          <w:rPr>
            <w:noProof/>
            <w:webHidden/>
          </w:rPr>
          <w:fldChar w:fldCharType="separate"/>
        </w:r>
        <w:r w:rsidR="00CC7B9C">
          <w:rPr>
            <w:noProof/>
            <w:webHidden/>
          </w:rPr>
          <w:t>7</w:t>
        </w:r>
        <w:r w:rsidR="000F7F63">
          <w:rPr>
            <w:noProof/>
            <w:webHidden/>
          </w:rPr>
          <w:fldChar w:fldCharType="end"/>
        </w:r>
      </w:hyperlink>
    </w:p>
    <w:p w14:paraId="6F44DDB6" w14:textId="0AA887EF" w:rsidR="000F7F63" w:rsidRDefault="005562AF">
      <w:pPr>
        <w:pStyle w:val="TOC2"/>
        <w:rPr>
          <w:rFonts w:asciiTheme="minorHAnsi" w:eastAsiaTheme="minorEastAsia" w:hAnsiTheme="minorHAnsi"/>
          <w:noProof/>
          <w:lang w:eastAsia="en-AU"/>
        </w:rPr>
      </w:pPr>
      <w:hyperlink w:anchor="_Toc129777682" w:history="1">
        <w:r w:rsidR="000F7F63" w:rsidRPr="00006ECA">
          <w:rPr>
            <w:rStyle w:val="Hyperlink"/>
            <w:noProof/>
          </w:rPr>
          <w:t>Broadband use depends on business characteristics</w:t>
        </w:r>
        <w:r w:rsidR="000F7F63">
          <w:rPr>
            <w:noProof/>
            <w:webHidden/>
          </w:rPr>
          <w:tab/>
        </w:r>
        <w:r w:rsidR="000F7F63">
          <w:rPr>
            <w:noProof/>
            <w:webHidden/>
          </w:rPr>
          <w:fldChar w:fldCharType="begin"/>
        </w:r>
        <w:r w:rsidR="000F7F63">
          <w:rPr>
            <w:noProof/>
            <w:webHidden/>
          </w:rPr>
          <w:instrText xml:space="preserve"> PAGEREF _Toc129777682 \h </w:instrText>
        </w:r>
        <w:r w:rsidR="000F7F63">
          <w:rPr>
            <w:noProof/>
            <w:webHidden/>
          </w:rPr>
        </w:r>
        <w:r w:rsidR="000F7F63">
          <w:rPr>
            <w:noProof/>
            <w:webHidden/>
          </w:rPr>
          <w:fldChar w:fldCharType="separate"/>
        </w:r>
        <w:r w:rsidR="00CC7B9C">
          <w:rPr>
            <w:noProof/>
            <w:webHidden/>
          </w:rPr>
          <w:t>9</w:t>
        </w:r>
        <w:r w:rsidR="000F7F63">
          <w:rPr>
            <w:noProof/>
            <w:webHidden/>
          </w:rPr>
          <w:fldChar w:fldCharType="end"/>
        </w:r>
      </w:hyperlink>
    </w:p>
    <w:p w14:paraId="3FFA73BF" w14:textId="2BD347B3" w:rsidR="000F7F63" w:rsidRDefault="005562AF" w:rsidP="000F7F63">
      <w:pPr>
        <w:pStyle w:val="TOC1"/>
        <w:rPr>
          <w:rFonts w:asciiTheme="minorHAnsi" w:eastAsiaTheme="minorEastAsia" w:hAnsiTheme="minorHAnsi"/>
          <w:noProof/>
          <w:color w:val="auto"/>
          <w:sz w:val="22"/>
          <w:u w:val="none"/>
          <w:lang w:eastAsia="en-AU"/>
        </w:rPr>
      </w:pPr>
      <w:hyperlink w:anchor="_Toc129777683" w:history="1">
        <w:r w:rsidR="000F7F63" w:rsidRPr="00006ECA">
          <w:rPr>
            <w:rStyle w:val="Hyperlink"/>
            <w:noProof/>
          </w:rPr>
          <w:t>Broadband and productivity growth</w:t>
        </w:r>
        <w:r w:rsidR="000F7F63">
          <w:rPr>
            <w:noProof/>
            <w:webHidden/>
          </w:rPr>
          <w:tab/>
        </w:r>
        <w:r w:rsidR="000F7F63">
          <w:rPr>
            <w:noProof/>
            <w:webHidden/>
          </w:rPr>
          <w:fldChar w:fldCharType="begin"/>
        </w:r>
        <w:r w:rsidR="000F7F63">
          <w:rPr>
            <w:noProof/>
            <w:webHidden/>
          </w:rPr>
          <w:instrText xml:space="preserve"> PAGEREF _Toc129777683 \h </w:instrText>
        </w:r>
        <w:r w:rsidR="000F7F63">
          <w:rPr>
            <w:noProof/>
            <w:webHidden/>
          </w:rPr>
        </w:r>
        <w:r w:rsidR="000F7F63">
          <w:rPr>
            <w:noProof/>
            <w:webHidden/>
          </w:rPr>
          <w:fldChar w:fldCharType="separate"/>
        </w:r>
        <w:r w:rsidR="00CC7B9C">
          <w:rPr>
            <w:noProof/>
            <w:webHidden/>
          </w:rPr>
          <w:t>13</w:t>
        </w:r>
        <w:r w:rsidR="000F7F63">
          <w:rPr>
            <w:noProof/>
            <w:webHidden/>
          </w:rPr>
          <w:fldChar w:fldCharType="end"/>
        </w:r>
      </w:hyperlink>
    </w:p>
    <w:p w14:paraId="06373E22" w14:textId="1EB18A6F" w:rsidR="000F7F63" w:rsidRDefault="005562AF">
      <w:pPr>
        <w:pStyle w:val="TOC2"/>
        <w:rPr>
          <w:rFonts w:asciiTheme="minorHAnsi" w:eastAsiaTheme="minorEastAsia" w:hAnsiTheme="minorHAnsi"/>
          <w:noProof/>
          <w:lang w:eastAsia="en-AU"/>
        </w:rPr>
      </w:pPr>
      <w:hyperlink w:anchor="_Toc129777684" w:history="1">
        <w:r w:rsidR="000F7F63" w:rsidRPr="00006ECA">
          <w:rPr>
            <w:rStyle w:val="Hyperlink"/>
            <w:noProof/>
          </w:rPr>
          <w:t>Firms with better broadband report higher productivity growth</w:t>
        </w:r>
        <w:r w:rsidR="000F7F63">
          <w:rPr>
            <w:noProof/>
            <w:webHidden/>
          </w:rPr>
          <w:tab/>
        </w:r>
        <w:r w:rsidR="000F7F63">
          <w:rPr>
            <w:noProof/>
            <w:webHidden/>
          </w:rPr>
          <w:fldChar w:fldCharType="begin"/>
        </w:r>
        <w:r w:rsidR="000F7F63">
          <w:rPr>
            <w:noProof/>
            <w:webHidden/>
          </w:rPr>
          <w:instrText xml:space="preserve"> PAGEREF _Toc129777684 \h </w:instrText>
        </w:r>
        <w:r w:rsidR="000F7F63">
          <w:rPr>
            <w:noProof/>
            <w:webHidden/>
          </w:rPr>
        </w:r>
        <w:r w:rsidR="000F7F63">
          <w:rPr>
            <w:noProof/>
            <w:webHidden/>
          </w:rPr>
          <w:fldChar w:fldCharType="separate"/>
        </w:r>
        <w:r w:rsidR="00CC7B9C">
          <w:rPr>
            <w:noProof/>
            <w:webHidden/>
          </w:rPr>
          <w:t>13</w:t>
        </w:r>
        <w:r w:rsidR="000F7F63">
          <w:rPr>
            <w:noProof/>
            <w:webHidden/>
          </w:rPr>
          <w:fldChar w:fldCharType="end"/>
        </w:r>
      </w:hyperlink>
    </w:p>
    <w:p w14:paraId="1057465E" w14:textId="6768DC20" w:rsidR="000F7F63" w:rsidRDefault="005562AF">
      <w:pPr>
        <w:pStyle w:val="TOC2"/>
        <w:rPr>
          <w:rFonts w:asciiTheme="minorHAnsi" w:eastAsiaTheme="minorEastAsia" w:hAnsiTheme="minorHAnsi"/>
          <w:noProof/>
          <w:lang w:eastAsia="en-AU"/>
        </w:rPr>
      </w:pPr>
      <w:hyperlink w:anchor="_Toc129777685" w:history="1">
        <w:r w:rsidR="000F7F63" w:rsidRPr="00006ECA">
          <w:rPr>
            <w:rStyle w:val="Hyperlink"/>
            <w:noProof/>
          </w:rPr>
          <w:t>Productivity growth by broadband technology</w:t>
        </w:r>
        <w:r w:rsidR="000F7F63">
          <w:rPr>
            <w:noProof/>
            <w:webHidden/>
          </w:rPr>
          <w:tab/>
        </w:r>
        <w:r w:rsidR="000F7F63">
          <w:rPr>
            <w:noProof/>
            <w:webHidden/>
          </w:rPr>
          <w:fldChar w:fldCharType="begin"/>
        </w:r>
        <w:r w:rsidR="000F7F63">
          <w:rPr>
            <w:noProof/>
            <w:webHidden/>
          </w:rPr>
          <w:instrText xml:space="preserve"> PAGEREF _Toc129777685 \h </w:instrText>
        </w:r>
        <w:r w:rsidR="000F7F63">
          <w:rPr>
            <w:noProof/>
            <w:webHidden/>
          </w:rPr>
        </w:r>
        <w:r w:rsidR="000F7F63">
          <w:rPr>
            <w:noProof/>
            <w:webHidden/>
          </w:rPr>
          <w:fldChar w:fldCharType="separate"/>
        </w:r>
        <w:r w:rsidR="00CC7B9C">
          <w:rPr>
            <w:noProof/>
            <w:webHidden/>
          </w:rPr>
          <w:t>14</w:t>
        </w:r>
        <w:r w:rsidR="000F7F63">
          <w:rPr>
            <w:noProof/>
            <w:webHidden/>
          </w:rPr>
          <w:fldChar w:fldCharType="end"/>
        </w:r>
      </w:hyperlink>
    </w:p>
    <w:p w14:paraId="7F333779" w14:textId="77931292" w:rsidR="000F7F63" w:rsidRDefault="005562AF">
      <w:pPr>
        <w:pStyle w:val="TOC2"/>
        <w:rPr>
          <w:rFonts w:asciiTheme="minorHAnsi" w:eastAsiaTheme="minorEastAsia" w:hAnsiTheme="minorHAnsi"/>
          <w:noProof/>
          <w:lang w:eastAsia="en-AU"/>
        </w:rPr>
      </w:pPr>
      <w:hyperlink w:anchor="_Toc129777686" w:history="1">
        <w:r w:rsidR="000F7F63" w:rsidRPr="00006ECA">
          <w:rPr>
            <w:rStyle w:val="Hyperlink"/>
            <w:noProof/>
          </w:rPr>
          <w:t>Broadband type can be linked with productivity growth</w:t>
        </w:r>
        <w:r w:rsidR="000F7F63">
          <w:rPr>
            <w:noProof/>
            <w:webHidden/>
          </w:rPr>
          <w:tab/>
        </w:r>
        <w:r w:rsidR="000F7F63">
          <w:rPr>
            <w:noProof/>
            <w:webHidden/>
          </w:rPr>
          <w:fldChar w:fldCharType="begin"/>
        </w:r>
        <w:r w:rsidR="000F7F63">
          <w:rPr>
            <w:noProof/>
            <w:webHidden/>
          </w:rPr>
          <w:instrText xml:space="preserve"> PAGEREF _Toc129777686 \h </w:instrText>
        </w:r>
        <w:r w:rsidR="000F7F63">
          <w:rPr>
            <w:noProof/>
            <w:webHidden/>
          </w:rPr>
        </w:r>
        <w:r w:rsidR="000F7F63">
          <w:rPr>
            <w:noProof/>
            <w:webHidden/>
          </w:rPr>
          <w:fldChar w:fldCharType="separate"/>
        </w:r>
        <w:r w:rsidR="00CC7B9C">
          <w:rPr>
            <w:noProof/>
            <w:webHidden/>
          </w:rPr>
          <w:t>15</w:t>
        </w:r>
        <w:r w:rsidR="000F7F63">
          <w:rPr>
            <w:noProof/>
            <w:webHidden/>
          </w:rPr>
          <w:fldChar w:fldCharType="end"/>
        </w:r>
      </w:hyperlink>
    </w:p>
    <w:p w14:paraId="6AE4070E" w14:textId="47DD8EC0" w:rsidR="000F7F63" w:rsidRDefault="005562AF">
      <w:pPr>
        <w:pStyle w:val="TOC2"/>
        <w:rPr>
          <w:rFonts w:asciiTheme="minorHAnsi" w:eastAsiaTheme="minorEastAsia" w:hAnsiTheme="minorHAnsi"/>
          <w:noProof/>
          <w:lang w:eastAsia="en-AU"/>
        </w:rPr>
      </w:pPr>
      <w:hyperlink w:anchor="_Toc129777687" w:history="1">
        <w:r w:rsidR="000F7F63" w:rsidRPr="00006ECA">
          <w:rPr>
            <w:rStyle w:val="Hyperlink"/>
            <w:noProof/>
          </w:rPr>
          <w:t>Improved broadband has a positive impact on productivity growth</w:t>
        </w:r>
        <w:r w:rsidR="000F7F63">
          <w:rPr>
            <w:noProof/>
            <w:webHidden/>
          </w:rPr>
          <w:tab/>
        </w:r>
        <w:r w:rsidR="000F7F63">
          <w:rPr>
            <w:noProof/>
            <w:webHidden/>
          </w:rPr>
          <w:fldChar w:fldCharType="begin"/>
        </w:r>
        <w:r w:rsidR="000F7F63">
          <w:rPr>
            <w:noProof/>
            <w:webHidden/>
          </w:rPr>
          <w:instrText xml:space="preserve"> PAGEREF _Toc129777687 \h </w:instrText>
        </w:r>
        <w:r w:rsidR="000F7F63">
          <w:rPr>
            <w:noProof/>
            <w:webHidden/>
          </w:rPr>
        </w:r>
        <w:r w:rsidR="000F7F63">
          <w:rPr>
            <w:noProof/>
            <w:webHidden/>
          </w:rPr>
          <w:fldChar w:fldCharType="separate"/>
        </w:r>
        <w:r w:rsidR="00CC7B9C">
          <w:rPr>
            <w:noProof/>
            <w:webHidden/>
          </w:rPr>
          <w:t>18</w:t>
        </w:r>
        <w:r w:rsidR="000F7F63">
          <w:rPr>
            <w:noProof/>
            <w:webHidden/>
          </w:rPr>
          <w:fldChar w:fldCharType="end"/>
        </w:r>
      </w:hyperlink>
    </w:p>
    <w:p w14:paraId="48EF85B8" w14:textId="0D19B766" w:rsidR="000F7F63" w:rsidRDefault="005562AF" w:rsidP="000F7F63">
      <w:pPr>
        <w:pStyle w:val="TOC1"/>
        <w:rPr>
          <w:rFonts w:asciiTheme="minorHAnsi" w:eastAsiaTheme="minorEastAsia" w:hAnsiTheme="minorHAnsi"/>
          <w:noProof/>
          <w:color w:val="auto"/>
          <w:sz w:val="22"/>
          <w:u w:val="none"/>
          <w:lang w:eastAsia="en-AU"/>
        </w:rPr>
      </w:pPr>
      <w:hyperlink w:anchor="_Toc129777688" w:history="1">
        <w:r w:rsidR="000F7F63" w:rsidRPr="00006ECA">
          <w:rPr>
            <w:rStyle w:val="Hyperlink"/>
            <w:noProof/>
          </w:rPr>
          <w:t>Conclusion</w:t>
        </w:r>
        <w:r w:rsidR="000F7F63">
          <w:rPr>
            <w:noProof/>
            <w:webHidden/>
          </w:rPr>
          <w:tab/>
        </w:r>
        <w:r w:rsidR="000F7F63">
          <w:rPr>
            <w:noProof/>
            <w:webHidden/>
          </w:rPr>
          <w:fldChar w:fldCharType="begin"/>
        </w:r>
        <w:r w:rsidR="000F7F63">
          <w:rPr>
            <w:noProof/>
            <w:webHidden/>
          </w:rPr>
          <w:instrText xml:space="preserve"> PAGEREF _Toc129777688 \h </w:instrText>
        </w:r>
        <w:r w:rsidR="000F7F63">
          <w:rPr>
            <w:noProof/>
            <w:webHidden/>
          </w:rPr>
        </w:r>
        <w:r w:rsidR="000F7F63">
          <w:rPr>
            <w:noProof/>
            <w:webHidden/>
          </w:rPr>
          <w:fldChar w:fldCharType="separate"/>
        </w:r>
        <w:r w:rsidR="00CC7B9C">
          <w:rPr>
            <w:noProof/>
            <w:webHidden/>
          </w:rPr>
          <w:t>20</w:t>
        </w:r>
        <w:r w:rsidR="000F7F63">
          <w:rPr>
            <w:noProof/>
            <w:webHidden/>
          </w:rPr>
          <w:fldChar w:fldCharType="end"/>
        </w:r>
      </w:hyperlink>
    </w:p>
    <w:p w14:paraId="27E9B165" w14:textId="676A4D75" w:rsidR="000F7F63" w:rsidRDefault="005562AF" w:rsidP="000F7F63">
      <w:pPr>
        <w:pStyle w:val="TOC1"/>
        <w:rPr>
          <w:rFonts w:asciiTheme="minorHAnsi" w:eastAsiaTheme="minorEastAsia" w:hAnsiTheme="minorHAnsi"/>
          <w:noProof/>
          <w:color w:val="auto"/>
          <w:sz w:val="22"/>
          <w:u w:val="none"/>
          <w:lang w:eastAsia="en-AU"/>
        </w:rPr>
      </w:pPr>
      <w:hyperlink w:anchor="_Toc129777689" w:history="1">
        <w:r w:rsidR="000F7F63" w:rsidRPr="00006ECA">
          <w:rPr>
            <w:rStyle w:val="Hyperlink"/>
            <w:noProof/>
          </w:rPr>
          <w:t>Appendix A: Data sources and preparation</w:t>
        </w:r>
        <w:r w:rsidR="000F7F63">
          <w:rPr>
            <w:noProof/>
            <w:webHidden/>
          </w:rPr>
          <w:tab/>
        </w:r>
        <w:r w:rsidR="000F7F63">
          <w:rPr>
            <w:noProof/>
            <w:webHidden/>
          </w:rPr>
          <w:fldChar w:fldCharType="begin"/>
        </w:r>
        <w:r w:rsidR="000F7F63">
          <w:rPr>
            <w:noProof/>
            <w:webHidden/>
          </w:rPr>
          <w:instrText xml:space="preserve"> PAGEREF _Toc129777689 \h </w:instrText>
        </w:r>
        <w:r w:rsidR="000F7F63">
          <w:rPr>
            <w:noProof/>
            <w:webHidden/>
          </w:rPr>
        </w:r>
        <w:r w:rsidR="000F7F63">
          <w:rPr>
            <w:noProof/>
            <w:webHidden/>
          </w:rPr>
          <w:fldChar w:fldCharType="separate"/>
        </w:r>
        <w:r w:rsidR="00CC7B9C">
          <w:rPr>
            <w:noProof/>
            <w:webHidden/>
          </w:rPr>
          <w:t>21</w:t>
        </w:r>
        <w:r w:rsidR="000F7F63">
          <w:rPr>
            <w:noProof/>
            <w:webHidden/>
          </w:rPr>
          <w:fldChar w:fldCharType="end"/>
        </w:r>
      </w:hyperlink>
    </w:p>
    <w:p w14:paraId="4B474975" w14:textId="3EE1D20E" w:rsidR="000F7F63" w:rsidRDefault="005562AF">
      <w:pPr>
        <w:pStyle w:val="TOC2"/>
        <w:rPr>
          <w:rFonts w:asciiTheme="minorHAnsi" w:eastAsiaTheme="minorEastAsia" w:hAnsiTheme="minorHAnsi"/>
          <w:noProof/>
          <w:lang w:eastAsia="en-AU"/>
        </w:rPr>
      </w:pPr>
      <w:hyperlink w:anchor="_Toc129777690" w:history="1">
        <w:r w:rsidR="000F7F63" w:rsidRPr="00006ECA">
          <w:rPr>
            <w:rStyle w:val="Hyperlink"/>
            <w:noProof/>
          </w:rPr>
          <w:t>Methodology summary</w:t>
        </w:r>
        <w:r w:rsidR="000F7F63">
          <w:rPr>
            <w:noProof/>
            <w:webHidden/>
          </w:rPr>
          <w:tab/>
        </w:r>
        <w:r w:rsidR="000F7F63">
          <w:rPr>
            <w:noProof/>
            <w:webHidden/>
          </w:rPr>
          <w:fldChar w:fldCharType="begin"/>
        </w:r>
        <w:r w:rsidR="000F7F63">
          <w:rPr>
            <w:noProof/>
            <w:webHidden/>
          </w:rPr>
          <w:instrText xml:space="preserve"> PAGEREF _Toc129777690 \h </w:instrText>
        </w:r>
        <w:r w:rsidR="000F7F63">
          <w:rPr>
            <w:noProof/>
            <w:webHidden/>
          </w:rPr>
        </w:r>
        <w:r w:rsidR="000F7F63">
          <w:rPr>
            <w:noProof/>
            <w:webHidden/>
          </w:rPr>
          <w:fldChar w:fldCharType="separate"/>
        </w:r>
        <w:r w:rsidR="00CC7B9C">
          <w:rPr>
            <w:noProof/>
            <w:webHidden/>
          </w:rPr>
          <w:t>22</w:t>
        </w:r>
        <w:r w:rsidR="000F7F63">
          <w:rPr>
            <w:noProof/>
            <w:webHidden/>
          </w:rPr>
          <w:fldChar w:fldCharType="end"/>
        </w:r>
      </w:hyperlink>
    </w:p>
    <w:p w14:paraId="08D9D836" w14:textId="633F1755" w:rsidR="000F7F63" w:rsidRDefault="005562AF" w:rsidP="000F7F63">
      <w:pPr>
        <w:pStyle w:val="TOC1"/>
        <w:rPr>
          <w:rFonts w:asciiTheme="minorHAnsi" w:eastAsiaTheme="minorEastAsia" w:hAnsiTheme="minorHAnsi"/>
          <w:noProof/>
          <w:color w:val="auto"/>
          <w:sz w:val="22"/>
          <w:u w:val="none"/>
          <w:lang w:eastAsia="en-AU"/>
        </w:rPr>
      </w:pPr>
      <w:hyperlink w:anchor="_Toc129777691" w:history="1">
        <w:r w:rsidR="000F7F63" w:rsidRPr="00006ECA">
          <w:rPr>
            <w:rStyle w:val="Hyperlink"/>
            <w:noProof/>
          </w:rPr>
          <w:t>Appendix B: Firm-level productivity growth measures</w:t>
        </w:r>
        <w:r w:rsidR="000F7F63">
          <w:rPr>
            <w:noProof/>
            <w:webHidden/>
          </w:rPr>
          <w:tab/>
        </w:r>
        <w:r w:rsidR="000F7F63">
          <w:rPr>
            <w:noProof/>
            <w:webHidden/>
          </w:rPr>
          <w:fldChar w:fldCharType="begin"/>
        </w:r>
        <w:r w:rsidR="000F7F63">
          <w:rPr>
            <w:noProof/>
            <w:webHidden/>
          </w:rPr>
          <w:instrText xml:space="preserve"> PAGEREF _Toc129777691 \h </w:instrText>
        </w:r>
        <w:r w:rsidR="000F7F63">
          <w:rPr>
            <w:noProof/>
            <w:webHidden/>
          </w:rPr>
        </w:r>
        <w:r w:rsidR="000F7F63">
          <w:rPr>
            <w:noProof/>
            <w:webHidden/>
          </w:rPr>
          <w:fldChar w:fldCharType="separate"/>
        </w:r>
        <w:r w:rsidR="00CC7B9C">
          <w:rPr>
            <w:noProof/>
            <w:webHidden/>
          </w:rPr>
          <w:t>23</w:t>
        </w:r>
        <w:r w:rsidR="000F7F63">
          <w:rPr>
            <w:noProof/>
            <w:webHidden/>
          </w:rPr>
          <w:fldChar w:fldCharType="end"/>
        </w:r>
      </w:hyperlink>
    </w:p>
    <w:p w14:paraId="284846C4" w14:textId="353DD383" w:rsidR="000F7F63" w:rsidRDefault="005562AF">
      <w:pPr>
        <w:pStyle w:val="TOC2"/>
        <w:rPr>
          <w:rFonts w:asciiTheme="minorHAnsi" w:eastAsiaTheme="minorEastAsia" w:hAnsiTheme="minorHAnsi"/>
          <w:noProof/>
          <w:lang w:eastAsia="en-AU"/>
        </w:rPr>
      </w:pPr>
      <w:hyperlink w:anchor="_Toc129777692" w:history="1">
        <w:r w:rsidR="000F7F63" w:rsidRPr="00006ECA">
          <w:rPr>
            <w:rStyle w:val="Hyperlink"/>
            <w:noProof/>
          </w:rPr>
          <w:t>Deriving productivity growth using index numbers</w:t>
        </w:r>
        <w:r w:rsidR="000F7F63">
          <w:rPr>
            <w:noProof/>
            <w:webHidden/>
          </w:rPr>
          <w:tab/>
        </w:r>
        <w:r w:rsidR="000F7F63">
          <w:rPr>
            <w:noProof/>
            <w:webHidden/>
          </w:rPr>
          <w:fldChar w:fldCharType="begin"/>
        </w:r>
        <w:r w:rsidR="000F7F63">
          <w:rPr>
            <w:noProof/>
            <w:webHidden/>
          </w:rPr>
          <w:instrText xml:space="preserve"> PAGEREF _Toc129777692 \h </w:instrText>
        </w:r>
        <w:r w:rsidR="000F7F63">
          <w:rPr>
            <w:noProof/>
            <w:webHidden/>
          </w:rPr>
        </w:r>
        <w:r w:rsidR="000F7F63">
          <w:rPr>
            <w:noProof/>
            <w:webHidden/>
          </w:rPr>
          <w:fldChar w:fldCharType="separate"/>
        </w:r>
        <w:r w:rsidR="00CC7B9C">
          <w:rPr>
            <w:noProof/>
            <w:webHidden/>
          </w:rPr>
          <w:t>23</w:t>
        </w:r>
        <w:r w:rsidR="000F7F63">
          <w:rPr>
            <w:noProof/>
            <w:webHidden/>
          </w:rPr>
          <w:fldChar w:fldCharType="end"/>
        </w:r>
      </w:hyperlink>
    </w:p>
    <w:p w14:paraId="77CF9B0D" w14:textId="7D90F9DA" w:rsidR="000F7F63" w:rsidRDefault="005562AF">
      <w:pPr>
        <w:pStyle w:val="TOC3"/>
        <w:rPr>
          <w:rFonts w:asciiTheme="minorHAnsi" w:eastAsiaTheme="minorEastAsia" w:hAnsiTheme="minorHAnsi"/>
          <w:noProof/>
          <w:sz w:val="22"/>
          <w:lang w:eastAsia="en-AU"/>
        </w:rPr>
      </w:pPr>
      <w:hyperlink w:anchor="_Toc129777693" w:history="1">
        <w:r w:rsidR="000F7F63" w:rsidRPr="00006ECA">
          <w:rPr>
            <w:rStyle w:val="Hyperlink"/>
            <w:noProof/>
          </w:rPr>
          <w:t>Creating a capital index</w:t>
        </w:r>
        <w:r w:rsidR="000F7F63">
          <w:rPr>
            <w:noProof/>
            <w:webHidden/>
          </w:rPr>
          <w:tab/>
        </w:r>
        <w:r w:rsidR="000F7F63">
          <w:rPr>
            <w:noProof/>
            <w:webHidden/>
          </w:rPr>
          <w:fldChar w:fldCharType="begin"/>
        </w:r>
        <w:r w:rsidR="000F7F63">
          <w:rPr>
            <w:noProof/>
            <w:webHidden/>
          </w:rPr>
          <w:instrText xml:space="preserve"> PAGEREF _Toc129777693 \h </w:instrText>
        </w:r>
        <w:r w:rsidR="000F7F63">
          <w:rPr>
            <w:noProof/>
            <w:webHidden/>
          </w:rPr>
        </w:r>
        <w:r w:rsidR="000F7F63">
          <w:rPr>
            <w:noProof/>
            <w:webHidden/>
          </w:rPr>
          <w:fldChar w:fldCharType="separate"/>
        </w:r>
        <w:r w:rsidR="00CC7B9C">
          <w:rPr>
            <w:noProof/>
            <w:webHidden/>
          </w:rPr>
          <w:t>24</w:t>
        </w:r>
        <w:r w:rsidR="000F7F63">
          <w:rPr>
            <w:noProof/>
            <w:webHidden/>
          </w:rPr>
          <w:fldChar w:fldCharType="end"/>
        </w:r>
      </w:hyperlink>
    </w:p>
    <w:p w14:paraId="727C375B" w14:textId="05776F0B" w:rsidR="000F7F63" w:rsidRDefault="005562AF">
      <w:pPr>
        <w:pStyle w:val="TOC3"/>
        <w:rPr>
          <w:rFonts w:asciiTheme="minorHAnsi" w:eastAsiaTheme="minorEastAsia" w:hAnsiTheme="minorHAnsi"/>
          <w:noProof/>
          <w:sz w:val="22"/>
          <w:lang w:eastAsia="en-AU"/>
        </w:rPr>
      </w:pPr>
      <w:hyperlink w:anchor="_Toc129777694" w:history="1">
        <w:r w:rsidR="000F7F63" w:rsidRPr="00006ECA">
          <w:rPr>
            <w:rStyle w:val="Hyperlink"/>
            <w:noProof/>
          </w:rPr>
          <w:t>Input index weighting</w:t>
        </w:r>
        <w:r w:rsidR="000F7F63">
          <w:rPr>
            <w:noProof/>
            <w:webHidden/>
          </w:rPr>
          <w:tab/>
        </w:r>
        <w:r w:rsidR="000F7F63">
          <w:rPr>
            <w:noProof/>
            <w:webHidden/>
          </w:rPr>
          <w:fldChar w:fldCharType="begin"/>
        </w:r>
        <w:r w:rsidR="000F7F63">
          <w:rPr>
            <w:noProof/>
            <w:webHidden/>
          </w:rPr>
          <w:instrText xml:space="preserve"> PAGEREF _Toc129777694 \h </w:instrText>
        </w:r>
        <w:r w:rsidR="000F7F63">
          <w:rPr>
            <w:noProof/>
            <w:webHidden/>
          </w:rPr>
        </w:r>
        <w:r w:rsidR="000F7F63">
          <w:rPr>
            <w:noProof/>
            <w:webHidden/>
          </w:rPr>
          <w:fldChar w:fldCharType="separate"/>
        </w:r>
        <w:r w:rsidR="00CC7B9C">
          <w:rPr>
            <w:noProof/>
            <w:webHidden/>
          </w:rPr>
          <w:t>24</w:t>
        </w:r>
        <w:r w:rsidR="000F7F63">
          <w:rPr>
            <w:noProof/>
            <w:webHidden/>
          </w:rPr>
          <w:fldChar w:fldCharType="end"/>
        </w:r>
      </w:hyperlink>
    </w:p>
    <w:p w14:paraId="2264A528" w14:textId="00B7E437" w:rsidR="000F7F63" w:rsidRDefault="005562AF">
      <w:pPr>
        <w:pStyle w:val="TOC2"/>
        <w:rPr>
          <w:rFonts w:asciiTheme="minorHAnsi" w:eastAsiaTheme="minorEastAsia" w:hAnsiTheme="minorHAnsi"/>
          <w:noProof/>
          <w:lang w:eastAsia="en-AU"/>
        </w:rPr>
      </w:pPr>
      <w:hyperlink w:anchor="_Toc129777695" w:history="1">
        <w:r w:rsidR="000F7F63" w:rsidRPr="00006ECA">
          <w:rPr>
            <w:rStyle w:val="Hyperlink"/>
            <w:noProof/>
          </w:rPr>
          <w:t>Imputing missing data using XGBoost</w:t>
        </w:r>
        <w:r w:rsidR="000F7F63">
          <w:rPr>
            <w:noProof/>
            <w:webHidden/>
          </w:rPr>
          <w:tab/>
        </w:r>
        <w:r w:rsidR="000F7F63">
          <w:rPr>
            <w:noProof/>
            <w:webHidden/>
          </w:rPr>
          <w:fldChar w:fldCharType="begin"/>
        </w:r>
        <w:r w:rsidR="000F7F63">
          <w:rPr>
            <w:noProof/>
            <w:webHidden/>
          </w:rPr>
          <w:instrText xml:space="preserve"> PAGEREF _Toc129777695 \h </w:instrText>
        </w:r>
        <w:r w:rsidR="000F7F63">
          <w:rPr>
            <w:noProof/>
            <w:webHidden/>
          </w:rPr>
        </w:r>
        <w:r w:rsidR="000F7F63">
          <w:rPr>
            <w:noProof/>
            <w:webHidden/>
          </w:rPr>
          <w:fldChar w:fldCharType="separate"/>
        </w:r>
        <w:r w:rsidR="00CC7B9C">
          <w:rPr>
            <w:noProof/>
            <w:webHidden/>
          </w:rPr>
          <w:t>25</w:t>
        </w:r>
        <w:r w:rsidR="000F7F63">
          <w:rPr>
            <w:noProof/>
            <w:webHidden/>
          </w:rPr>
          <w:fldChar w:fldCharType="end"/>
        </w:r>
      </w:hyperlink>
    </w:p>
    <w:p w14:paraId="0A20B631" w14:textId="069431EB" w:rsidR="000F7F63" w:rsidRDefault="005562AF" w:rsidP="000F7F63">
      <w:pPr>
        <w:pStyle w:val="TOC1"/>
        <w:rPr>
          <w:rFonts w:asciiTheme="minorHAnsi" w:eastAsiaTheme="minorEastAsia" w:hAnsiTheme="minorHAnsi"/>
          <w:noProof/>
          <w:color w:val="auto"/>
          <w:sz w:val="22"/>
          <w:u w:val="none"/>
          <w:lang w:eastAsia="en-AU"/>
        </w:rPr>
      </w:pPr>
      <w:hyperlink w:anchor="_Toc129777696" w:history="1">
        <w:r w:rsidR="000F7F63" w:rsidRPr="00006ECA">
          <w:rPr>
            <w:rStyle w:val="Hyperlink"/>
            <w:noProof/>
          </w:rPr>
          <w:t>Appendix C: Scope of the analysis</w:t>
        </w:r>
        <w:r w:rsidR="000F7F63">
          <w:rPr>
            <w:noProof/>
            <w:webHidden/>
          </w:rPr>
          <w:tab/>
        </w:r>
        <w:r w:rsidR="000F7F63">
          <w:rPr>
            <w:noProof/>
            <w:webHidden/>
          </w:rPr>
          <w:fldChar w:fldCharType="begin"/>
        </w:r>
        <w:r w:rsidR="000F7F63">
          <w:rPr>
            <w:noProof/>
            <w:webHidden/>
          </w:rPr>
          <w:instrText xml:space="preserve"> PAGEREF _Toc129777696 \h </w:instrText>
        </w:r>
        <w:r w:rsidR="000F7F63">
          <w:rPr>
            <w:noProof/>
            <w:webHidden/>
          </w:rPr>
        </w:r>
        <w:r w:rsidR="000F7F63">
          <w:rPr>
            <w:noProof/>
            <w:webHidden/>
          </w:rPr>
          <w:fldChar w:fldCharType="separate"/>
        </w:r>
        <w:r w:rsidR="00CC7B9C">
          <w:rPr>
            <w:noProof/>
            <w:webHidden/>
          </w:rPr>
          <w:t>27</w:t>
        </w:r>
        <w:r w:rsidR="000F7F63">
          <w:rPr>
            <w:noProof/>
            <w:webHidden/>
          </w:rPr>
          <w:fldChar w:fldCharType="end"/>
        </w:r>
      </w:hyperlink>
    </w:p>
    <w:p w14:paraId="23FA344B" w14:textId="1086374A" w:rsidR="000F7F63" w:rsidRDefault="005562AF" w:rsidP="000F7F63">
      <w:pPr>
        <w:pStyle w:val="TOC1"/>
        <w:rPr>
          <w:rFonts w:asciiTheme="minorHAnsi" w:eastAsiaTheme="minorEastAsia" w:hAnsiTheme="minorHAnsi"/>
          <w:noProof/>
          <w:color w:val="auto"/>
          <w:sz w:val="22"/>
          <w:u w:val="none"/>
          <w:lang w:eastAsia="en-AU"/>
        </w:rPr>
      </w:pPr>
      <w:hyperlink w:anchor="_Toc129777697" w:history="1">
        <w:r w:rsidR="000F7F63" w:rsidRPr="00006ECA">
          <w:rPr>
            <w:rStyle w:val="Hyperlink"/>
            <w:noProof/>
          </w:rPr>
          <w:t>Appendix D: Broadband technology and productivity growth relationship</w:t>
        </w:r>
        <w:r w:rsidR="000F7F63">
          <w:rPr>
            <w:noProof/>
            <w:webHidden/>
          </w:rPr>
          <w:tab/>
        </w:r>
        <w:r w:rsidR="000F7F63">
          <w:rPr>
            <w:noProof/>
            <w:webHidden/>
          </w:rPr>
          <w:fldChar w:fldCharType="begin"/>
        </w:r>
        <w:r w:rsidR="000F7F63">
          <w:rPr>
            <w:noProof/>
            <w:webHidden/>
          </w:rPr>
          <w:instrText xml:space="preserve"> PAGEREF _Toc129777697 \h </w:instrText>
        </w:r>
        <w:r w:rsidR="000F7F63">
          <w:rPr>
            <w:noProof/>
            <w:webHidden/>
          </w:rPr>
        </w:r>
        <w:r w:rsidR="000F7F63">
          <w:rPr>
            <w:noProof/>
            <w:webHidden/>
          </w:rPr>
          <w:fldChar w:fldCharType="separate"/>
        </w:r>
        <w:r w:rsidR="00CC7B9C">
          <w:rPr>
            <w:noProof/>
            <w:webHidden/>
          </w:rPr>
          <w:t>29</w:t>
        </w:r>
        <w:r w:rsidR="000F7F63">
          <w:rPr>
            <w:noProof/>
            <w:webHidden/>
          </w:rPr>
          <w:fldChar w:fldCharType="end"/>
        </w:r>
      </w:hyperlink>
    </w:p>
    <w:p w14:paraId="50B4E774" w14:textId="030F3C18" w:rsidR="000F7F63" w:rsidRDefault="005562AF" w:rsidP="000F7F63">
      <w:pPr>
        <w:pStyle w:val="TOC1"/>
        <w:rPr>
          <w:rFonts w:asciiTheme="minorHAnsi" w:eastAsiaTheme="minorEastAsia" w:hAnsiTheme="minorHAnsi"/>
          <w:noProof/>
          <w:color w:val="auto"/>
          <w:sz w:val="22"/>
          <w:u w:val="none"/>
          <w:lang w:eastAsia="en-AU"/>
        </w:rPr>
      </w:pPr>
      <w:hyperlink w:anchor="_Toc129777698" w:history="1">
        <w:r w:rsidR="000F7F63" w:rsidRPr="00006ECA">
          <w:rPr>
            <w:rStyle w:val="Hyperlink"/>
            <w:noProof/>
          </w:rPr>
          <w:t>Appendix E: Integrating location data with firm-level data</w:t>
        </w:r>
        <w:r w:rsidR="000F7F63">
          <w:rPr>
            <w:noProof/>
            <w:webHidden/>
          </w:rPr>
          <w:tab/>
        </w:r>
        <w:r w:rsidR="000F7F63">
          <w:rPr>
            <w:noProof/>
            <w:webHidden/>
          </w:rPr>
          <w:fldChar w:fldCharType="begin"/>
        </w:r>
        <w:r w:rsidR="000F7F63">
          <w:rPr>
            <w:noProof/>
            <w:webHidden/>
          </w:rPr>
          <w:instrText xml:space="preserve"> PAGEREF _Toc129777698 \h </w:instrText>
        </w:r>
        <w:r w:rsidR="000F7F63">
          <w:rPr>
            <w:noProof/>
            <w:webHidden/>
          </w:rPr>
        </w:r>
        <w:r w:rsidR="000F7F63">
          <w:rPr>
            <w:noProof/>
            <w:webHidden/>
          </w:rPr>
          <w:fldChar w:fldCharType="separate"/>
        </w:r>
        <w:r w:rsidR="00CC7B9C">
          <w:rPr>
            <w:noProof/>
            <w:webHidden/>
          </w:rPr>
          <w:t>35</w:t>
        </w:r>
        <w:r w:rsidR="000F7F63">
          <w:rPr>
            <w:noProof/>
            <w:webHidden/>
          </w:rPr>
          <w:fldChar w:fldCharType="end"/>
        </w:r>
      </w:hyperlink>
    </w:p>
    <w:p w14:paraId="47202E8C" w14:textId="69283E15" w:rsidR="000F7F63" w:rsidRDefault="005562AF">
      <w:pPr>
        <w:pStyle w:val="TOC2"/>
        <w:rPr>
          <w:rFonts w:asciiTheme="minorHAnsi" w:eastAsiaTheme="minorEastAsia" w:hAnsiTheme="minorHAnsi"/>
          <w:noProof/>
          <w:lang w:eastAsia="en-AU"/>
        </w:rPr>
      </w:pPr>
      <w:hyperlink w:anchor="_Toc129777699" w:history="1">
        <w:r w:rsidR="000F7F63" w:rsidRPr="00006ECA">
          <w:rPr>
            <w:rStyle w:val="Hyperlink"/>
            <w:noProof/>
          </w:rPr>
          <w:t>Location data longitudinally</w:t>
        </w:r>
        <w:r w:rsidR="000F7F63">
          <w:rPr>
            <w:noProof/>
            <w:webHidden/>
          </w:rPr>
          <w:tab/>
        </w:r>
        <w:r w:rsidR="000F7F63">
          <w:rPr>
            <w:noProof/>
            <w:webHidden/>
          </w:rPr>
          <w:fldChar w:fldCharType="begin"/>
        </w:r>
        <w:r w:rsidR="000F7F63">
          <w:rPr>
            <w:noProof/>
            <w:webHidden/>
          </w:rPr>
          <w:instrText xml:space="preserve"> PAGEREF _Toc129777699 \h </w:instrText>
        </w:r>
        <w:r w:rsidR="000F7F63">
          <w:rPr>
            <w:noProof/>
            <w:webHidden/>
          </w:rPr>
        </w:r>
        <w:r w:rsidR="000F7F63">
          <w:rPr>
            <w:noProof/>
            <w:webHidden/>
          </w:rPr>
          <w:fldChar w:fldCharType="separate"/>
        </w:r>
        <w:r w:rsidR="00CC7B9C">
          <w:rPr>
            <w:noProof/>
            <w:webHidden/>
          </w:rPr>
          <w:t>35</w:t>
        </w:r>
        <w:r w:rsidR="000F7F63">
          <w:rPr>
            <w:noProof/>
            <w:webHidden/>
          </w:rPr>
          <w:fldChar w:fldCharType="end"/>
        </w:r>
      </w:hyperlink>
    </w:p>
    <w:p w14:paraId="38A68FCB" w14:textId="6D3E7A7E" w:rsidR="000F7F63" w:rsidRDefault="005562AF">
      <w:pPr>
        <w:pStyle w:val="TOC2"/>
        <w:rPr>
          <w:rFonts w:asciiTheme="minorHAnsi" w:eastAsiaTheme="minorEastAsia" w:hAnsiTheme="minorHAnsi"/>
          <w:noProof/>
          <w:lang w:eastAsia="en-AU"/>
        </w:rPr>
      </w:pPr>
      <w:hyperlink w:anchor="_Toc129777700" w:history="1">
        <w:r w:rsidR="000F7F63" w:rsidRPr="00006ECA">
          <w:rPr>
            <w:rStyle w:val="Hyperlink"/>
            <w:noProof/>
          </w:rPr>
          <w:t>Working with businesses that have multiple locations</w:t>
        </w:r>
        <w:r w:rsidR="000F7F63">
          <w:rPr>
            <w:noProof/>
            <w:webHidden/>
          </w:rPr>
          <w:tab/>
        </w:r>
        <w:r w:rsidR="000F7F63">
          <w:rPr>
            <w:noProof/>
            <w:webHidden/>
          </w:rPr>
          <w:fldChar w:fldCharType="begin"/>
        </w:r>
        <w:r w:rsidR="000F7F63">
          <w:rPr>
            <w:noProof/>
            <w:webHidden/>
          </w:rPr>
          <w:instrText xml:space="preserve"> PAGEREF _Toc129777700 \h </w:instrText>
        </w:r>
        <w:r w:rsidR="000F7F63">
          <w:rPr>
            <w:noProof/>
            <w:webHidden/>
          </w:rPr>
        </w:r>
        <w:r w:rsidR="000F7F63">
          <w:rPr>
            <w:noProof/>
            <w:webHidden/>
          </w:rPr>
          <w:fldChar w:fldCharType="separate"/>
        </w:r>
        <w:r w:rsidR="00CC7B9C">
          <w:rPr>
            <w:noProof/>
            <w:webHidden/>
          </w:rPr>
          <w:t>35</w:t>
        </w:r>
        <w:r w:rsidR="000F7F63">
          <w:rPr>
            <w:noProof/>
            <w:webHidden/>
          </w:rPr>
          <w:fldChar w:fldCharType="end"/>
        </w:r>
      </w:hyperlink>
    </w:p>
    <w:p w14:paraId="68E73DE7" w14:textId="2F1A0CEF" w:rsidR="000F7F63" w:rsidRDefault="005562AF" w:rsidP="000F7F63">
      <w:pPr>
        <w:pStyle w:val="TOC1"/>
        <w:rPr>
          <w:rFonts w:asciiTheme="minorHAnsi" w:eastAsiaTheme="minorEastAsia" w:hAnsiTheme="minorHAnsi"/>
          <w:noProof/>
          <w:color w:val="auto"/>
          <w:sz w:val="22"/>
          <w:u w:val="none"/>
          <w:lang w:eastAsia="en-AU"/>
        </w:rPr>
      </w:pPr>
      <w:hyperlink w:anchor="_Toc129777701" w:history="1">
        <w:r w:rsidR="000F7F63" w:rsidRPr="00006ECA">
          <w:rPr>
            <w:rStyle w:val="Hyperlink"/>
            <w:noProof/>
          </w:rPr>
          <w:t>Appendix F: Limitations to the analysis</w:t>
        </w:r>
        <w:r w:rsidR="000F7F63">
          <w:rPr>
            <w:noProof/>
            <w:webHidden/>
          </w:rPr>
          <w:tab/>
        </w:r>
        <w:r w:rsidR="000F7F63">
          <w:rPr>
            <w:noProof/>
            <w:webHidden/>
          </w:rPr>
          <w:fldChar w:fldCharType="begin"/>
        </w:r>
        <w:r w:rsidR="000F7F63">
          <w:rPr>
            <w:noProof/>
            <w:webHidden/>
          </w:rPr>
          <w:instrText xml:space="preserve"> PAGEREF _Toc129777701 \h </w:instrText>
        </w:r>
        <w:r w:rsidR="000F7F63">
          <w:rPr>
            <w:noProof/>
            <w:webHidden/>
          </w:rPr>
        </w:r>
        <w:r w:rsidR="000F7F63">
          <w:rPr>
            <w:noProof/>
            <w:webHidden/>
          </w:rPr>
          <w:fldChar w:fldCharType="separate"/>
        </w:r>
        <w:r w:rsidR="00CC7B9C">
          <w:rPr>
            <w:noProof/>
            <w:webHidden/>
          </w:rPr>
          <w:t>37</w:t>
        </w:r>
        <w:r w:rsidR="000F7F63">
          <w:rPr>
            <w:noProof/>
            <w:webHidden/>
          </w:rPr>
          <w:fldChar w:fldCharType="end"/>
        </w:r>
      </w:hyperlink>
    </w:p>
    <w:p w14:paraId="0A3EBAFC" w14:textId="3A5637D6" w:rsidR="000F7F63" w:rsidRDefault="005562AF">
      <w:pPr>
        <w:pStyle w:val="TOC2"/>
        <w:rPr>
          <w:rFonts w:asciiTheme="minorHAnsi" w:eastAsiaTheme="minorEastAsia" w:hAnsiTheme="minorHAnsi"/>
          <w:noProof/>
          <w:lang w:eastAsia="en-AU"/>
        </w:rPr>
      </w:pPr>
      <w:hyperlink w:anchor="_Toc129777702" w:history="1">
        <w:r w:rsidR="000F7F63" w:rsidRPr="00006ECA">
          <w:rPr>
            <w:rStyle w:val="Hyperlink"/>
            <w:noProof/>
          </w:rPr>
          <w:t>Firm-level productivity growth estimates are experimental</w:t>
        </w:r>
        <w:r w:rsidR="000F7F63">
          <w:rPr>
            <w:noProof/>
            <w:webHidden/>
          </w:rPr>
          <w:tab/>
        </w:r>
        <w:r w:rsidR="000F7F63">
          <w:rPr>
            <w:noProof/>
            <w:webHidden/>
          </w:rPr>
          <w:fldChar w:fldCharType="begin"/>
        </w:r>
        <w:r w:rsidR="000F7F63">
          <w:rPr>
            <w:noProof/>
            <w:webHidden/>
          </w:rPr>
          <w:instrText xml:space="preserve"> PAGEREF _Toc129777702 \h </w:instrText>
        </w:r>
        <w:r w:rsidR="000F7F63">
          <w:rPr>
            <w:noProof/>
            <w:webHidden/>
          </w:rPr>
        </w:r>
        <w:r w:rsidR="000F7F63">
          <w:rPr>
            <w:noProof/>
            <w:webHidden/>
          </w:rPr>
          <w:fldChar w:fldCharType="separate"/>
        </w:r>
        <w:r w:rsidR="00CC7B9C">
          <w:rPr>
            <w:noProof/>
            <w:webHidden/>
          </w:rPr>
          <w:t>37</w:t>
        </w:r>
        <w:r w:rsidR="000F7F63">
          <w:rPr>
            <w:noProof/>
            <w:webHidden/>
          </w:rPr>
          <w:fldChar w:fldCharType="end"/>
        </w:r>
      </w:hyperlink>
    </w:p>
    <w:p w14:paraId="239816E3" w14:textId="49693F4F" w:rsidR="000F7F63" w:rsidRDefault="005562AF">
      <w:pPr>
        <w:pStyle w:val="TOC2"/>
        <w:rPr>
          <w:rFonts w:asciiTheme="minorHAnsi" w:eastAsiaTheme="minorEastAsia" w:hAnsiTheme="minorHAnsi"/>
          <w:noProof/>
          <w:lang w:eastAsia="en-AU"/>
        </w:rPr>
      </w:pPr>
      <w:hyperlink w:anchor="_Toc129777703" w:history="1">
        <w:r w:rsidR="000F7F63" w:rsidRPr="00006ECA">
          <w:rPr>
            <w:rStyle w:val="Hyperlink"/>
            <w:noProof/>
          </w:rPr>
          <w:t>Survey design impacts the reliability of the Business Characteristics Survey results</w:t>
        </w:r>
        <w:r w:rsidR="000F7F63">
          <w:rPr>
            <w:noProof/>
            <w:webHidden/>
          </w:rPr>
          <w:tab/>
        </w:r>
        <w:r w:rsidR="000F7F63">
          <w:rPr>
            <w:noProof/>
            <w:webHidden/>
          </w:rPr>
          <w:fldChar w:fldCharType="begin"/>
        </w:r>
        <w:r w:rsidR="000F7F63">
          <w:rPr>
            <w:noProof/>
            <w:webHidden/>
          </w:rPr>
          <w:instrText xml:space="preserve"> PAGEREF _Toc129777703 \h </w:instrText>
        </w:r>
        <w:r w:rsidR="000F7F63">
          <w:rPr>
            <w:noProof/>
            <w:webHidden/>
          </w:rPr>
        </w:r>
        <w:r w:rsidR="000F7F63">
          <w:rPr>
            <w:noProof/>
            <w:webHidden/>
          </w:rPr>
          <w:fldChar w:fldCharType="separate"/>
        </w:r>
        <w:r w:rsidR="00CC7B9C">
          <w:rPr>
            <w:noProof/>
            <w:webHidden/>
          </w:rPr>
          <w:t>37</w:t>
        </w:r>
        <w:r w:rsidR="000F7F63">
          <w:rPr>
            <w:noProof/>
            <w:webHidden/>
          </w:rPr>
          <w:fldChar w:fldCharType="end"/>
        </w:r>
      </w:hyperlink>
    </w:p>
    <w:p w14:paraId="1CB2C4EE" w14:textId="66A1F971" w:rsidR="000F7F63" w:rsidRDefault="005562AF">
      <w:pPr>
        <w:pStyle w:val="TOC2"/>
        <w:rPr>
          <w:rFonts w:asciiTheme="minorHAnsi" w:eastAsiaTheme="minorEastAsia" w:hAnsiTheme="minorHAnsi"/>
          <w:noProof/>
          <w:lang w:eastAsia="en-AU"/>
        </w:rPr>
      </w:pPr>
      <w:hyperlink w:anchor="_Toc129777704" w:history="1">
        <w:r w:rsidR="000F7F63" w:rsidRPr="00006ECA">
          <w:rPr>
            <w:rStyle w:val="Hyperlink"/>
            <w:noProof/>
          </w:rPr>
          <w:t>Other technological factors can affect business productivity growth</w:t>
        </w:r>
        <w:r w:rsidR="000F7F63">
          <w:rPr>
            <w:noProof/>
            <w:webHidden/>
          </w:rPr>
          <w:tab/>
        </w:r>
        <w:r w:rsidR="000F7F63">
          <w:rPr>
            <w:noProof/>
            <w:webHidden/>
          </w:rPr>
          <w:fldChar w:fldCharType="begin"/>
        </w:r>
        <w:r w:rsidR="000F7F63">
          <w:rPr>
            <w:noProof/>
            <w:webHidden/>
          </w:rPr>
          <w:instrText xml:space="preserve"> PAGEREF _Toc129777704 \h </w:instrText>
        </w:r>
        <w:r w:rsidR="000F7F63">
          <w:rPr>
            <w:noProof/>
            <w:webHidden/>
          </w:rPr>
        </w:r>
        <w:r w:rsidR="000F7F63">
          <w:rPr>
            <w:noProof/>
            <w:webHidden/>
          </w:rPr>
          <w:fldChar w:fldCharType="separate"/>
        </w:r>
        <w:r w:rsidR="00CC7B9C">
          <w:rPr>
            <w:noProof/>
            <w:webHidden/>
          </w:rPr>
          <w:t>38</w:t>
        </w:r>
        <w:r w:rsidR="000F7F63">
          <w:rPr>
            <w:noProof/>
            <w:webHidden/>
          </w:rPr>
          <w:fldChar w:fldCharType="end"/>
        </w:r>
      </w:hyperlink>
    </w:p>
    <w:p w14:paraId="1139965C" w14:textId="4A090DFA" w:rsidR="000F7F63" w:rsidRDefault="005562AF">
      <w:pPr>
        <w:pStyle w:val="TOC2"/>
        <w:rPr>
          <w:rFonts w:asciiTheme="minorHAnsi" w:eastAsiaTheme="minorEastAsia" w:hAnsiTheme="minorHAnsi"/>
          <w:noProof/>
          <w:lang w:eastAsia="en-AU"/>
        </w:rPr>
      </w:pPr>
      <w:hyperlink w:anchor="_Toc129777705" w:history="1">
        <w:r w:rsidR="000F7F63" w:rsidRPr="00006ECA">
          <w:rPr>
            <w:rStyle w:val="Hyperlink"/>
            <w:noProof/>
          </w:rPr>
          <w:t>Structural break in BLADE data</w:t>
        </w:r>
        <w:r w:rsidR="000F7F63">
          <w:rPr>
            <w:noProof/>
            <w:webHidden/>
          </w:rPr>
          <w:tab/>
        </w:r>
        <w:r w:rsidR="000F7F63">
          <w:rPr>
            <w:noProof/>
            <w:webHidden/>
          </w:rPr>
          <w:fldChar w:fldCharType="begin"/>
        </w:r>
        <w:r w:rsidR="000F7F63">
          <w:rPr>
            <w:noProof/>
            <w:webHidden/>
          </w:rPr>
          <w:instrText xml:space="preserve"> PAGEREF _Toc129777705 \h </w:instrText>
        </w:r>
        <w:r w:rsidR="000F7F63">
          <w:rPr>
            <w:noProof/>
            <w:webHidden/>
          </w:rPr>
        </w:r>
        <w:r w:rsidR="000F7F63">
          <w:rPr>
            <w:noProof/>
            <w:webHidden/>
          </w:rPr>
          <w:fldChar w:fldCharType="separate"/>
        </w:r>
        <w:r w:rsidR="00CC7B9C">
          <w:rPr>
            <w:noProof/>
            <w:webHidden/>
          </w:rPr>
          <w:t>38</w:t>
        </w:r>
        <w:r w:rsidR="000F7F63">
          <w:rPr>
            <w:noProof/>
            <w:webHidden/>
          </w:rPr>
          <w:fldChar w:fldCharType="end"/>
        </w:r>
      </w:hyperlink>
    </w:p>
    <w:p w14:paraId="694A0E3A" w14:textId="3557A2DF" w:rsidR="000F7F63" w:rsidRDefault="005562AF" w:rsidP="000F7F63">
      <w:pPr>
        <w:pStyle w:val="TOC1"/>
        <w:rPr>
          <w:rFonts w:asciiTheme="minorHAnsi" w:eastAsiaTheme="minorEastAsia" w:hAnsiTheme="minorHAnsi"/>
          <w:noProof/>
          <w:color w:val="auto"/>
          <w:sz w:val="22"/>
          <w:u w:val="none"/>
          <w:lang w:eastAsia="en-AU"/>
        </w:rPr>
      </w:pPr>
      <w:hyperlink w:anchor="_Toc129777706" w:history="1">
        <w:r w:rsidR="000F7F63" w:rsidRPr="00006ECA">
          <w:rPr>
            <w:rStyle w:val="Hyperlink"/>
            <w:noProof/>
          </w:rPr>
          <w:t>Appendix G: Economy-wide impacts of broadband (literature review)</w:t>
        </w:r>
        <w:r w:rsidR="000F7F63">
          <w:rPr>
            <w:noProof/>
            <w:webHidden/>
          </w:rPr>
          <w:tab/>
        </w:r>
        <w:r w:rsidR="000F7F63">
          <w:rPr>
            <w:noProof/>
            <w:webHidden/>
          </w:rPr>
          <w:fldChar w:fldCharType="begin"/>
        </w:r>
        <w:r w:rsidR="000F7F63">
          <w:rPr>
            <w:noProof/>
            <w:webHidden/>
          </w:rPr>
          <w:instrText xml:space="preserve"> PAGEREF _Toc129777706 \h </w:instrText>
        </w:r>
        <w:r w:rsidR="000F7F63">
          <w:rPr>
            <w:noProof/>
            <w:webHidden/>
          </w:rPr>
        </w:r>
        <w:r w:rsidR="000F7F63">
          <w:rPr>
            <w:noProof/>
            <w:webHidden/>
          </w:rPr>
          <w:fldChar w:fldCharType="separate"/>
        </w:r>
        <w:r w:rsidR="00CC7B9C">
          <w:rPr>
            <w:noProof/>
            <w:webHidden/>
          </w:rPr>
          <w:t>39</w:t>
        </w:r>
        <w:r w:rsidR="000F7F63">
          <w:rPr>
            <w:noProof/>
            <w:webHidden/>
          </w:rPr>
          <w:fldChar w:fldCharType="end"/>
        </w:r>
      </w:hyperlink>
    </w:p>
    <w:p w14:paraId="5910B9DC" w14:textId="6CCBB39C" w:rsidR="000F7F63" w:rsidRDefault="005562AF">
      <w:pPr>
        <w:pStyle w:val="TOC2"/>
        <w:rPr>
          <w:rFonts w:asciiTheme="minorHAnsi" w:eastAsiaTheme="minorEastAsia" w:hAnsiTheme="minorHAnsi"/>
          <w:noProof/>
          <w:lang w:eastAsia="en-AU"/>
        </w:rPr>
      </w:pPr>
      <w:hyperlink w:anchor="_Toc129777707" w:history="1">
        <w:r w:rsidR="000F7F63" w:rsidRPr="00006ECA">
          <w:rPr>
            <w:rStyle w:val="Hyperlink"/>
            <w:noProof/>
          </w:rPr>
          <w:t>The economy-wide relationship between broadband and growth</w:t>
        </w:r>
        <w:r w:rsidR="000F7F63">
          <w:rPr>
            <w:noProof/>
            <w:webHidden/>
          </w:rPr>
          <w:tab/>
        </w:r>
        <w:r w:rsidR="000F7F63">
          <w:rPr>
            <w:noProof/>
            <w:webHidden/>
          </w:rPr>
          <w:fldChar w:fldCharType="begin"/>
        </w:r>
        <w:r w:rsidR="000F7F63">
          <w:rPr>
            <w:noProof/>
            <w:webHidden/>
          </w:rPr>
          <w:instrText xml:space="preserve"> PAGEREF _Toc129777707 \h </w:instrText>
        </w:r>
        <w:r w:rsidR="000F7F63">
          <w:rPr>
            <w:noProof/>
            <w:webHidden/>
          </w:rPr>
        </w:r>
        <w:r w:rsidR="000F7F63">
          <w:rPr>
            <w:noProof/>
            <w:webHidden/>
          </w:rPr>
          <w:fldChar w:fldCharType="separate"/>
        </w:r>
        <w:r w:rsidR="00CC7B9C">
          <w:rPr>
            <w:noProof/>
            <w:webHidden/>
          </w:rPr>
          <w:t>39</w:t>
        </w:r>
        <w:r w:rsidR="000F7F63">
          <w:rPr>
            <w:noProof/>
            <w:webHidden/>
          </w:rPr>
          <w:fldChar w:fldCharType="end"/>
        </w:r>
      </w:hyperlink>
    </w:p>
    <w:p w14:paraId="71B71140" w14:textId="204E4F4A" w:rsidR="000F7F63" w:rsidRDefault="005562AF">
      <w:pPr>
        <w:pStyle w:val="TOC2"/>
        <w:rPr>
          <w:rFonts w:asciiTheme="minorHAnsi" w:eastAsiaTheme="minorEastAsia" w:hAnsiTheme="minorHAnsi"/>
          <w:noProof/>
          <w:lang w:eastAsia="en-AU"/>
        </w:rPr>
      </w:pPr>
      <w:hyperlink w:anchor="_Toc129777708" w:history="1">
        <w:r w:rsidR="000F7F63" w:rsidRPr="00006ECA">
          <w:rPr>
            <w:rStyle w:val="Hyperlink"/>
            <w:noProof/>
          </w:rPr>
          <w:t>Findings from the literature</w:t>
        </w:r>
        <w:r w:rsidR="000F7F63">
          <w:rPr>
            <w:noProof/>
            <w:webHidden/>
          </w:rPr>
          <w:tab/>
        </w:r>
        <w:r w:rsidR="000F7F63">
          <w:rPr>
            <w:noProof/>
            <w:webHidden/>
          </w:rPr>
          <w:fldChar w:fldCharType="begin"/>
        </w:r>
        <w:r w:rsidR="000F7F63">
          <w:rPr>
            <w:noProof/>
            <w:webHidden/>
          </w:rPr>
          <w:instrText xml:space="preserve"> PAGEREF _Toc129777708 \h </w:instrText>
        </w:r>
        <w:r w:rsidR="000F7F63">
          <w:rPr>
            <w:noProof/>
            <w:webHidden/>
          </w:rPr>
        </w:r>
        <w:r w:rsidR="000F7F63">
          <w:rPr>
            <w:noProof/>
            <w:webHidden/>
          </w:rPr>
          <w:fldChar w:fldCharType="separate"/>
        </w:r>
        <w:r w:rsidR="00CC7B9C">
          <w:rPr>
            <w:noProof/>
            <w:webHidden/>
          </w:rPr>
          <w:t>41</w:t>
        </w:r>
        <w:r w:rsidR="000F7F63">
          <w:rPr>
            <w:noProof/>
            <w:webHidden/>
          </w:rPr>
          <w:fldChar w:fldCharType="end"/>
        </w:r>
      </w:hyperlink>
    </w:p>
    <w:p w14:paraId="171DA669" w14:textId="1DD87414" w:rsidR="000F7F63" w:rsidRDefault="005562AF">
      <w:pPr>
        <w:pStyle w:val="TOC3"/>
        <w:rPr>
          <w:rFonts w:asciiTheme="minorHAnsi" w:eastAsiaTheme="minorEastAsia" w:hAnsiTheme="minorHAnsi"/>
          <w:noProof/>
          <w:sz w:val="22"/>
          <w:lang w:eastAsia="en-AU"/>
        </w:rPr>
      </w:pPr>
      <w:hyperlink w:anchor="_Toc129777709" w:history="1">
        <w:r w:rsidR="000F7F63" w:rsidRPr="00006ECA">
          <w:rPr>
            <w:rStyle w:val="Hyperlink"/>
            <w:noProof/>
          </w:rPr>
          <w:t>Telecommunications infrastructure and growth</w:t>
        </w:r>
        <w:r w:rsidR="000F7F63">
          <w:rPr>
            <w:noProof/>
            <w:webHidden/>
          </w:rPr>
          <w:tab/>
        </w:r>
        <w:r w:rsidR="000F7F63">
          <w:rPr>
            <w:noProof/>
            <w:webHidden/>
          </w:rPr>
          <w:fldChar w:fldCharType="begin"/>
        </w:r>
        <w:r w:rsidR="000F7F63">
          <w:rPr>
            <w:noProof/>
            <w:webHidden/>
          </w:rPr>
          <w:instrText xml:space="preserve"> PAGEREF _Toc129777709 \h </w:instrText>
        </w:r>
        <w:r w:rsidR="000F7F63">
          <w:rPr>
            <w:noProof/>
            <w:webHidden/>
          </w:rPr>
        </w:r>
        <w:r w:rsidR="000F7F63">
          <w:rPr>
            <w:noProof/>
            <w:webHidden/>
          </w:rPr>
          <w:fldChar w:fldCharType="separate"/>
        </w:r>
        <w:r w:rsidR="00CC7B9C">
          <w:rPr>
            <w:noProof/>
            <w:webHidden/>
          </w:rPr>
          <w:t>41</w:t>
        </w:r>
        <w:r w:rsidR="000F7F63">
          <w:rPr>
            <w:noProof/>
            <w:webHidden/>
          </w:rPr>
          <w:fldChar w:fldCharType="end"/>
        </w:r>
      </w:hyperlink>
    </w:p>
    <w:p w14:paraId="6785BBD2" w14:textId="0D2ADEDD" w:rsidR="000F7F63" w:rsidRDefault="005562AF">
      <w:pPr>
        <w:pStyle w:val="TOC3"/>
        <w:rPr>
          <w:rFonts w:asciiTheme="minorHAnsi" w:eastAsiaTheme="minorEastAsia" w:hAnsiTheme="minorHAnsi"/>
          <w:noProof/>
          <w:sz w:val="22"/>
          <w:lang w:eastAsia="en-AU"/>
        </w:rPr>
      </w:pPr>
      <w:hyperlink w:anchor="_Toc129777710" w:history="1">
        <w:r w:rsidR="000F7F63" w:rsidRPr="00006ECA">
          <w:rPr>
            <w:rStyle w:val="Hyperlink"/>
            <w:noProof/>
          </w:rPr>
          <w:t>Adapting this framework to broadband</w:t>
        </w:r>
        <w:r w:rsidR="000F7F63">
          <w:rPr>
            <w:noProof/>
            <w:webHidden/>
          </w:rPr>
          <w:tab/>
        </w:r>
        <w:r w:rsidR="000F7F63">
          <w:rPr>
            <w:noProof/>
            <w:webHidden/>
          </w:rPr>
          <w:fldChar w:fldCharType="begin"/>
        </w:r>
        <w:r w:rsidR="000F7F63">
          <w:rPr>
            <w:noProof/>
            <w:webHidden/>
          </w:rPr>
          <w:instrText xml:space="preserve"> PAGEREF _Toc129777710 \h </w:instrText>
        </w:r>
        <w:r w:rsidR="000F7F63">
          <w:rPr>
            <w:noProof/>
            <w:webHidden/>
          </w:rPr>
        </w:r>
        <w:r w:rsidR="000F7F63">
          <w:rPr>
            <w:noProof/>
            <w:webHidden/>
          </w:rPr>
          <w:fldChar w:fldCharType="separate"/>
        </w:r>
        <w:r w:rsidR="00CC7B9C">
          <w:rPr>
            <w:noProof/>
            <w:webHidden/>
          </w:rPr>
          <w:t>41</w:t>
        </w:r>
        <w:r w:rsidR="000F7F63">
          <w:rPr>
            <w:noProof/>
            <w:webHidden/>
          </w:rPr>
          <w:fldChar w:fldCharType="end"/>
        </w:r>
      </w:hyperlink>
    </w:p>
    <w:p w14:paraId="1083518A" w14:textId="3C5712EC" w:rsidR="000F7F63" w:rsidRDefault="005562AF">
      <w:pPr>
        <w:pStyle w:val="TOC3"/>
        <w:rPr>
          <w:rFonts w:asciiTheme="minorHAnsi" w:eastAsiaTheme="minorEastAsia" w:hAnsiTheme="minorHAnsi"/>
          <w:noProof/>
          <w:sz w:val="22"/>
          <w:lang w:eastAsia="en-AU"/>
        </w:rPr>
      </w:pPr>
      <w:hyperlink w:anchor="_Toc129777711" w:history="1">
        <w:r w:rsidR="000F7F63" w:rsidRPr="00006ECA">
          <w:rPr>
            <w:rStyle w:val="Hyperlink"/>
            <w:noProof/>
          </w:rPr>
          <w:t>Impacts depend on the level of broadband penetration</w:t>
        </w:r>
        <w:r w:rsidR="000F7F63">
          <w:rPr>
            <w:noProof/>
            <w:webHidden/>
          </w:rPr>
          <w:tab/>
        </w:r>
        <w:r w:rsidR="000F7F63">
          <w:rPr>
            <w:noProof/>
            <w:webHidden/>
          </w:rPr>
          <w:fldChar w:fldCharType="begin"/>
        </w:r>
        <w:r w:rsidR="000F7F63">
          <w:rPr>
            <w:noProof/>
            <w:webHidden/>
          </w:rPr>
          <w:instrText xml:space="preserve"> PAGEREF _Toc129777711 \h </w:instrText>
        </w:r>
        <w:r w:rsidR="000F7F63">
          <w:rPr>
            <w:noProof/>
            <w:webHidden/>
          </w:rPr>
        </w:r>
        <w:r w:rsidR="000F7F63">
          <w:rPr>
            <w:noProof/>
            <w:webHidden/>
          </w:rPr>
          <w:fldChar w:fldCharType="separate"/>
        </w:r>
        <w:r w:rsidR="00CC7B9C">
          <w:rPr>
            <w:noProof/>
            <w:webHidden/>
          </w:rPr>
          <w:t>42</w:t>
        </w:r>
        <w:r w:rsidR="000F7F63">
          <w:rPr>
            <w:noProof/>
            <w:webHidden/>
          </w:rPr>
          <w:fldChar w:fldCharType="end"/>
        </w:r>
      </w:hyperlink>
    </w:p>
    <w:p w14:paraId="18DBE457" w14:textId="543CCE03" w:rsidR="000F7F63" w:rsidRDefault="005562AF">
      <w:pPr>
        <w:pStyle w:val="TOC3"/>
        <w:rPr>
          <w:rFonts w:asciiTheme="minorHAnsi" w:eastAsiaTheme="minorEastAsia" w:hAnsiTheme="minorHAnsi"/>
          <w:noProof/>
          <w:sz w:val="22"/>
          <w:lang w:eastAsia="en-AU"/>
        </w:rPr>
      </w:pPr>
      <w:hyperlink w:anchor="_Toc129777712" w:history="1">
        <w:r w:rsidR="000F7F63" w:rsidRPr="00006ECA">
          <w:rPr>
            <w:rStyle w:val="Hyperlink"/>
            <w:noProof/>
          </w:rPr>
          <w:t>The inclusion of speed</w:t>
        </w:r>
        <w:r w:rsidR="000F7F63">
          <w:rPr>
            <w:noProof/>
            <w:webHidden/>
          </w:rPr>
          <w:tab/>
        </w:r>
        <w:r w:rsidR="000F7F63">
          <w:rPr>
            <w:noProof/>
            <w:webHidden/>
          </w:rPr>
          <w:fldChar w:fldCharType="begin"/>
        </w:r>
        <w:r w:rsidR="000F7F63">
          <w:rPr>
            <w:noProof/>
            <w:webHidden/>
          </w:rPr>
          <w:instrText xml:space="preserve"> PAGEREF _Toc129777712 \h </w:instrText>
        </w:r>
        <w:r w:rsidR="000F7F63">
          <w:rPr>
            <w:noProof/>
            <w:webHidden/>
          </w:rPr>
        </w:r>
        <w:r w:rsidR="000F7F63">
          <w:rPr>
            <w:noProof/>
            <w:webHidden/>
          </w:rPr>
          <w:fldChar w:fldCharType="separate"/>
        </w:r>
        <w:r w:rsidR="00CC7B9C">
          <w:rPr>
            <w:noProof/>
            <w:webHidden/>
          </w:rPr>
          <w:t>43</w:t>
        </w:r>
        <w:r w:rsidR="000F7F63">
          <w:rPr>
            <w:noProof/>
            <w:webHidden/>
          </w:rPr>
          <w:fldChar w:fldCharType="end"/>
        </w:r>
      </w:hyperlink>
    </w:p>
    <w:p w14:paraId="46D3A2D7" w14:textId="0049F6BB" w:rsidR="000F7F63" w:rsidRDefault="005562AF">
      <w:pPr>
        <w:pStyle w:val="TOC3"/>
        <w:rPr>
          <w:rFonts w:asciiTheme="minorHAnsi" w:eastAsiaTheme="minorEastAsia" w:hAnsiTheme="minorHAnsi"/>
          <w:noProof/>
          <w:sz w:val="22"/>
          <w:lang w:eastAsia="en-AU"/>
        </w:rPr>
      </w:pPr>
      <w:hyperlink w:anchor="_Toc129777713" w:history="1">
        <w:r w:rsidR="000F7F63" w:rsidRPr="00006ECA">
          <w:rPr>
            <w:rStyle w:val="Hyperlink"/>
            <w:noProof/>
          </w:rPr>
          <w:t>Broadband impacts by technology type</w:t>
        </w:r>
        <w:r w:rsidR="000F7F63">
          <w:rPr>
            <w:noProof/>
            <w:webHidden/>
          </w:rPr>
          <w:tab/>
        </w:r>
        <w:r w:rsidR="000F7F63">
          <w:rPr>
            <w:noProof/>
            <w:webHidden/>
          </w:rPr>
          <w:fldChar w:fldCharType="begin"/>
        </w:r>
        <w:r w:rsidR="000F7F63">
          <w:rPr>
            <w:noProof/>
            <w:webHidden/>
          </w:rPr>
          <w:instrText xml:space="preserve"> PAGEREF _Toc129777713 \h </w:instrText>
        </w:r>
        <w:r w:rsidR="000F7F63">
          <w:rPr>
            <w:noProof/>
            <w:webHidden/>
          </w:rPr>
        </w:r>
        <w:r w:rsidR="000F7F63">
          <w:rPr>
            <w:noProof/>
            <w:webHidden/>
          </w:rPr>
          <w:fldChar w:fldCharType="separate"/>
        </w:r>
        <w:r w:rsidR="00CC7B9C">
          <w:rPr>
            <w:noProof/>
            <w:webHidden/>
          </w:rPr>
          <w:t>44</w:t>
        </w:r>
        <w:r w:rsidR="000F7F63">
          <w:rPr>
            <w:noProof/>
            <w:webHidden/>
          </w:rPr>
          <w:fldChar w:fldCharType="end"/>
        </w:r>
      </w:hyperlink>
    </w:p>
    <w:p w14:paraId="401AE5A7" w14:textId="00A6C793" w:rsidR="000F7F63" w:rsidRDefault="005562AF" w:rsidP="000F7F63">
      <w:pPr>
        <w:pStyle w:val="TOC1"/>
        <w:rPr>
          <w:rFonts w:asciiTheme="minorHAnsi" w:eastAsiaTheme="minorEastAsia" w:hAnsiTheme="minorHAnsi"/>
          <w:noProof/>
          <w:color w:val="auto"/>
          <w:sz w:val="22"/>
          <w:u w:val="none"/>
          <w:lang w:eastAsia="en-AU"/>
        </w:rPr>
      </w:pPr>
      <w:hyperlink w:anchor="_Toc129777714" w:history="1">
        <w:r w:rsidR="000F7F63" w:rsidRPr="00006ECA">
          <w:rPr>
            <w:rStyle w:val="Hyperlink"/>
            <w:noProof/>
          </w:rPr>
          <w:t>References</w:t>
        </w:r>
        <w:r w:rsidR="000F7F63">
          <w:rPr>
            <w:noProof/>
            <w:webHidden/>
          </w:rPr>
          <w:tab/>
        </w:r>
        <w:r w:rsidR="000F7F63">
          <w:rPr>
            <w:noProof/>
            <w:webHidden/>
          </w:rPr>
          <w:fldChar w:fldCharType="begin"/>
        </w:r>
        <w:r w:rsidR="000F7F63">
          <w:rPr>
            <w:noProof/>
            <w:webHidden/>
          </w:rPr>
          <w:instrText xml:space="preserve"> PAGEREF _Toc129777714 \h </w:instrText>
        </w:r>
        <w:r w:rsidR="000F7F63">
          <w:rPr>
            <w:noProof/>
            <w:webHidden/>
          </w:rPr>
        </w:r>
        <w:r w:rsidR="000F7F63">
          <w:rPr>
            <w:noProof/>
            <w:webHidden/>
          </w:rPr>
          <w:fldChar w:fldCharType="separate"/>
        </w:r>
        <w:r w:rsidR="00CC7B9C">
          <w:rPr>
            <w:noProof/>
            <w:webHidden/>
          </w:rPr>
          <w:t>46</w:t>
        </w:r>
        <w:r w:rsidR="000F7F63">
          <w:rPr>
            <w:noProof/>
            <w:webHidden/>
          </w:rPr>
          <w:fldChar w:fldCharType="end"/>
        </w:r>
      </w:hyperlink>
    </w:p>
    <w:p w14:paraId="7FFD0A5B" w14:textId="77777777" w:rsidR="00670726" w:rsidRPr="00670726" w:rsidRDefault="00D56177" w:rsidP="00670726">
      <w:pPr>
        <w:suppressAutoHyphens/>
        <w:rPr>
          <w:rFonts w:eastAsia="Calibri" w:cs="Times New Roman"/>
          <w:color w:val="000000"/>
          <w:kern w:val="12"/>
          <w:szCs w:val="20"/>
        </w:rPr>
      </w:pPr>
      <w:r>
        <w:rPr>
          <w:color w:val="000000" w:themeColor="text1"/>
          <w:sz w:val="24"/>
          <w:u w:val="single" w:color="4BB3B5"/>
        </w:rPr>
        <w:fldChar w:fldCharType="end"/>
      </w:r>
    </w:p>
    <w:p w14:paraId="29834663" w14:textId="77777777" w:rsidR="00670726" w:rsidRPr="00796AB4" w:rsidRDefault="00670726" w:rsidP="00D56177">
      <w:pPr>
        <w:pStyle w:val="Heading2notshowing"/>
        <w:pageBreakBefore/>
        <w:rPr>
          <w:sz w:val="44"/>
          <w:szCs w:val="44"/>
        </w:rPr>
      </w:pPr>
      <w:r w:rsidRPr="00796AB4">
        <w:rPr>
          <w:sz w:val="44"/>
          <w:szCs w:val="44"/>
        </w:rPr>
        <w:lastRenderedPageBreak/>
        <w:t>List of figures and tables</w:t>
      </w:r>
    </w:p>
    <w:p w14:paraId="2C300B39" w14:textId="136BA19A" w:rsidR="00D56177" w:rsidRDefault="009E5B72" w:rsidP="00D56177">
      <w:pPr>
        <w:pStyle w:val="TOC4"/>
        <w:rPr>
          <w:rFonts w:eastAsiaTheme="minorEastAsia"/>
          <w:noProof/>
          <w:lang w:eastAsia="zh-CN"/>
        </w:rPr>
      </w:pPr>
      <w:r>
        <w:fldChar w:fldCharType="begin"/>
      </w:r>
      <w:r>
        <w:instrText xml:space="preserve"> TOC \h \z \t "Table/figure heading" \c </w:instrText>
      </w:r>
      <w:r>
        <w:fldChar w:fldCharType="separate"/>
      </w:r>
      <w:hyperlink w:anchor="_Toc129767610" w:history="1">
        <w:r w:rsidR="00D56177" w:rsidRPr="00881978">
          <w:rPr>
            <w:rStyle w:val="Hyperlink"/>
            <w:noProof/>
          </w:rPr>
          <w:t>Figure 1. Internet use by businesses activity type</w:t>
        </w:r>
        <w:r w:rsidR="00D56177">
          <w:rPr>
            <w:noProof/>
            <w:webHidden/>
          </w:rPr>
          <w:tab/>
        </w:r>
        <w:r w:rsidR="00D56177">
          <w:rPr>
            <w:noProof/>
            <w:webHidden/>
          </w:rPr>
          <w:fldChar w:fldCharType="begin"/>
        </w:r>
        <w:r w:rsidR="00D56177">
          <w:rPr>
            <w:noProof/>
            <w:webHidden/>
          </w:rPr>
          <w:instrText xml:space="preserve"> PAGEREF _Toc129767610 \h </w:instrText>
        </w:r>
        <w:r w:rsidR="00D56177">
          <w:rPr>
            <w:noProof/>
            <w:webHidden/>
          </w:rPr>
        </w:r>
        <w:r w:rsidR="00D56177">
          <w:rPr>
            <w:noProof/>
            <w:webHidden/>
          </w:rPr>
          <w:fldChar w:fldCharType="separate"/>
        </w:r>
        <w:r w:rsidR="00CC7B9C">
          <w:rPr>
            <w:noProof/>
            <w:webHidden/>
          </w:rPr>
          <w:t>7</w:t>
        </w:r>
        <w:r w:rsidR="00D56177">
          <w:rPr>
            <w:noProof/>
            <w:webHidden/>
          </w:rPr>
          <w:fldChar w:fldCharType="end"/>
        </w:r>
      </w:hyperlink>
    </w:p>
    <w:p w14:paraId="4A2B5995" w14:textId="2657AF09" w:rsidR="00D56177" w:rsidRDefault="005562AF" w:rsidP="00D56177">
      <w:pPr>
        <w:pStyle w:val="TOC4"/>
        <w:rPr>
          <w:rFonts w:eastAsiaTheme="minorEastAsia"/>
          <w:noProof/>
          <w:lang w:eastAsia="zh-CN"/>
        </w:rPr>
      </w:pPr>
      <w:hyperlink w:anchor="_Toc129767611" w:history="1">
        <w:r w:rsidR="00D56177" w:rsidRPr="00881978">
          <w:rPr>
            <w:rStyle w:val="Hyperlink"/>
            <w:noProof/>
          </w:rPr>
          <w:t>Table 1. Broadband technology types in Australia, all premises (businesses and households)</w:t>
        </w:r>
        <w:r w:rsidR="00D56177">
          <w:rPr>
            <w:noProof/>
            <w:webHidden/>
          </w:rPr>
          <w:tab/>
        </w:r>
        <w:r w:rsidR="00D56177">
          <w:rPr>
            <w:noProof/>
            <w:webHidden/>
          </w:rPr>
          <w:fldChar w:fldCharType="begin"/>
        </w:r>
        <w:r w:rsidR="00D56177">
          <w:rPr>
            <w:noProof/>
            <w:webHidden/>
          </w:rPr>
          <w:instrText xml:space="preserve"> PAGEREF _Toc129767611 \h </w:instrText>
        </w:r>
        <w:r w:rsidR="00D56177">
          <w:rPr>
            <w:noProof/>
            <w:webHidden/>
          </w:rPr>
        </w:r>
        <w:r w:rsidR="00D56177">
          <w:rPr>
            <w:noProof/>
            <w:webHidden/>
          </w:rPr>
          <w:fldChar w:fldCharType="separate"/>
        </w:r>
        <w:r w:rsidR="00CC7B9C">
          <w:rPr>
            <w:noProof/>
            <w:webHidden/>
          </w:rPr>
          <w:t>8</w:t>
        </w:r>
        <w:r w:rsidR="00D56177">
          <w:rPr>
            <w:noProof/>
            <w:webHidden/>
          </w:rPr>
          <w:fldChar w:fldCharType="end"/>
        </w:r>
      </w:hyperlink>
    </w:p>
    <w:p w14:paraId="7C1874BA" w14:textId="1038429A" w:rsidR="00D56177" w:rsidRDefault="005562AF" w:rsidP="00D56177">
      <w:pPr>
        <w:pStyle w:val="TOC4"/>
        <w:rPr>
          <w:rFonts w:eastAsiaTheme="minorEastAsia"/>
          <w:noProof/>
          <w:lang w:eastAsia="zh-CN"/>
        </w:rPr>
      </w:pPr>
      <w:hyperlink w:anchor="_Toc129767612" w:history="1">
        <w:r w:rsidR="00D56177" w:rsidRPr="00881978">
          <w:rPr>
            <w:rStyle w:val="Hyperlink"/>
            <w:noProof/>
          </w:rPr>
          <w:t>Figure 2. Connection by broadband technology type, June 2011 and June 2022</w:t>
        </w:r>
        <w:r w:rsidR="00D56177">
          <w:rPr>
            <w:noProof/>
            <w:webHidden/>
          </w:rPr>
          <w:tab/>
        </w:r>
        <w:r w:rsidR="00D56177">
          <w:rPr>
            <w:noProof/>
            <w:webHidden/>
          </w:rPr>
          <w:fldChar w:fldCharType="begin"/>
        </w:r>
        <w:r w:rsidR="00D56177">
          <w:rPr>
            <w:noProof/>
            <w:webHidden/>
          </w:rPr>
          <w:instrText xml:space="preserve"> PAGEREF _Toc129767612 \h </w:instrText>
        </w:r>
        <w:r w:rsidR="00D56177">
          <w:rPr>
            <w:noProof/>
            <w:webHidden/>
          </w:rPr>
        </w:r>
        <w:r w:rsidR="00D56177">
          <w:rPr>
            <w:noProof/>
            <w:webHidden/>
          </w:rPr>
          <w:fldChar w:fldCharType="separate"/>
        </w:r>
        <w:r w:rsidR="00CC7B9C">
          <w:rPr>
            <w:noProof/>
            <w:webHidden/>
          </w:rPr>
          <w:t>9</w:t>
        </w:r>
        <w:r w:rsidR="00D56177">
          <w:rPr>
            <w:noProof/>
            <w:webHidden/>
          </w:rPr>
          <w:fldChar w:fldCharType="end"/>
        </w:r>
      </w:hyperlink>
    </w:p>
    <w:p w14:paraId="51430E56" w14:textId="19714045" w:rsidR="00D56177" w:rsidRDefault="005562AF" w:rsidP="00D56177">
      <w:pPr>
        <w:pStyle w:val="TOC4"/>
        <w:rPr>
          <w:rFonts w:eastAsiaTheme="minorEastAsia"/>
          <w:noProof/>
          <w:lang w:eastAsia="zh-CN"/>
        </w:rPr>
      </w:pPr>
      <w:hyperlink w:anchor="_Toc129767613" w:history="1">
        <w:r w:rsidR="00D56177" w:rsidRPr="00881978">
          <w:rPr>
            <w:rStyle w:val="Hyperlink"/>
            <w:noProof/>
          </w:rPr>
          <w:t>Table 2. Broadband connection technology types, pooled data from 2009–10 to 2018–19</w:t>
        </w:r>
        <w:r w:rsidR="00D56177">
          <w:rPr>
            <w:noProof/>
            <w:webHidden/>
          </w:rPr>
          <w:tab/>
        </w:r>
        <w:r w:rsidR="00D56177">
          <w:rPr>
            <w:noProof/>
            <w:webHidden/>
          </w:rPr>
          <w:fldChar w:fldCharType="begin"/>
        </w:r>
        <w:r w:rsidR="00D56177">
          <w:rPr>
            <w:noProof/>
            <w:webHidden/>
          </w:rPr>
          <w:instrText xml:space="preserve"> PAGEREF _Toc129767613 \h </w:instrText>
        </w:r>
        <w:r w:rsidR="00D56177">
          <w:rPr>
            <w:noProof/>
            <w:webHidden/>
          </w:rPr>
        </w:r>
        <w:r w:rsidR="00D56177">
          <w:rPr>
            <w:noProof/>
            <w:webHidden/>
          </w:rPr>
          <w:fldChar w:fldCharType="separate"/>
        </w:r>
        <w:r w:rsidR="00CC7B9C">
          <w:rPr>
            <w:noProof/>
            <w:webHidden/>
          </w:rPr>
          <w:t>10</w:t>
        </w:r>
        <w:r w:rsidR="00D56177">
          <w:rPr>
            <w:noProof/>
            <w:webHidden/>
          </w:rPr>
          <w:fldChar w:fldCharType="end"/>
        </w:r>
      </w:hyperlink>
    </w:p>
    <w:p w14:paraId="1489E25F" w14:textId="093F15EF" w:rsidR="00D56177" w:rsidRDefault="005562AF" w:rsidP="00D56177">
      <w:pPr>
        <w:pStyle w:val="TOC4"/>
        <w:rPr>
          <w:rFonts w:eastAsiaTheme="minorEastAsia"/>
          <w:noProof/>
          <w:lang w:eastAsia="zh-CN"/>
        </w:rPr>
      </w:pPr>
      <w:hyperlink w:anchor="_Toc129767614" w:history="1">
        <w:r w:rsidR="00D56177" w:rsidRPr="00881978">
          <w:rPr>
            <w:rStyle w:val="Hyperlink"/>
            <w:noProof/>
          </w:rPr>
          <w:t xml:space="preserve">Figure </w:t>
        </w:r>
        <w:r w:rsidR="00D56177" w:rsidRPr="00881978">
          <w:rPr>
            <w:rStyle w:val="Hyperlink"/>
            <w:iCs/>
            <w:noProof/>
          </w:rPr>
          <w:t>3</w:t>
        </w:r>
        <w:r w:rsidR="00D56177" w:rsidRPr="00881978">
          <w:rPr>
            <w:rStyle w:val="Hyperlink"/>
            <w:noProof/>
          </w:rPr>
          <w:t>. Business broadband technology types by region, 2017–18 to 2018–19</w:t>
        </w:r>
        <w:r w:rsidR="00D56177">
          <w:rPr>
            <w:noProof/>
            <w:webHidden/>
          </w:rPr>
          <w:tab/>
        </w:r>
        <w:r w:rsidR="00D56177">
          <w:rPr>
            <w:noProof/>
            <w:webHidden/>
          </w:rPr>
          <w:fldChar w:fldCharType="begin"/>
        </w:r>
        <w:r w:rsidR="00D56177">
          <w:rPr>
            <w:noProof/>
            <w:webHidden/>
          </w:rPr>
          <w:instrText xml:space="preserve"> PAGEREF _Toc129767614 \h </w:instrText>
        </w:r>
        <w:r w:rsidR="00D56177">
          <w:rPr>
            <w:noProof/>
            <w:webHidden/>
          </w:rPr>
        </w:r>
        <w:r w:rsidR="00D56177">
          <w:rPr>
            <w:noProof/>
            <w:webHidden/>
          </w:rPr>
          <w:fldChar w:fldCharType="separate"/>
        </w:r>
        <w:r w:rsidR="00CC7B9C">
          <w:rPr>
            <w:noProof/>
            <w:webHidden/>
          </w:rPr>
          <w:t>10</w:t>
        </w:r>
        <w:r w:rsidR="00D56177">
          <w:rPr>
            <w:noProof/>
            <w:webHidden/>
          </w:rPr>
          <w:fldChar w:fldCharType="end"/>
        </w:r>
      </w:hyperlink>
    </w:p>
    <w:p w14:paraId="08BE03EC" w14:textId="58FE48E6" w:rsidR="00D56177" w:rsidRDefault="005562AF" w:rsidP="00D56177">
      <w:pPr>
        <w:pStyle w:val="TOC4"/>
        <w:rPr>
          <w:rFonts w:eastAsiaTheme="minorEastAsia"/>
          <w:noProof/>
          <w:lang w:eastAsia="zh-CN"/>
        </w:rPr>
      </w:pPr>
      <w:hyperlink w:anchor="_Toc129767615" w:history="1">
        <w:r w:rsidR="00D56177" w:rsidRPr="00881978">
          <w:rPr>
            <w:rStyle w:val="Hyperlink"/>
            <w:noProof/>
          </w:rPr>
          <w:t>Figure 4. Connection type by industry</w:t>
        </w:r>
        <w:r w:rsidR="00D56177">
          <w:rPr>
            <w:noProof/>
            <w:webHidden/>
          </w:rPr>
          <w:tab/>
        </w:r>
        <w:r w:rsidR="00D56177">
          <w:rPr>
            <w:noProof/>
            <w:webHidden/>
          </w:rPr>
          <w:fldChar w:fldCharType="begin"/>
        </w:r>
        <w:r w:rsidR="00D56177">
          <w:rPr>
            <w:noProof/>
            <w:webHidden/>
          </w:rPr>
          <w:instrText xml:space="preserve"> PAGEREF _Toc129767615 \h </w:instrText>
        </w:r>
        <w:r w:rsidR="00D56177">
          <w:rPr>
            <w:noProof/>
            <w:webHidden/>
          </w:rPr>
        </w:r>
        <w:r w:rsidR="00D56177">
          <w:rPr>
            <w:noProof/>
            <w:webHidden/>
          </w:rPr>
          <w:fldChar w:fldCharType="separate"/>
        </w:r>
        <w:r w:rsidR="00CC7B9C">
          <w:rPr>
            <w:noProof/>
            <w:webHidden/>
          </w:rPr>
          <w:t>11</w:t>
        </w:r>
        <w:r w:rsidR="00D56177">
          <w:rPr>
            <w:noProof/>
            <w:webHidden/>
          </w:rPr>
          <w:fldChar w:fldCharType="end"/>
        </w:r>
      </w:hyperlink>
    </w:p>
    <w:p w14:paraId="7CA92B0E" w14:textId="09B888F2" w:rsidR="00D56177" w:rsidRDefault="005562AF" w:rsidP="00D56177">
      <w:pPr>
        <w:pStyle w:val="TOC4"/>
        <w:rPr>
          <w:rFonts w:eastAsiaTheme="minorEastAsia"/>
          <w:noProof/>
          <w:lang w:eastAsia="zh-CN"/>
        </w:rPr>
      </w:pPr>
      <w:hyperlink w:anchor="_Toc129767616" w:history="1">
        <w:r w:rsidR="00D56177" w:rsidRPr="00881978">
          <w:rPr>
            <w:rStyle w:val="Hyperlink"/>
            <w:noProof/>
          </w:rPr>
          <w:t>Table 3. Firm use of cloud-based technology, 2017–18</w:t>
        </w:r>
        <w:r w:rsidR="00D56177">
          <w:rPr>
            <w:noProof/>
            <w:webHidden/>
          </w:rPr>
          <w:tab/>
        </w:r>
        <w:r w:rsidR="00D56177">
          <w:rPr>
            <w:noProof/>
            <w:webHidden/>
          </w:rPr>
          <w:fldChar w:fldCharType="begin"/>
        </w:r>
        <w:r w:rsidR="00D56177">
          <w:rPr>
            <w:noProof/>
            <w:webHidden/>
          </w:rPr>
          <w:instrText xml:space="preserve"> PAGEREF _Toc129767616 \h </w:instrText>
        </w:r>
        <w:r w:rsidR="00D56177">
          <w:rPr>
            <w:noProof/>
            <w:webHidden/>
          </w:rPr>
        </w:r>
        <w:r w:rsidR="00D56177">
          <w:rPr>
            <w:noProof/>
            <w:webHidden/>
          </w:rPr>
          <w:fldChar w:fldCharType="separate"/>
        </w:r>
        <w:r w:rsidR="00CC7B9C">
          <w:rPr>
            <w:noProof/>
            <w:webHidden/>
          </w:rPr>
          <w:t>12</w:t>
        </w:r>
        <w:r w:rsidR="00D56177">
          <w:rPr>
            <w:noProof/>
            <w:webHidden/>
          </w:rPr>
          <w:fldChar w:fldCharType="end"/>
        </w:r>
      </w:hyperlink>
    </w:p>
    <w:p w14:paraId="00E5AC61" w14:textId="781FAF29" w:rsidR="00D56177" w:rsidRDefault="005562AF" w:rsidP="00D56177">
      <w:pPr>
        <w:pStyle w:val="TOC4"/>
        <w:rPr>
          <w:rFonts w:eastAsiaTheme="minorEastAsia"/>
          <w:noProof/>
          <w:lang w:eastAsia="zh-CN"/>
        </w:rPr>
      </w:pPr>
      <w:hyperlink w:anchor="_Toc129767617" w:history="1">
        <w:r w:rsidR="00D56177" w:rsidRPr="00881978">
          <w:rPr>
            <w:rStyle w:val="Hyperlink"/>
            <w:noProof/>
          </w:rPr>
          <w:t>Figure 5. Proportion of businesses reporting increased productivity by technology type</w:t>
        </w:r>
        <w:r w:rsidR="00D56177">
          <w:rPr>
            <w:noProof/>
            <w:webHidden/>
          </w:rPr>
          <w:tab/>
        </w:r>
        <w:r w:rsidR="00D56177">
          <w:rPr>
            <w:noProof/>
            <w:webHidden/>
          </w:rPr>
          <w:fldChar w:fldCharType="begin"/>
        </w:r>
        <w:r w:rsidR="00D56177">
          <w:rPr>
            <w:noProof/>
            <w:webHidden/>
          </w:rPr>
          <w:instrText xml:space="preserve"> PAGEREF _Toc129767617 \h </w:instrText>
        </w:r>
        <w:r w:rsidR="00D56177">
          <w:rPr>
            <w:noProof/>
            <w:webHidden/>
          </w:rPr>
        </w:r>
        <w:r w:rsidR="00D56177">
          <w:rPr>
            <w:noProof/>
            <w:webHidden/>
          </w:rPr>
          <w:fldChar w:fldCharType="separate"/>
        </w:r>
        <w:r w:rsidR="00CC7B9C">
          <w:rPr>
            <w:noProof/>
            <w:webHidden/>
          </w:rPr>
          <w:t>13</w:t>
        </w:r>
        <w:r w:rsidR="00D56177">
          <w:rPr>
            <w:noProof/>
            <w:webHidden/>
          </w:rPr>
          <w:fldChar w:fldCharType="end"/>
        </w:r>
      </w:hyperlink>
    </w:p>
    <w:p w14:paraId="0612B51F" w14:textId="56FBCC2D" w:rsidR="00D56177" w:rsidRDefault="005562AF" w:rsidP="00D56177">
      <w:pPr>
        <w:pStyle w:val="TOC4"/>
        <w:rPr>
          <w:rFonts w:eastAsiaTheme="minorEastAsia"/>
          <w:noProof/>
          <w:lang w:eastAsia="zh-CN"/>
        </w:rPr>
      </w:pPr>
      <w:hyperlink w:anchor="_Toc129767618" w:history="1">
        <w:r w:rsidR="00D56177" w:rsidRPr="00881978">
          <w:rPr>
            <w:rStyle w:val="Hyperlink"/>
            <w:noProof/>
          </w:rPr>
          <w:t>Table 4. Productivity growth by broadband technology</w:t>
        </w:r>
        <w:r w:rsidR="00D56177">
          <w:rPr>
            <w:noProof/>
            <w:webHidden/>
          </w:rPr>
          <w:tab/>
        </w:r>
        <w:r w:rsidR="00D56177">
          <w:rPr>
            <w:noProof/>
            <w:webHidden/>
          </w:rPr>
          <w:fldChar w:fldCharType="begin"/>
        </w:r>
        <w:r w:rsidR="00D56177">
          <w:rPr>
            <w:noProof/>
            <w:webHidden/>
          </w:rPr>
          <w:instrText xml:space="preserve"> PAGEREF _Toc129767618 \h </w:instrText>
        </w:r>
        <w:r w:rsidR="00D56177">
          <w:rPr>
            <w:noProof/>
            <w:webHidden/>
          </w:rPr>
        </w:r>
        <w:r w:rsidR="00D56177">
          <w:rPr>
            <w:noProof/>
            <w:webHidden/>
          </w:rPr>
          <w:fldChar w:fldCharType="separate"/>
        </w:r>
        <w:r w:rsidR="00CC7B9C">
          <w:rPr>
            <w:noProof/>
            <w:webHidden/>
          </w:rPr>
          <w:t>14</w:t>
        </w:r>
        <w:r w:rsidR="00D56177">
          <w:rPr>
            <w:noProof/>
            <w:webHidden/>
          </w:rPr>
          <w:fldChar w:fldCharType="end"/>
        </w:r>
      </w:hyperlink>
    </w:p>
    <w:p w14:paraId="16BB1C5D" w14:textId="19CC93AC" w:rsidR="00D56177" w:rsidRDefault="005562AF" w:rsidP="00D56177">
      <w:pPr>
        <w:pStyle w:val="TOC4"/>
        <w:rPr>
          <w:rFonts w:eastAsiaTheme="minorEastAsia"/>
          <w:noProof/>
          <w:lang w:eastAsia="zh-CN"/>
        </w:rPr>
      </w:pPr>
      <w:hyperlink w:anchor="_Toc129767619" w:history="1">
        <w:r w:rsidR="00D56177" w:rsidRPr="00881978">
          <w:rPr>
            <w:rStyle w:val="Hyperlink"/>
            <w:noProof/>
          </w:rPr>
          <w:t>Figure 6. Annual input and output growth by broadband technology, 2009–10 to 2018–19</w:t>
        </w:r>
        <w:r w:rsidR="00D56177">
          <w:rPr>
            <w:noProof/>
            <w:webHidden/>
          </w:rPr>
          <w:tab/>
        </w:r>
        <w:r w:rsidR="00D56177">
          <w:rPr>
            <w:noProof/>
            <w:webHidden/>
          </w:rPr>
          <w:fldChar w:fldCharType="begin"/>
        </w:r>
        <w:r w:rsidR="00D56177">
          <w:rPr>
            <w:noProof/>
            <w:webHidden/>
          </w:rPr>
          <w:instrText xml:space="preserve"> PAGEREF _Toc129767619 \h </w:instrText>
        </w:r>
        <w:r w:rsidR="00D56177">
          <w:rPr>
            <w:noProof/>
            <w:webHidden/>
          </w:rPr>
        </w:r>
        <w:r w:rsidR="00D56177">
          <w:rPr>
            <w:noProof/>
            <w:webHidden/>
          </w:rPr>
          <w:fldChar w:fldCharType="separate"/>
        </w:r>
        <w:r w:rsidR="00CC7B9C">
          <w:rPr>
            <w:noProof/>
            <w:webHidden/>
          </w:rPr>
          <w:t>15</w:t>
        </w:r>
        <w:r w:rsidR="00D56177">
          <w:rPr>
            <w:noProof/>
            <w:webHidden/>
          </w:rPr>
          <w:fldChar w:fldCharType="end"/>
        </w:r>
      </w:hyperlink>
    </w:p>
    <w:p w14:paraId="233BE04E" w14:textId="21430887" w:rsidR="00D56177" w:rsidRDefault="005562AF" w:rsidP="00D56177">
      <w:pPr>
        <w:pStyle w:val="TOC4"/>
        <w:rPr>
          <w:rFonts w:eastAsiaTheme="minorEastAsia"/>
          <w:noProof/>
          <w:lang w:eastAsia="zh-CN"/>
        </w:rPr>
      </w:pPr>
      <w:hyperlink w:anchor="_Toc129767620" w:history="1">
        <w:r w:rsidR="00D56177" w:rsidRPr="00881978">
          <w:rPr>
            <w:rStyle w:val="Hyperlink"/>
            <w:noProof/>
          </w:rPr>
          <w:t>Table 5. Productivity growth for firms on fibre or cable broadband compared with DSL – Regression results</w:t>
        </w:r>
        <w:r w:rsidR="00D56177">
          <w:rPr>
            <w:noProof/>
            <w:webHidden/>
          </w:rPr>
          <w:tab/>
        </w:r>
        <w:r w:rsidR="00D56177">
          <w:rPr>
            <w:noProof/>
            <w:webHidden/>
          </w:rPr>
          <w:fldChar w:fldCharType="begin"/>
        </w:r>
        <w:r w:rsidR="00D56177">
          <w:rPr>
            <w:noProof/>
            <w:webHidden/>
          </w:rPr>
          <w:instrText xml:space="preserve"> PAGEREF _Toc129767620 \h </w:instrText>
        </w:r>
        <w:r w:rsidR="00D56177">
          <w:rPr>
            <w:noProof/>
            <w:webHidden/>
          </w:rPr>
        </w:r>
        <w:r w:rsidR="00D56177">
          <w:rPr>
            <w:noProof/>
            <w:webHidden/>
          </w:rPr>
          <w:fldChar w:fldCharType="separate"/>
        </w:r>
        <w:r w:rsidR="00CC7B9C">
          <w:rPr>
            <w:noProof/>
            <w:webHidden/>
          </w:rPr>
          <w:t>16</w:t>
        </w:r>
        <w:r w:rsidR="00D56177">
          <w:rPr>
            <w:noProof/>
            <w:webHidden/>
          </w:rPr>
          <w:fldChar w:fldCharType="end"/>
        </w:r>
      </w:hyperlink>
    </w:p>
    <w:p w14:paraId="4B18D39A" w14:textId="44F23DC1" w:rsidR="00D56177" w:rsidRDefault="005562AF" w:rsidP="00D56177">
      <w:pPr>
        <w:pStyle w:val="TOC4"/>
        <w:rPr>
          <w:rFonts w:eastAsiaTheme="minorEastAsia"/>
          <w:noProof/>
          <w:lang w:eastAsia="zh-CN"/>
        </w:rPr>
      </w:pPr>
      <w:hyperlink w:anchor="_Toc129767621" w:history="1">
        <w:r w:rsidR="00D56177" w:rsidRPr="00881978">
          <w:rPr>
            <w:rStyle w:val="Hyperlink"/>
            <w:noProof/>
          </w:rPr>
          <w:t>Table 6. Productivity growth for firms without broadband, compared with DSL – Regression results</w:t>
        </w:r>
        <w:r w:rsidR="00D56177">
          <w:rPr>
            <w:noProof/>
            <w:webHidden/>
          </w:rPr>
          <w:tab/>
        </w:r>
        <w:r w:rsidR="00D56177">
          <w:rPr>
            <w:noProof/>
            <w:webHidden/>
          </w:rPr>
          <w:fldChar w:fldCharType="begin"/>
        </w:r>
        <w:r w:rsidR="00D56177">
          <w:rPr>
            <w:noProof/>
            <w:webHidden/>
          </w:rPr>
          <w:instrText xml:space="preserve"> PAGEREF _Toc129767621 \h </w:instrText>
        </w:r>
        <w:r w:rsidR="00D56177">
          <w:rPr>
            <w:noProof/>
            <w:webHidden/>
          </w:rPr>
        </w:r>
        <w:r w:rsidR="00D56177">
          <w:rPr>
            <w:noProof/>
            <w:webHidden/>
          </w:rPr>
          <w:fldChar w:fldCharType="separate"/>
        </w:r>
        <w:r w:rsidR="00CC7B9C">
          <w:rPr>
            <w:noProof/>
            <w:webHidden/>
          </w:rPr>
          <w:t>17</w:t>
        </w:r>
        <w:r w:rsidR="00D56177">
          <w:rPr>
            <w:noProof/>
            <w:webHidden/>
          </w:rPr>
          <w:fldChar w:fldCharType="end"/>
        </w:r>
      </w:hyperlink>
    </w:p>
    <w:p w14:paraId="127AA100" w14:textId="32005C73" w:rsidR="00D56177" w:rsidRDefault="005562AF" w:rsidP="00D56177">
      <w:pPr>
        <w:pStyle w:val="TOC4"/>
        <w:rPr>
          <w:rFonts w:eastAsiaTheme="minorEastAsia"/>
          <w:noProof/>
          <w:lang w:eastAsia="zh-CN"/>
        </w:rPr>
      </w:pPr>
      <w:hyperlink w:anchor="_Toc129767622" w:history="1">
        <w:r w:rsidR="00D56177" w:rsidRPr="00881978">
          <w:rPr>
            <w:rStyle w:val="Hyperlink"/>
            <w:noProof/>
          </w:rPr>
          <w:t>Table 7. Productivity growth for firms on satellite broadband, compared with DSL – Regression results</w:t>
        </w:r>
        <w:r w:rsidR="00D56177">
          <w:rPr>
            <w:noProof/>
            <w:webHidden/>
          </w:rPr>
          <w:tab/>
        </w:r>
        <w:r w:rsidR="00D56177">
          <w:rPr>
            <w:noProof/>
            <w:webHidden/>
          </w:rPr>
          <w:fldChar w:fldCharType="begin"/>
        </w:r>
        <w:r w:rsidR="00D56177">
          <w:rPr>
            <w:noProof/>
            <w:webHidden/>
          </w:rPr>
          <w:instrText xml:space="preserve"> PAGEREF _Toc129767622 \h </w:instrText>
        </w:r>
        <w:r w:rsidR="00D56177">
          <w:rPr>
            <w:noProof/>
            <w:webHidden/>
          </w:rPr>
        </w:r>
        <w:r w:rsidR="00D56177">
          <w:rPr>
            <w:noProof/>
            <w:webHidden/>
          </w:rPr>
          <w:fldChar w:fldCharType="separate"/>
        </w:r>
        <w:r w:rsidR="00CC7B9C">
          <w:rPr>
            <w:noProof/>
            <w:webHidden/>
          </w:rPr>
          <w:t>17</w:t>
        </w:r>
        <w:r w:rsidR="00D56177">
          <w:rPr>
            <w:noProof/>
            <w:webHidden/>
          </w:rPr>
          <w:fldChar w:fldCharType="end"/>
        </w:r>
      </w:hyperlink>
    </w:p>
    <w:p w14:paraId="057F3F9D" w14:textId="3B55E8DF" w:rsidR="00D56177" w:rsidRDefault="005562AF" w:rsidP="00D56177">
      <w:pPr>
        <w:pStyle w:val="TOC4"/>
        <w:rPr>
          <w:rFonts w:eastAsiaTheme="minorEastAsia"/>
          <w:noProof/>
          <w:lang w:eastAsia="zh-CN"/>
        </w:rPr>
      </w:pPr>
      <w:hyperlink w:anchor="_Toc129767623" w:history="1">
        <w:r w:rsidR="00D56177" w:rsidRPr="00881978">
          <w:rPr>
            <w:rStyle w:val="Hyperlink"/>
            <w:noProof/>
          </w:rPr>
          <w:t>Table 8. Productivity growth for firms that switch from DSL to fibre or cable broadband – Regression results</w:t>
        </w:r>
        <w:r w:rsidR="00D56177">
          <w:rPr>
            <w:noProof/>
            <w:webHidden/>
          </w:rPr>
          <w:tab/>
        </w:r>
        <w:r w:rsidR="00D56177">
          <w:rPr>
            <w:noProof/>
            <w:webHidden/>
          </w:rPr>
          <w:fldChar w:fldCharType="begin"/>
        </w:r>
        <w:r w:rsidR="00D56177">
          <w:rPr>
            <w:noProof/>
            <w:webHidden/>
          </w:rPr>
          <w:instrText xml:space="preserve"> PAGEREF _Toc129767623 \h </w:instrText>
        </w:r>
        <w:r w:rsidR="00D56177">
          <w:rPr>
            <w:noProof/>
            <w:webHidden/>
          </w:rPr>
        </w:r>
        <w:r w:rsidR="00D56177">
          <w:rPr>
            <w:noProof/>
            <w:webHidden/>
          </w:rPr>
          <w:fldChar w:fldCharType="separate"/>
        </w:r>
        <w:r w:rsidR="00CC7B9C">
          <w:rPr>
            <w:noProof/>
            <w:webHidden/>
          </w:rPr>
          <w:t>18</w:t>
        </w:r>
        <w:r w:rsidR="00D56177">
          <w:rPr>
            <w:noProof/>
            <w:webHidden/>
          </w:rPr>
          <w:fldChar w:fldCharType="end"/>
        </w:r>
      </w:hyperlink>
    </w:p>
    <w:p w14:paraId="7DB82FDD" w14:textId="4F3705C1" w:rsidR="00D56177" w:rsidRDefault="005562AF" w:rsidP="00D56177">
      <w:pPr>
        <w:pStyle w:val="TOC4"/>
        <w:rPr>
          <w:rFonts w:eastAsiaTheme="minorEastAsia"/>
          <w:noProof/>
          <w:lang w:eastAsia="zh-CN"/>
        </w:rPr>
      </w:pPr>
      <w:hyperlink w:anchor="_Toc129767624" w:history="1">
        <w:r w:rsidR="00D56177" w:rsidRPr="00881978">
          <w:rPr>
            <w:rStyle w:val="Hyperlink"/>
            <w:noProof/>
          </w:rPr>
          <w:t>Table 9. Sustained annual productivity growth for firms that switch from DSL to fibre or cable broadband - regression results</w:t>
        </w:r>
        <w:r w:rsidR="00D56177">
          <w:rPr>
            <w:noProof/>
            <w:webHidden/>
          </w:rPr>
          <w:tab/>
        </w:r>
        <w:r w:rsidR="00D56177">
          <w:rPr>
            <w:noProof/>
            <w:webHidden/>
          </w:rPr>
          <w:fldChar w:fldCharType="begin"/>
        </w:r>
        <w:r w:rsidR="00D56177">
          <w:rPr>
            <w:noProof/>
            <w:webHidden/>
          </w:rPr>
          <w:instrText xml:space="preserve"> PAGEREF _Toc129767624 \h </w:instrText>
        </w:r>
        <w:r w:rsidR="00D56177">
          <w:rPr>
            <w:noProof/>
            <w:webHidden/>
          </w:rPr>
        </w:r>
        <w:r w:rsidR="00D56177">
          <w:rPr>
            <w:noProof/>
            <w:webHidden/>
          </w:rPr>
          <w:fldChar w:fldCharType="separate"/>
        </w:r>
        <w:r w:rsidR="00CC7B9C">
          <w:rPr>
            <w:noProof/>
            <w:webHidden/>
          </w:rPr>
          <w:t>19</w:t>
        </w:r>
        <w:r w:rsidR="00D56177">
          <w:rPr>
            <w:noProof/>
            <w:webHidden/>
          </w:rPr>
          <w:fldChar w:fldCharType="end"/>
        </w:r>
      </w:hyperlink>
    </w:p>
    <w:p w14:paraId="1E113C94" w14:textId="1882F9E6" w:rsidR="00D56177" w:rsidRDefault="005562AF" w:rsidP="00D56177">
      <w:pPr>
        <w:pStyle w:val="TOC4"/>
        <w:rPr>
          <w:rFonts w:eastAsiaTheme="minorEastAsia"/>
          <w:noProof/>
          <w:lang w:eastAsia="zh-CN"/>
        </w:rPr>
      </w:pPr>
      <w:hyperlink w:anchor="_Toc129767625" w:history="1">
        <w:r w:rsidR="00D56177" w:rsidRPr="00881978">
          <w:rPr>
            <w:rStyle w:val="Hyperlink"/>
            <w:noProof/>
          </w:rPr>
          <w:t>Figure 7. Estimating firm-level productivity growth</w:t>
        </w:r>
        <w:r w:rsidR="00D56177">
          <w:rPr>
            <w:noProof/>
            <w:webHidden/>
          </w:rPr>
          <w:tab/>
        </w:r>
        <w:r w:rsidR="00D56177">
          <w:rPr>
            <w:noProof/>
            <w:webHidden/>
          </w:rPr>
          <w:fldChar w:fldCharType="begin"/>
        </w:r>
        <w:r w:rsidR="00D56177">
          <w:rPr>
            <w:noProof/>
            <w:webHidden/>
          </w:rPr>
          <w:instrText xml:space="preserve"> PAGEREF _Toc129767625 \h </w:instrText>
        </w:r>
        <w:r w:rsidR="00D56177">
          <w:rPr>
            <w:noProof/>
            <w:webHidden/>
          </w:rPr>
        </w:r>
        <w:r w:rsidR="00D56177">
          <w:rPr>
            <w:noProof/>
            <w:webHidden/>
          </w:rPr>
          <w:fldChar w:fldCharType="separate"/>
        </w:r>
        <w:r w:rsidR="00CC7B9C">
          <w:rPr>
            <w:noProof/>
            <w:webHidden/>
          </w:rPr>
          <w:t>22</w:t>
        </w:r>
        <w:r w:rsidR="00D56177">
          <w:rPr>
            <w:noProof/>
            <w:webHidden/>
          </w:rPr>
          <w:fldChar w:fldCharType="end"/>
        </w:r>
      </w:hyperlink>
    </w:p>
    <w:p w14:paraId="164DC705" w14:textId="64C80761" w:rsidR="00D56177" w:rsidRDefault="005562AF" w:rsidP="00D56177">
      <w:pPr>
        <w:pStyle w:val="TOC4"/>
        <w:rPr>
          <w:rFonts w:eastAsiaTheme="minorEastAsia"/>
          <w:noProof/>
          <w:lang w:eastAsia="zh-CN"/>
        </w:rPr>
      </w:pPr>
      <w:hyperlink w:anchor="_Toc129767626" w:history="1">
        <w:r w:rsidR="00D56177" w:rsidRPr="00881978">
          <w:rPr>
            <w:rStyle w:val="Hyperlink"/>
            <w:noProof/>
          </w:rPr>
          <w:t>Figure 8. Estimating the relationship between productivity growth and broadband</w:t>
        </w:r>
        <w:r w:rsidR="00D56177">
          <w:rPr>
            <w:noProof/>
            <w:webHidden/>
          </w:rPr>
          <w:tab/>
        </w:r>
        <w:r w:rsidR="00D56177">
          <w:rPr>
            <w:noProof/>
            <w:webHidden/>
          </w:rPr>
          <w:fldChar w:fldCharType="begin"/>
        </w:r>
        <w:r w:rsidR="00D56177">
          <w:rPr>
            <w:noProof/>
            <w:webHidden/>
          </w:rPr>
          <w:instrText xml:space="preserve"> PAGEREF _Toc129767626 \h </w:instrText>
        </w:r>
        <w:r w:rsidR="00D56177">
          <w:rPr>
            <w:noProof/>
            <w:webHidden/>
          </w:rPr>
        </w:r>
        <w:r w:rsidR="00D56177">
          <w:rPr>
            <w:noProof/>
            <w:webHidden/>
          </w:rPr>
          <w:fldChar w:fldCharType="separate"/>
        </w:r>
        <w:r w:rsidR="00CC7B9C">
          <w:rPr>
            <w:noProof/>
            <w:webHidden/>
          </w:rPr>
          <w:t>22</w:t>
        </w:r>
        <w:r w:rsidR="00D56177">
          <w:rPr>
            <w:noProof/>
            <w:webHidden/>
          </w:rPr>
          <w:fldChar w:fldCharType="end"/>
        </w:r>
      </w:hyperlink>
    </w:p>
    <w:p w14:paraId="40D8C8B5" w14:textId="5784A612" w:rsidR="00D56177" w:rsidRDefault="005562AF" w:rsidP="00D56177">
      <w:pPr>
        <w:pStyle w:val="TOC4"/>
        <w:rPr>
          <w:rFonts w:eastAsiaTheme="minorEastAsia"/>
          <w:noProof/>
          <w:lang w:eastAsia="zh-CN"/>
        </w:rPr>
      </w:pPr>
      <w:hyperlink w:anchor="_Toc129767627" w:history="1">
        <w:r w:rsidR="00D56177" w:rsidRPr="00881978">
          <w:rPr>
            <w:rStyle w:val="Hyperlink"/>
            <w:noProof/>
          </w:rPr>
          <w:t>Table 10. Index weights used for firm inputs</w:t>
        </w:r>
        <w:r w:rsidR="00D56177">
          <w:rPr>
            <w:noProof/>
            <w:webHidden/>
          </w:rPr>
          <w:tab/>
        </w:r>
        <w:r w:rsidR="00D56177">
          <w:rPr>
            <w:noProof/>
            <w:webHidden/>
          </w:rPr>
          <w:fldChar w:fldCharType="begin"/>
        </w:r>
        <w:r w:rsidR="00D56177">
          <w:rPr>
            <w:noProof/>
            <w:webHidden/>
          </w:rPr>
          <w:instrText xml:space="preserve"> PAGEREF _Toc129767627 \h </w:instrText>
        </w:r>
        <w:r w:rsidR="00D56177">
          <w:rPr>
            <w:noProof/>
            <w:webHidden/>
          </w:rPr>
        </w:r>
        <w:r w:rsidR="00D56177">
          <w:rPr>
            <w:noProof/>
            <w:webHidden/>
          </w:rPr>
          <w:fldChar w:fldCharType="separate"/>
        </w:r>
        <w:r w:rsidR="00CC7B9C">
          <w:rPr>
            <w:noProof/>
            <w:webHidden/>
          </w:rPr>
          <w:t>25</w:t>
        </w:r>
        <w:r w:rsidR="00D56177">
          <w:rPr>
            <w:noProof/>
            <w:webHidden/>
          </w:rPr>
          <w:fldChar w:fldCharType="end"/>
        </w:r>
      </w:hyperlink>
    </w:p>
    <w:p w14:paraId="5798A2F1" w14:textId="65BCF86A" w:rsidR="00D56177" w:rsidRDefault="005562AF" w:rsidP="00D56177">
      <w:pPr>
        <w:pStyle w:val="TOC4"/>
        <w:rPr>
          <w:rFonts w:eastAsiaTheme="minorEastAsia"/>
          <w:noProof/>
          <w:lang w:eastAsia="zh-CN"/>
        </w:rPr>
      </w:pPr>
      <w:hyperlink w:anchor="_Toc129767628" w:history="1">
        <w:r w:rsidR="00D56177" w:rsidRPr="00881978">
          <w:rPr>
            <w:rStyle w:val="Hyperlink"/>
            <w:noProof/>
          </w:rPr>
          <w:t>Table 11. Share of BLADE observations missing in dataset, by selected variables</w:t>
        </w:r>
        <w:r w:rsidR="00D56177">
          <w:rPr>
            <w:noProof/>
            <w:webHidden/>
          </w:rPr>
          <w:tab/>
        </w:r>
        <w:r w:rsidR="00D56177">
          <w:rPr>
            <w:noProof/>
            <w:webHidden/>
          </w:rPr>
          <w:fldChar w:fldCharType="begin"/>
        </w:r>
        <w:r w:rsidR="00D56177">
          <w:rPr>
            <w:noProof/>
            <w:webHidden/>
          </w:rPr>
          <w:instrText xml:space="preserve"> PAGEREF _Toc129767628 \h </w:instrText>
        </w:r>
        <w:r w:rsidR="00D56177">
          <w:rPr>
            <w:noProof/>
            <w:webHidden/>
          </w:rPr>
        </w:r>
        <w:r w:rsidR="00D56177">
          <w:rPr>
            <w:noProof/>
            <w:webHidden/>
          </w:rPr>
          <w:fldChar w:fldCharType="separate"/>
        </w:r>
        <w:r w:rsidR="00CC7B9C">
          <w:rPr>
            <w:noProof/>
            <w:webHidden/>
          </w:rPr>
          <w:t>25</w:t>
        </w:r>
        <w:r w:rsidR="00D56177">
          <w:rPr>
            <w:noProof/>
            <w:webHidden/>
          </w:rPr>
          <w:fldChar w:fldCharType="end"/>
        </w:r>
      </w:hyperlink>
    </w:p>
    <w:p w14:paraId="15AFD391" w14:textId="07E2D09A" w:rsidR="00D56177" w:rsidRDefault="005562AF" w:rsidP="00D56177">
      <w:pPr>
        <w:pStyle w:val="TOC4"/>
        <w:rPr>
          <w:rFonts w:eastAsiaTheme="minorEastAsia"/>
          <w:noProof/>
          <w:lang w:eastAsia="zh-CN"/>
        </w:rPr>
      </w:pPr>
      <w:hyperlink w:anchor="_Toc129767629" w:history="1">
        <w:r w:rsidR="00D56177" w:rsidRPr="00881978">
          <w:rPr>
            <w:rStyle w:val="Hyperlink"/>
            <w:noProof/>
          </w:rPr>
          <w:t>Table 12. XGBoost evaluation metrics</w:t>
        </w:r>
        <w:r w:rsidR="00D56177">
          <w:rPr>
            <w:noProof/>
            <w:webHidden/>
          </w:rPr>
          <w:tab/>
        </w:r>
        <w:r w:rsidR="00D56177">
          <w:rPr>
            <w:noProof/>
            <w:webHidden/>
          </w:rPr>
          <w:fldChar w:fldCharType="begin"/>
        </w:r>
        <w:r w:rsidR="00D56177">
          <w:rPr>
            <w:noProof/>
            <w:webHidden/>
          </w:rPr>
          <w:instrText xml:space="preserve"> PAGEREF _Toc129767629 \h </w:instrText>
        </w:r>
        <w:r w:rsidR="00D56177">
          <w:rPr>
            <w:noProof/>
            <w:webHidden/>
          </w:rPr>
        </w:r>
        <w:r w:rsidR="00D56177">
          <w:rPr>
            <w:noProof/>
            <w:webHidden/>
          </w:rPr>
          <w:fldChar w:fldCharType="separate"/>
        </w:r>
        <w:r w:rsidR="00CC7B9C">
          <w:rPr>
            <w:noProof/>
            <w:webHidden/>
          </w:rPr>
          <w:t>26</w:t>
        </w:r>
        <w:r w:rsidR="00D56177">
          <w:rPr>
            <w:noProof/>
            <w:webHidden/>
          </w:rPr>
          <w:fldChar w:fldCharType="end"/>
        </w:r>
      </w:hyperlink>
    </w:p>
    <w:p w14:paraId="15541741" w14:textId="4CB3D7C2" w:rsidR="00D56177" w:rsidRDefault="005562AF" w:rsidP="00D56177">
      <w:pPr>
        <w:pStyle w:val="TOC4"/>
        <w:rPr>
          <w:rFonts w:eastAsiaTheme="minorEastAsia"/>
          <w:noProof/>
          <w:lang w:eastAsia="zh-CN"/>
        </w:rPr>
      </w:pPr>
      <w:hyperlink w:anchor="_Toc129767630" w:history="1">
        <w:r w:rsidR="00D56177" w:rsidRPr="00881978">
          <w:rPr>
            <w:rStyle w:val="Hyperlink"/>
            <w:noProof/>
          </w:rPr>
          <w:t>Table 13. Firm characteristics—Business Characteristics Survey (BCS) and Australian Business Register (ABR)</w:t>
        </w:r>
        <w:r w:rsidR="00D56177">
          <w:rPr>
            <w:noProof/>
            <w:webHidden/>
          </w:rPr>
          <w:tab/>
        </w:r>
        <w:r w:rsidR="00D56177">
          <w:rPr>
            <w:noProof/>
            <w:webHidden/>
          </w:rPr>
          <w:fldChar w:fldCharType="begin"/>
        </w:r>
        <w:r w:rsidR="00D56177">
          <w:rPr>
            <w:noProof/>
            <w:webHidden/>
          </w:rPr>
          <w:instrText xml:space="preserve"> PAGEREF _Toc129767630 \h </w:instrText>
        </w:r>
        <w:r w:rsidR="00D56177">
          <w:rPr>
            <w:noProof/>
            <w:webHidden/>
          </w:rPr>
        </w:r>
        <w:r w:rsidR="00D56177">
          <w:rPr>
            <w:noProof/>
            <w:webHidden/>
          </w:rPr>
          <w:fldChar w:fldCharType="separate"/>
        </w:r>
        <w:r w:rsidR="00CC7B9C">
          <w:rPr>
            <w:noProof/>
            <w:webHidden/>
          </w:rPr>
          <w:t>27</w:t>
        </w:r>
        <w:r w:rsidR="00D56177">
          <w:rPr>
            <w:noProof/>
            <w:webHidden/>
          </w:rPr>
          <w:fldChar w:fldCharType="end"/>
        </w:r>
      </w:hyperlink>
    </w:p>
    <w:p w14:paraId="560CC738" w14:textId="525D22E6" w:rsidR="00D56177" w:rsidRDefault="005562AF" w:rsidP="00D56177">
      <w:pPr>
        <w:pStyle w:val="TOC4"/>
        <w:rPr>
          <w:rFonts w:eastAsiaTheme="minorEastAsia"/>
          <w:noProof/>
          <w:lang w:eastAsia="zh-CN"/>
        </w:rPr>
      </w:pPr>
      <w:hyperlink w:anchor="_Toc129767631" w:history="1">
        <w:r w:rsidR="00D56177" w:rsidRPr="00881978">
          <w:rPr>
            <w:rStyle w:val="Hyperlink"/>
            <w:noProof/>
          </w:rPr>
          <w:t>Figure 9. Share of businesses by industry from the Business Characteristics Survey (BCS) and Australian Business Register (ABR)</w:t>
        </w:r>
        <w:r w:rsidR="00D56177">
          <w:rPr>
            <w:noProof/>
            <w:webHidden/>
          </w:rPr>
          <w:tab/>
        </w:r>
        <w:r w:rsidR="00D56177">
          <w:rPr>
            <w:noProof/>
            <w:webHidden/>
          </w:rPr>
          <w:fldChar w:fldCharType="begin"/>
        </w:r>
        <w:r w:rsidR="00D56177">
          <w:rPr>
            <w:noProof/>
            <w:webHidden/>
          </w:rPr>
          <w:instrText xml:space="preserve"> PAGEREF _Toc129767631 \h </w:instrText>
        </w:r>
        <w:r w:rsidR="00D56177">
          <w:rPr>
            <w:noProof/>
            <w:webHidden/>
          </w:rPr>
        </w:r>
        <w:r w:rsidR="00D56177">
          <w:rPr>
            <w:noProof/>
            <w:webHidden/>
          </w:rPr>
          <w:fldChar w:fldCharType="separate"/>
        </w:r>
        <w:r w:rsidR="00CC7B9C">
          <w:rPr>
            <w:noProof/>
            <w:webHidden/>
          </w:rPr>
          <w:t>28</w:t>
        </w:r>
        <w:r w:rsidR="00D56177">
          <w:rPr>
            <w:noProof/>
            <w:webHidden/>
          </w:rPr>
          <w:fldChar w:fldCharType="end"/>
        </w:r>
      </w:hyperlink>
    </w:p>
    <w:p w14:paraId="4343886F" w14:textId="6B85FF3E" w:rsidR="00D56177" w:rsidRDefault="005562AF" w:rsidP="00D56177">
      <w:pPr>
        <w:pStyle w:val="TOC4"/>
        <w:rPr>
          <w:rFonts w:eastAsiaTheme="minorEastAsia"/>
          <w:noProof/>
          <w:lang w:eastAsia="zh-CN"/>
        </w:rPr>
      </w:pPr>
      <w:hyperlink w:anchor="_Toc129767632" w:history="1">
        <w:r w:rsidR="00D56177" w:rsidRPr="00881978">
          <w:rPr>
            <w:rStyle w:val="Hyperlink"/>
            <w:noProof/>
          </w:rPr>
          <w:t>Table 14. Broadband variables used in regression models</w:t>
        </w:r>
        <w:r w:rsidR="00D56177">
          <w:rPr>
            <w:noProof/>
            <w:webHidden/>
          </w:rPr>
          <w:tab/>
        </w:r>
        <w:r w:rsidR="00D56177">
          <w:rPr>
            <w:noProof/>
            <w:webHidden/>
          </w:rPr>
          <w:fldChar w:fldCharType="begin"/>
        </w:r>
        <w:r w:rsidR="00D56177">
          <w:rPr>
            <w:noProof/>
            <w:webHidden/>
          </w:rPr>
          <w:instrText xml:space="preserve"> PAGEREF _Toc129767632 \h </w:instrText>
        </w:r>
        <w:r w:rsidR="00D56177">
          <w:rPr>
            <w:noProof/>
            <w:webHidden/>
          </w:rPr>
        </w:r>
        <w:r w:rsidR="00D56177">
          <w:rPr>
            <w:noProof/>
            <w:webHidden/>
          </w:rPr>
          <w:fldChar w:fldCharType="separate"/>
        </w:r>
        <w:r w:rsidR="00CC7B9C">
          <w:rPr>
            <w:noProof/>
            <w:webHidden/>
          </w:rPr>
          <w:t>29</w:t>
        </w:r>
        <w:r w:rsidR="00D56177">
          <w:rPr>
            <w:noProof/>
            <w:webHidden/>
          </w:rPr>
          <w:fldChar w:fldCharType="end"/>
        </w:r>
      </w:hyperlink>
    </w:p>
    <w:p w14:paraId="10D5E30B" w14:textId="1B62642E" w:rsidR="00D56177" w:rsidRDefault="005562AF" w:rsidP="00D56177">
      <w:pPr>
        <w:pStyle w:val="TOC4"/>
        <w:rPr>
          <w:rFonts w:eastAsiaTheme="minorEastAsia"/>
          <w:noProof/>
          <w:lang w:eastAsia="zh-CN"/>
        </w:rPr>
      </w:pPr>
      <w:hyperlink w:anchor="_Toc129767633" w:history="1">
        <w:r w:rsidR="00D56177" w:rsidRPr="00881978">
          <w:rPr>
            <w:rStyle w:val="Hyperlink"/>
            <w:noProof/>
          </w:rPr>
          <w:t>Table 15. Regression results for X</w:t>
        </w:r>
        <w:r w:rsidR="00D56177" w:rsidRPr="00881978">
          <w:rPr>
            <w:rStyle w:val="Hyperlink"/>
            <w:noProof/>
            <w:vertAlign w:val="subscript"/>
          </w:rPr>
          <w:t>1</w:t>
        </w:r>
        <w:r w:rsidR="00D56177" w:rsidRPr="00881978">
          <w:rPr>
            <w:rStyle w:val="Hyperlink"/>
            <w:noProof/>
          </w:rPr>
          <w:t xml:space="preserve"> – effect of broadband technology types (compared with DSL)</w:t>
        </w:r>
        <w:r w:rsidR="00D56177">
          <w:rPr>
            <w:noProof/>
            <w:webHidden/>
          </w:rPr>
          <w:tab/>
        </w:r>
        <w:r w:rsidR="00D56177">
          <w:rPr>
            <w:noProof/>
            <w:webHidden/>
          </w:rPr>
          <w:fldChar w:fldCharType="begin"/>
        </w:r>
        <w:r w:rsidR="00D56177">
          <w:rPr>
            <w:noProof/>
            <w:webHidden/>
          </w:rPr>
          <w:instrText xml:space="preserve"> PAGEREF _Toc129767633 \h </w:instrText>
        </w:r>
        <w:r w:rsidR="00D56177">
          <w:rPr>
            <w:noProof/>
            <w:webHidden/>
          </w:rPr>
        </w:r>
        <w:r w:rsidR="00D56177">
          <w:rPr>
            <w:noProof/>
            <w:webHidden/>
          </w:rPr>
          <w:fldChar w:fldCharType="separate"/>
        </w:r>
        <w:r w:rsidR="00CC7B9C">
          <w:rPr>
            <w:noProof/>
            <w:webHidden/>
          </w:rPr>
          <w:t>30</w:t>
        </w:r>
        <w:r w:rsidR="00D56177">
          <w:rPr>
            <w:noProof/>
            <w:webHidden/>
          </w:rPr>
          <w:fldChar w:fldCharType="end"/>
        </w:r>
      </w:hyperlink>
    </w:p>
    <w:p w14:paraId="7873D2DE" w14:textId="26FD70DA" w:rsidR="00D56177" w:rsidRDefault="005562AF" w:rsidP="00D56177">
      <w:pPr>
        <w:pStyle w:val="TOC4"/>
        <w:rPr>
          <w:rFonts w:eastAsiaTheme="minorEastAsia"/>
          <w:noProof/>
          <w:lang w:eastAsia="zh-CN"/>
        </w:rPr>
      </w:pPr>
      <w:hyperlink w:anchor="_Toc129767634" w:history="1">
        <w:r w:rsidR="00D56177" w:rsidRPr="00881978">
          <w:rPr>
            <w:rStyle w:val="Hyperlink"/>
            <w:noProof/>
          </w:rPr>
          <w:t>Table 16. Regression results for X3 – effect of fibre and cable</w:t>
        </w:r>
        <w:r w:rsidR="00D56177" w:rsidRPr="00881978">
          <w:rPr>
            <w:rStyle w:val="Hyperlink"/>
            <w:noProof/>
          </w:rPr>
          <w:noBreakHyphen/>
          <w:t>based broadband adoption</w:t>
        </w:r>
        <w:r w:rsidR="00D56177">
          <w:rPr>
            <w:noProof/>
            <w:webHidden/>
          </w:rPr>
          <w:tab/>
        </w:r>
        <w:r w:rsidR="00D56177">
          <w:rPr>
            <w:noProof/>
            <w:webHidden/>
          </w:rPr>
          <w:fldChar w:fldCharType="begin"/>
        </w:r>
        <w:r w:rsidR="00D56177">
          <w:rPr>
            <w:noProof/>
            <w:webHidden/>
          </w:rPr>
          <w:instrText xml:space="preserve"> PAGEREF _Toc129767634 \h </w:instrText>
        </w:r>
        <w:r w:rsidR="00D56177">
          <w:rPr>
            <w:noProof/>
            <w:webHidden/>
          </w:rPr>
        </w:r>
        <w:r w:rsidR="00D56177">
          <w:rPr>
            <w:noProof/>
            <w:webHidden/>
          </w:rPr>
          <w:fldChar w:fldCharType="separate"/>
        </w:r>
        <w:r w:rsidR="00CC7B9C">
          <w:rPr>
            <w:noProof/>
            <w:webHidden/>
          </w:rPr>
          <w:t>31</w:t>
        </w:r>
        <w:r w:rsidR="00D56177">
          <w:rPr>
            <w:noProof/>
            <w:webHidden/>
          </w:rPr>
          <w:fldChar w:fldCharType="end"/>
        </w:r>
      </w:hyperlink>
    </w:p>
    <w:p w14:paraId="0E6D7F7E" w14:textId="55753449" w:rsidR="00D56177" w:rsidRDefault="005562AF" w:rsidP="00D56177">
      <w:pPr>
        <w:pStyle w:val="TOC4"/>
        <w:rPr>
          <w:rFonts w:eastAsiaTheme="minorEastAsia"/>
          <w:noProof/>
          <w:lang w:eastAsia="zh-CN"/>
        </w:rPr>
      </w:pPr>
      <w:hyperlink w:anchor="_Toc129767635" w:history="1">
        <w:r w:rsidR="00D56177" w:rsidRPr="00881978">
          <w:rPr>
            <w:rStyle w:val="Hyperlink"/>
            <w:noProof/>
          </w:rPr>
          <w:t>Table 17. MFP Regression results – Division controls, effect of fibre/cable broadband adoption</w:t>
        </w:r>
        <w:r w:rsidR="00D56177">
          <w:rPr>
            <w:noProof/>
            <w:webHidden/>
          </w:rPr>
          <w:tab/>
        </w:r>
        <w:r w:rsidR="00D56177">
          <w:rPr>
            <w:noProof/>
            <w:webHidden/>
          </w:rPr>
          <w:fldChar w:fldCharType="begin"/>
        </w:r>
        <w:r w:rsidR="00D56177">
          <w:rPr>
            <w:noProof/>
            <w:webHidden/>
          </w:rPr>
          <w:instrText xml:space="preserve"> PAGEREF _Toc129767635 \h </w:instrText>
        </w:r>
        <w:r w:rsidR="00D56177">
          <w:rPr>
            <w:noProof/>
            <w:webHidden/>
          </w:rPr>
        </w:r>
        <w:r w:rsidR="00D56177">
          <w:rPr>
            <w:noProof/>
            <w:webHidden/>
          </w:rPr>
          <w:fldChar w:fldCharType="separate"/>
        </w:r>
        <w:r w:rsidR="00CC7B9C">
          <w:rPr>
            <w:noProof/>
            <w:webHidden/>
          </w:rPr>
          <w:t>32</w:t>
        </w:r>
        <w:r w:rsidR="00D56177">
          <w:rPr>
            <w:noProof/>
            <w:webHidden/>
          </w:rPr>
          <w:fldChar w:fldCharType="end"/>
        </w:r>
      </w:hyperlink>
    </w:p>
    <w:p w14:paraId="19C0CD88" w14:textId="39620613" w:rsidR="00D56177" w:rsidRDefault="005562AF" w:rsidP="00D56177">
      <w:pPr>
        <w:pStyle w:val="TOC4"/>
        <w:rPr>
          <w:rFonts w:eastAsiaTheme="minorEastAsia"/>
          <w:noProof/>
          <w:lang w:eastAsia="zh-CN"/>
        </w:rPr>
      </w:pPr>
      <w:hyperlink w:anchor="_Toc129767636" w:history="1">
        <w:r w:rsidR="00D56177" w:rsidRPr="00881978">
          <w:rPr>
            <w:rStyle w:val="Hyperlink"/>
            <w:noProof/>
          </w:rPr>
          <w:t>Table 18. LP Regression results – Division controls, effect of fibre/cable broadband adoption</w:t>
        </w:r>
        <w:r w:rsidR="00D56177">
          <w:rPr>
            <w:noProof/>
            <w:webHidden/>
          </w:rPr>
          <w:tab/>
        </w:r>
        <w:r w:rsidR="00D56177">
          <w:rPr>
            <w:noProof/>
            <w:webHidden/>
          </w:rPr>
          <w:fldChar w:fldCharType="begin"/>
        </w:r>
        <w:r w:rsidR="00D56177">
          <w:rPr>
            <w:noProof/>
            <w:webHidden/>
          </w:rPr>
          <w:instrText xml:space="preserve"> PAGEREF _Toc129767636 \h </w:instrText>
        </w:r>
        <w:r w:rsidR="00D56177">
          <w:rPr>
            <w:noProof/>
            <w:webHidden/>
          </w:rPr>
        </w:r>
        <w:r w:rsidR="00D56177">
          <w:rPr>
            <w:noProof/>
            <w:webHidden/>
          </w:rPr>
          <w:fldChar w:fldCharType="separate"/>
        </w:r>
        <w:r w:rsidR="00CC7B9C">
          <w:rPr>
            <w:noProof/>
            <w:webHidden/>
          </w:rPr>
          <w:t>33</w:t>
        </w:r>
        <w:r w:rsidR="00D56177">
          <w:rPr>
            <w:noProof/>
            <w:webHidden/>
          </w:rPr>
          <w:fldChar w:fldCharType="end"/>
        </w:r>
      </w:hyperlink>
    </w:p>
    <w:p w14:paraId="14999C32" w14:textId="71853324" w:rsidR="00D56177" w:rsidRDefault="005562AF" w:rsidP="00D56177">
      <w:pPr>
        <w:pStyle w:val="TOC4"/>
        <w:rPr>
          <w:rFonts w:eastAsiaTheme="minorEastAsia"/>
          <w:noProof/>
          <w:lang w:eastAsia="zh-CN"/>
        </w:rPr>
      </w:pPr>
      <w:hyperlink w:anchor="_Toc129767637" w:history="1">
        <w:r w:rsidR="00D56177" w:rsidRPr="00881978">
          <w:rPr>
            <w:rStyle w:val="Hyperlink"/>
            <w:noProof/>
          </w:rPr>
          <w:t>Figure 10. Median Multifactor Productivity Growth, 2009–10 to 2018–19</w:t>
        </w:r>
        <w:r w:rsidR="00D56177">
          <w:rPr>
            <w:noProof/>
            <w:webHidden/>
          </w:rPr>
          <w:tab/>
        </w:r>
        <w:r w:rsidR="00D56177">
          <w:rPr>
            <w:noProof/>
            <w:webHidden/>
          </w:rPr>
          <w:fldChar w:fldCharType="begin"/>
        </w:r>
        <w:r w:rsidR="00D56177">
          <w:rPr>
            <w:noProof/>
            <w:webHidden/>
          </w:rPr>
          <w:instrText xml:space="preserve"> PAGEREF _Toc129767637 \h </w:instrText>
        </w:r>
        <w:r w:rsidR="00D56177">
          <w:rPr>
            <w:noProof/>
            <w:webHidden/>
          </w:rPr>
        </w:r>
        <w:r w:rsidR="00D56177">
          <w:rPr>
            <w:noProof/>
            <w:webHidden/>
          </w:rPr>
          <w:fldChar w:fldCharType="separate"/>
        </w:r>
        <w:r w:rsidR="00CC7B9C">
          <w:rPr>
            <w:noProof/>
            <w:webHidden/>
          </w:rPr>
          <w:t>34</w:t>
        </w:r>
        <w:r w:rsidR="00D56177">
          <w:rPr>
            <w:noProof/>
            <w:webHidden/>
          </w:rPr>
          <w:fldChar w:fldCharType="end"/>
        </w:r>
      </w:hyperlink>
    </w:p>
    <w:p w14:paraId="6409F012" w14:textId="22D869F8" w:rsidR="00D56177" w:rsidRDefault="005562AF" w:rsidP="00D56177">
      <w:pPr>
        <w:pStyle w:val="TOC4"/>
        <w:rPr>
          <w:rFonts w:eastAsiaTheme="minorEastAsia"/>
          <w:noProof/>
          <w:lang w:eastAsia="zh-CN"/>
        </w:rPr>
      </w:pPr>
      <w:hyperlink w:anchor="_Toc129767638" w:history="1">
        <w:r w:rsidR="00D56177" w:rsidRPr="00881978">
          <w:rPr>
            <w:rStyle w:val="Hyperlink"/>
            <w:noProof/>
          </w:rPr>
          <w:t>Figure 11. Productivity growth rates by Accessibility and Remoteness Index of Australia (ARIA)</w:t>
        </w:r>
        <w:r w:rsidR="00D56177">
          <w:rPr>
            <w:noProof/>
            <w:webHidden/>
          </w:rPr>
          <w:tab/>
        </w:r>
        <w:r w:rsidR="00D56177">
          <w:rPr>
            <w:noProof/>
            <w:webHidden/>
          </w:rPr>
          <w:fldChar w:fldCharType="begin"/>
        </w:r>
        <w:r w:rsidR="00D56177">
          <w:rPr>
            <w:noProof/>
            <w:webHidden/>
          </w:rPr>
          <w:instrText xml:space="preserve"> PAGEREF _Toc129767638 \h </w:instrText>
        </w:r>
        <w:r w:rsidR="00D56177">
          <w:rPr>
            <w:noProof/>
            <w:webHidden/>
          </w:rPr>
        </w:r>
        <w:r w:rsidR="00D56177">
          <w:rPr>
            <w:noProof/>
            <w:webHidden/>
          </w:rPr>
          <w:fldChar w:fldCharType="separate"/>
        </w:r>
        <w:r w:rsidR="00CC7B9C">
          <w:rPr>
            <w:noProof/>
            <w:webHidden/>
          </w:rPr>
          <w:t>34</w:t>
        </w:r>
        <w:r w:rsidR="00D56177">
          <w:rPr>
            <w:noProof/>
            <w:webHidden/>
          </w:rPr>
          <w:fldChar w:fldCharType="end"/>
        </w:r>
      </w:hyperlink>
    </w:p>
    <w:p w14:paraId="6C4BCE6F" w14:textId="1CC315A4" w:rsidR="00D56177" w:rsidRDefault="005562AF" w:rsidP="00D56177">
      <w:pPr>
        <w:pStyle w:val="TOC4"/>
        <w:rPr>
          <w:rFonts w:eastAsiaTheme="minorEastAsia"/>
          <w:noProof/>
          <w:lang w:eastAsia="zh-CN"/>
        </w:rPr>
      </w:pPr>
      <w:hyperlink w:anchor="_Toc129767639" w:history="1">
        <w:r w:rsidR="00D56177" w:rsidRPr="00881978">
          <w:rPr>
            <w:rStyle w:val="Hyperlink"/>
            <w:noProof/>
          </w:rPr>
          <w:t>Table 20. Turnover and employment by single and multiple premises businesses</w:t>
        </w:r>
        <w:r w:rsidR="00D56177">
          <w:rPr>
            <w:noProof/>
            <w:webHidden/>
          </w:rPr>
          <w:tab/>
        </w:r>
        <w:r w:rsidR="00D56177">
          <w:rPr>
            <w:noProof/>
            <w:webHidden/>
          </w:rPr>
          <w:fldChar w:fldCharType="begin"/>
        </w:r>
        <w:r w:rsidR="00D56177">
          <w:rPr>
            <w:noProof/>
            <w:webHidden/>
          </w:rPr>
          <w:instrText xml:space="preserve"> PAGEREF _Toc129767639 \h </w:instrText>
        </w:r>
        <w:r w:rsidR="00D56177">
          <w:rPr>
            <w:noProof/>
            <w:webHidden/>
          </w:rPr>
        </w:r>
        <w:r w:rsidR="00D56177">
          <w:rPr>
            <w:noProof/>
            <w:webHidden/>
          </w:rPr>
          <w:fldChar w:fldCharType="separate"/>
        </w:r>
        <w:r w:rsidR="00CC7B9C">
          <w:rPr>
            <w:noProof/>
            <w:webHidden/>
          </w:rPr>
          <w:t>36</w:t>
        </w:r>
        <w:r w:rsidR="00D56177">
          <w:rPr>
            <w:noProof/>
            <w:webHidden/>
          </w:rPr>
          <w:fldChar w:fldCharType="end"/>
        </w:r>
      </w:hyperlink>
    </w:p>
    <w:p w14:paraId="333B67BE" w14:textId="2DCFD376" w:rsidR="00D56177" w:rsidRDefault="005562AF" w:rsidP="00D56177">
      <w:pPr>
        <w:pStyle w:val="TOC4"/>
        <w:rPr>
          <w:rFonts w:eastAsiaTheme="minorEastAsia"/>
          <w:noProof/>
          <w:lang w:eastAsia="zh-CN"/>
        </w:rPr>
      </w:pPr>
      <w:hyperlink w:anchor="_Toc129767640" w:history="1">
        <w:r w:rsidR="00D56177" w:rsidRPr="00881978">
          <w:rPr>
            <w:rStyle w:val="Hyperlink"/>
            <w:noProof/>
          </w:rPr>
          <w:t>Table 21. Number of businesses for which firm-level productivity can be calculated</w:t>
        </w:r>
        <w:r w:rsidR="00D56177">
          <w:rPr>
            <w:noProof/>
            <w:webHidden/>
          </w:rPr>
          <w:tab/>
        </w:r>
        <w:r w:rsidR="00D56177">
          <w:rPr>
            <w:noProof/>
            <w:webHidden/>
          </w:rPr>
          <w:fldChar w:fldCharType="begin"/>
        </w:r>
        <w:r w:rsidR="00D56177">
          <w:rPr>
            <w:noProof/>
            <w:webHidden/>
          </w:rPr>
          <w:instrText xml:space="preserve"> PAGEREF _Toc129767640 \h </w:instrText>
        </w:r>
        <w:r w:rsidR="00D56177">
          <w:rPr>
            <w:noProof/>
            <w:webHidden/>
          </w:rPr>
        </w:r>
        <w:r w:rsidR="00D56177">
          <w:rPr>
            <w:noProof/>
            <w:webHidden/>
          </w:rPr>
          <w:fldChar w:fldCharType="separate"/>
        </w:r>
        <w:r w:rsidR="00CC7B9C">
          <w:rPr>
            <w:noProof/>
            <w:webHidden/>
          </w:rPr>
          <w:t>38</w:t>
        </w:r>
        <w:r w:rsidR="00D56177">
          <w:rPr>
            <w:noProof/>
            <w:webHidden/>
          </w:rPr>
          <w:fldChar w:fldCharType="end"/>
        </w:r>
      </w:hyperlink>
    </w:p>
    <w:p w14:paraId="0907C1C3" w14:textId="5D24163E" w:rsidR="00D56177" w:rsidRDefault="005562AF" w:rsidP="00D56177">
      <w:pPr>
        <w:pStyle w:val="TOC4"/>
        <w:rPr>
          <w:rFonts w:eastAsiaTheme="minorEastAsia"/>
          <w:noProof/>
          <w:lang w:eastAsia="zh-CN"/>
        </w:rPr>
      </w:pPr>
      <w:hyperlink w:anchor="_Toc129767641" w:history="1">
        <w:r w:rsidR="00D56177" w:rsidRPr="00881978">
          <w:rPr>
            <w:rStyle w:val="Hyperlink"/>
            <w:noProof/>
          </w:rPr>
          <w:t>Figure 12. Broadband penetration and GDP per capita in OECD countries, quarter 4 2020</w:t>
        </w:r>
        <w:r w:rsidR="00D56177">
          <w:rPr>
            <w:noProof/>
            <w:webHidden/>
          </w:rPr>
          <w:tab/>
        </w:r>
        <w:r w:rsidR="00D56177">
          <w:rPr>
            <w:noProof/>
            <w:webHidden/>
          </w:rPr>
          <w:fldChar w:fldCharType="begin"/>
        </w:r>
        <w:r w:rsidR="00D56177">
          <w:rPr>
            <w:noProof/>
            <w:webHidden/>
          </w:rPr>
          <w:instrText xml:space="preserve"> PAGEREF _Toc129767641 \h </w:instrText>
        </w:r>
        <w:r w:rsidR="00D56177">
          <w:rPr>
            <w:noProof/>
            <w:webHidden/>
          </w:rPr>
        </w:r>
        <w:r w:rsidR="00D56177">
          <w:rPr>
            <w:noProof/>
            <w:webHidden/>
          </w:rPr>
          <w:fldChar w:fldCharType="separate"/>
        </w:r>
        <w:r w:rsidR="00CC7B9C">
          <w:rPr>
            <w:noProof/>
            <w:webHidden/>
          </w:rPr>
          <w:t>40</w:t>
        </w:r>
        <w:r w:rsidR="00D56177">
          <w:rPr>
            <w:noProof/>
            <w:webHidden/>
          </w:rPr>
          <w:fldChar w:fldCharType="end"/>
        </w:r>
      </w:hyperlink>
    </w:p>
    <w:p w14:paraId="09A1123C" w14:textId="6480AC2E" w:rsidR="00D56177" w:rsidRDefault="005562AF" w:rsidP="00D56177">
      <w:pPr>
        <w:pStyle w:val="TOC4"/>
        <w:rPr>
          <w:rFonts w:eastAsiaTheme="minorEastAsia"/>
          <w:noProof/>
          <w:lang w:eastAsia="zh-CN"/>
        </w:rPr>
      </w:pPr>
      <w:hyperlink w:anchor="_Toc129767642" w:history="1">
        <w:r w:rsidR="00D56177" w:rsidRPr="00881978">
          <w:rPr>
            <w:rStyle w:val="Hyperlink"/>
            <w:noProof/>
          </w:rPr>
          <w:t xml:space="preserve">Table 22. </w:t>
        </w:r>
        <w:r w:rsidR="00D56177" w:rsidRPr="00881978">
          <w:rPr>
            <w:rStyle w:val="Hyperlink"/>
            <w:noProof/>
            <w:lang w:eastAsia="en-AU"/>
          </w:rPr>
          <w:t>Selected studies showing GDP per capita impacts from a 10 per cent increase in fixed-broadband penetration</w:t>
        </w:r>
        <w:r w:rsidR="00D56177">
          <w:rPr>
            <w:noProof/>
            <w:webHidden/>
          </w:rPr>
          <w:tab/>
        </w:r>
        <w:r w:rsidR="00D56177">
          <w:rPr>
            <w:noProof/>
            <w:webHidden/>
          </w:rPr>
          <w:fldChar w:fldCharType="begin"/>
        </w:r>
        <w:r w:rsidR="00D56177">
          <w:rPr>
            <w:noProof/>
            <w:webHidden/>
          </w:rPr>
          <w:instrText xml:space="preserve"> PAGEREF _Toc129767642 \h </w:instrText>
        </w:r>
        <w:r w:rsidR="00D56177">
          <w:rPr>
            <w:noProof/>
            <w:webHidden/>
          </w:rPr>
        </w:r>
        <w:r w:rsidR="00D56177">
          <w:rPr>
            <w:noProof/>
            <w:webHidden/>
          </w:rPr>
          <w:fldChar w:fldCharType="separate"/>
        </w:r>
        <w:r w:rsidR="00CC7B9C">
          <w:rPr>
            <w:noProof/>
            <w:webHidden/>
          </w:rPr>
          <w:t>42</w:t>
        </w:r>
        <w:r w:rsidR="00D56177">
          <w:rPr>
            <w:noProof/>
            <w:webHidden/>
          </w:rPr>
          <w:fldChar w:fldCharType="end"/>
        </w:r>
      </w:hyperlink>
    </w:p>
    <w:p w14:paraId="03454AB6" w14:textId="38B98BD9" w:rsidR="00D56177" w:rsidRDefault="005562AF" w:rsidP="00D56177">
      <w:pPr>
        <w:pStyle w:val="TOC4"/>
        <w:rPr>
          <w:rFonts w:eastAsiaTheme="minorEastAsia"/>
          <w:noProof/>
          <w:lang w:eastAsia="zh-CN"/>
        </w:rPr>
      </w:pPr>
      <w:hyperlink w:anchor="_Toc129767643" w:history="1">
        <w:r w:rsidR="00D56177" w:rsidRPr="00881978">
          <w:rPr>
            <w:rStyle w:val="Hyperlink"/>
            <w:noProof/>
          </w:rPr>
          <w:t xml:space="preserve">Table 23. </w:t>
        </w:r>
        <w:r w:rsidR="00D56177" w:rsidRPr="00881978">
          <w:rPr>
            <w:rStyle w:val="Hyperlink"/>
            <w:noProof/>
            <w:lang w:eastAsia="en-AU"/>
          </w:rPr>
          <w:t>Selected studies showing GDP per capita impacts from changes in broadband speeds</w:t>
        </w:r>
        <w:r w:rsidR="00D56177">
          <w:rPr>
            <w:noProof/>
            <w:webHidden/>
          </w:rPr>
          <w:tab/>
        </w:r>
        <w:r w:rsidR="00D56177">
          <w:rPr>
            <w:noProof/>
            <w:webHidden/>
          </w:rPr>
          <w:fldChar w:fldCharType="begin"/>
        </w:r>
        <w:r w:rsidR="00D56177">
          <w:rPr>
            <w:noProof/>
            <w:webHidden/>
          </w:rPr>
          <w:instrText xml:space="preserve"> PAGEREF _Toc129767643 \h </w:instrText>
        </w:r>
        <w:r w:rsidR="00D56177">
          <w:rPr>
            <w:noProof/>
            <w:webHidden/>
          </w:rPr>
        </w:r>
        <w:r w:rsidR="00D56177">
          <w:rPr>
            <w:noProof/>
            <w:webHidden/>
          </w:rPr>
          <w:fldChar w:fldCharType="separate"/>
        </w:r>
        <w:r w:rsidR="00CC7B9C">
          <w:rPr>
            <w:noProof/>
            <w:webHidden/>
          </w:rPr>
          <w:t>44</w:t>
        </w:r>
        <w:r w:rsidR="00D56177">
          <w:rPr>
            <w:noProof/>
            <w:webHidden/>
          </w:rPr>
          <w:fldChar w:fldCharType="end"/>
        </w:r>
      </w:hyperlink>
    </w:p>
    <w:p w14:paraId="144FE377" w14:textId="77777777" w:rsidR="00BF5FA4" w:rsidRPr="005F794B" w:rsidRDefault="009E5B72" w:rsidP="00BF5FA4">
      <w:pPr>
        <w:rPr>
          <w:lang w:val="x-none"/>
        </w:rPr>
      </w:pPr>
      <w:r>
        <w:fldChar w:fldCharType="end"/>
      </w:r>
    </w:p>
    <w:p w14:paraId="57D5FA50" w14:textId="77777777" w:rsidR="00796AB4" w:rsidRDefault="00796AB4">
      <w:pPr>
        <w:spacing w:line="259" w:lineRule="auto"/>
        <w:sectPr w:rsidR="00796AB4" w:rsidSect="000E29BE">
          <w:footerReference w:type="default" r:id="rId17"/>
          <w:footnotePr>
            <w:numFmt w:val="lowerRoman"/>
          </w:footnotePr>
          <w:endnotePr>
            <w:numFmt w:val="decimal"/>
          </w:endnotePr>
          <w:type w:val="continuous"/>
          <w:pgSz w:w="11906" w:h="16838"/>
          <w:pgMar w:top="1276" w:right="991" w:bottom="1276" w:left="1440" w:header="567" w:footer="0" w:gutter="0"/>
          <w:cols w:space="708"/>
          <w:titlePg/>
          <w:docGrid w:linePitch="360"/>
        </w:sectPr>
      </w:pPr>
    </w:p>
    <w:p w14:paraId="46F0B4BD" w14:textId="77777777" w:rsidR="00494CC3" w:rsidRPr="00705B49" w:rsidRDefault="00494CC3" w:rsidP="00494CC3">
      <w:pPr>
        <w:pStyle w:val="Heading2"/>
      </w:pPr>
      <w:bookmarkStart w:id="0" w:name="_Toc127374074"/>
      <w:bookmarkStart w:id="1" w:name="_Toc129777677"/>
      <w:r w:rsidRPr="00705B49">
        <w:lastRenderedPageBreak/>
        <w:t>Key Findings</w:t>
      </w:r>
      <w:bookmarkStart w:id="2" w:name="_Toc90041195"/>
      <w:bookmarkStart w:id="3" w:name="_Toc97652743"/>
      <w:bookmarkEnd w:id="0"/>
      <w:bookmarkEnd w:id="1"/>
    </w:p>
    <w:p w14:paraId="1B52A329" w14:textId="77777777" w:rsidR="00494CC3" w:rsidRPr="00705B49" w:rsidRDefault="00494CC3" w:rsidP="00494CC3">
      <w:pPr>
        <w:pStyle w:val="Listparagraphbullets"/>
        <w:shd w:val="clear" w:color="auto" w:fill="F2F6E8"/>
      </w:pPr>
      <w:r w:rsidRPr="00D436E6">
        <w:rPr>
          <w:b/>
        </w:rPr>
        <w:t>There is some evidence of a link between a firm’s productivity growth and their use of high-speed broadband. Businesses that switch from exchange-based digital subscriber line to fibre/cable-based broadband experience higher productivity growth than before making the switch</w:t>
      </w:r>
      <w:r w:rsidRPr="00705B49">
        <w:t>. More generally, high</w:t>
      </w:r>
      <w:r w:rsidRPr="00705B49">
        <w:noBreakHyphen/>
        <w:t xml:space="preserve">speed broadband tends to have a positive relationship with productivity growth, </w:t>
      </w:r>
      <w:r>
        <w:t xml:space="preserve">while </w:t>
      </w:r>
      <w:r w:rsidRPr="00705B49">
        <w:t xml:space="preserve">other characteristics such as business size, location and industry are also important to a firm’s productivity growth. </w:t>
      </w:r>
    </w:p>
    <w:p w14:paraId="4C4A0FF8" w14:textId="77777777" w:rsidR="00494CC3" w:rsidRPr="00705B49" w:rsidRDefault="00494CC3" w:rsidP="00494CC3">
      <w:pPr>
        <w:pStyle w:val="Listparagraphbullets"/>
        <w:shd w:val="clear" w:color="auto" w:fill="F2F6E8"/>
      </w:pPr>
      <w:r w:rsidRPr="00D436E6">
        <w:rPr>
          <w:b/>
        </w:rPr>
        <w:t>Businesses with fibre</w:t>
      </w:r>
      <w:r w:rsidRPr="00D436E6">
        <w:rPr>
          <w:b/>
        </w:rPr>
        <w:noBreakHyphen/>
        <w:t>based broadband report the highest productivity growth</w:t>
      </w:r>
      <w:r w:rsidRPr="00705B49">
        <w:t xml:space="preserve"> when compared with all other broadband types. Based on self-assessment, businesses using fibre broadband had the highest share of respondents saying their productivity had increased: 37 per cent of fibre users in 2018–19, above the 29 per cent for all businesses.</w:t>
      </w:r>
    </w:p>
    <w:p w14:paraId="50538026" w14:textId="77777777" w:rsidR="00494CC3" w:rsidRPr="00705B49" w:rsidRDefault="00494CC3" w:rsidP="00494CC3">
      <w:pPr>
        <w:pStyle w:val="Listparagraphbullets"/>
        <w:shd w:val="clear" w:color="auto" w:fill="F2F6E8"/>
      </w:pPr>
      <w:r w:rsidRPr="00D436E6">
        <w:rPr>
          <w:b/>
        </w:rPr>
        <w:t>More productive firms tend to have high-speed broadband connections</w:t>
      </w:r>
      <w:r w:rsidRPr="00705B49">
        <w:t>. In particular, businesses that use fibre or cable</w:t>
      </w:r>
      <w:r w:rsidRPr="00705B49">
        <w:noBreakHyphen/>
        <w:t xml:space="preserve">based broadband have higher productivity than firms using older technologies like exchange-based </w:t>
      </w:r>
      <w:r w:rsidR="00B06EC0">
        <w:t>digital subscriber line (</w:t>
      </w:r>
      <w:r w:rsidRPr="00705B49">
        <w:t>DSL</w:t>
      </w:r>
      <w:r w:rsidR="00B06EC0">
        <w:t>)</w:t>
      </w:r>
      <w:r w:rsidRPr="00705B49">
        <w:t>.</w:t>
      </w:r>
    </w:p>
    <w:p w14:paraId="2E681097" w14:textId="77777777" w:rsidR="00494CC3" w:rsidRPr="00705B49" w:rsidRDefault="00494CC3" w:rsidP="00494CC3">
      <w:pPr>
        <w:pStyle w:val="Listparagraphbullets"/>
        <w:shd w:val="clear" w:color="auto" w:fill="F2F6E8"/>
      </w:pPr>
      <w:r w:rsidRPr="00D436E6">
        <w:rPr>
          <w:b/>
        </w:rPr>
        <w:t>The National Broadband Network has transformed Australia’s fixed</w:t>
      </w:r>
      <w:r w:rsidRPr="00D436E6">
        <w:rPr>
          <w:b/>
        </w:rPr>
        <w:noBreakHyphen/>
        <w:t>line broadband infrastructure</w:t>
      </w:r>
      <w:r w:rsidRPr="00705B49">
        <w:t>. Broadband has shifted from copper to fibre-based connections, with exchange</w:t>
      </w:r>
      <w:r w:rsidRPr="00705B49">
        <w:noBreakHyphen/>
        <w:t xml:space="preserve">based DSL connections </w:t>
      </w:r>
      <w:r w:rsidRPr="00705B49">
        <w:rPr>
          <w:lang w:val="en-US"/>
        </w:rPr>
        <w:t>decreasing from 73 per cent of Australian premises in June 2011 to only 2</w:t>
      </w:r>
      <w:r w:rsidRPr="00705B49">
        <w:t xml:space="preserve"> per cent in </w:t>
      </w:r>
      <w:r>
        <w:rPr>
          <w:lang w:val="en-US"/>
        </w:rPr>
        <w:t>June</w:t>
      </w:r>
      <w:r w:rsidRPr="00705B49">
        <w:rPr>
          <w:lang w:val="en-US"/>
        </w:rPr>
        <w:t xml:space="preserve"> 202</w:t>
      </w:r>
      <w:r>
        <w:rPr>
          <w:lang w:val="en-US"/>
        </w:rPr>
        <w:t>2</w:t>
      </w:r>
      <w:r w:rsidRPr="00705B49">
        <w:t>. Over the same period, fibre-based connections (including partial and full</w:t>
      </w:r>
      <w:r w:rsidRPr="00705B49">
        <w:noBreakHyphen/>
        <w:t xml:space="preserve">fibre) increased from 0.5 per cent to </w:t>
      </w:r>
      <w:r>
        <w:t>70</w:t>
      </w:r>
      <w:r w:rsidRPr="00705B49">
        <w:t> per cent of premises.</w:t>
      </w:r>
    </w:p>
    <w:p w14:paraId="69514213" w14:textId="77777777" w:rsidR="00494CC3" w:rsidRPr="00705B49" w:rsidRDefault="00494CC3" w:rsidP="00494CC3">
      <w:pPr>
        <w:pStyle w:val="Listparagraphbullets"/>
        <w:shd w:val="clear" w:color="auto" w:fill="F2F6E8"/>
      </w:pPr>
      <w:r w:rsidRPr="00D56177">
        <w:rPr>
          <w:b/>
        </w:rPr>
        <w:t>Businesses with better broadband connections are generally large, urban-based and in internet-intensive industries</w:t>
      </w:r>
      <w:r w:rsidRPr="00705B49">
        <w:t xml:space="preserve">. </w:t>
      </w:r>
      <w:r w:rsidRPr="00705B49">
        <w:rPr>
          <w:lang w:val="en-US"/>
        </w:rPr>
        <w:t xml:space="preserve">These businesses have better access to broadband infrastructure, as well as the capital required for infrastructure upgrades. Industries with better broadband connections include information media and telecommunications and </w:t>
      </w:r>
      <w:r w:rsidRPr="00705B49">
        <w:t>financial services.</w:t>
      </w:r>
    </w:p>
    <w:p w14:paraId="6D60CF35" w14:textId="77777777" w:rsidR="00494CC3" w:rsidRPr="00705B49" w:rsidRDefault="00494CC3" w:rsidP="00494CC3">
      <w:pPr>
        <w:pStyle w:val="Listparagraphbullets"/>
        <w:shd w:val="clear" w:color="auto" w:fill="F2F6E8"/>
      </w:pPr>
      <w:r w:rsidRPr="00D56177">
        <w:rPr>
          <w:b/>
        </w:rPr>
        <w:t>Businesses are increasingly carrying out core activities online</w:t>
      </w:r>
      <w:r w:rsidRPr="00705B49">
        <w:t>. Online technology is now a widespread part of business practice, with 92 per cent of businesses relying on digital/online payment technologies in 2021. The proportion of businesses receiving online orders increased from 30 per cent in 2012–13 to 50 per cent in 2019–20. Total online retail sales have also increased from $3 billion in 2014 to $42 billion in 2021.</w:t>
      </w:r>
    </w:p>
    <w:p w14:paraId="35FA0B35" w14:textId="77777777" w:rsidR="00494CC3" w:rsidRPr="00705B49" w:rsidRDefault="00494CC3" w:rsidP="00494CC3">
      <w:pPr>
        <w:pStyle w:val="Listparagraphbullets"/>
        <w:shd w:val="clear" w:color="auto" w:fill="F2F6E8"/>
      </w:pPr>
      <w:r w:rsidRPr="00D56177">
        <w:rPr>
          <w:b/>
        </w:rPr>
        <w:t>Businesses recognise the importance of high-speed broadband</w:t>
      </w:r>
      <w:r w:rsidRPr="00705B49">
        <w:t xml:space="preserve">. More than </w:t>
      </w:r>
      <w:r>
        <w:t>4</w:t>
      </w:r>
      <w:r w:rsidRPr="00705B49">
        <w:t xml:space="preserve"> out of </w:t>
      </w:r>
      <w:r>
        <w:t>5</w:t>
      </w:r>
      <w:r w:rsidRPr="00705B49">
        <w:t xml:space="preserve"> businesses (84 per cent) indicated that high-speed broadband is an important digital technology in 2017–18. Demand for broadband-reliant technology is high, with 55 per cent of businesses making use of paid cloud computing services in 2019–20.</w:t>
      </w:r>
    </w:p>
    <w:p w14:paraId="548CB9E8" w14:textId="77777777" w:rsidR="00494CC3" w:rsidRPr="00705B49" w:rsidRDefault="00494CC3" w:rsidP="00494CC3">
      <w:pPr>
        <w:pStyle w:val="Listparagraphbullets"/>
        <w:shd w:val="clear" w:color="auto" w:fill="F2F6E8"/>
      </w:pPr>
      <w:r w:rsidRPr="00D56177">
        <w:rPr>
          <w:b/>
        </w:rPr>
        <w:t>Limited research is available on firm-level productivity and its relationship with broadband</w:t>
      </w:r>
      <w:r w:rsidRPr="00705B49">
        <w:t xml:space="preserve">. More </w:t>
      </w:r>
      <w:r>
        <w:t>robust datasets</w:t>
      </w:r>
      <w:r w:rsidRPr="00705B49">
        <w:t xml:space="preserve"> </w:t>
      </w:r>
      <w:r>
        <w:t>which contain detailed broadband metrics are</w:t>
      </w:r>
      <w:r w:rsidRPr="00705B49">
        <w:t xml:space="preserve"> needed to</w:t>
      </w:r>
      <w:r>
        <w:t xml:space="preserve"> better</w:t>
      </w:r>
      <w:r w:rsidRPr="00705B49">
        <w:t xml:space="preserve"> identify whether broadband directly improves business productivity as well as whether this relationship persists over time and with improved broadband technologies. The growing availability of firm</w:t>
      </w:r>
      <w:r w:rsidRPr="00705B49">
        <w:noBreakHyphen/>
        <w:t>level data</w:t>
      </w:r>
      <w:r>
        <w:rPr>
          <w:lang w:val="en-US"/>
        </w:rPr>
        <w:t>sets</w:t>
      </w:r>
      <w:r w:rsidRPr="00705B49">
        <w:t xml:space="preserve"> will assist future studies of this relationship.</w:t>
      </w:r>
    </w:p>
    <w:p w14:paraId="35C4E853" w14:textId="77777777" w:rsidR="00494CC3" w:rsidRPr="00705B49" w:rsidRDefault="00494CC3" w:rsidP="00494CC3">
      <w:pPr>
        <w:pStyle w:val="Heading2"/>
      </w:pPr>
      <w:bookmarkStart w:id="4" w:name="_Toc127374075"/>
      <w:bookmarkStart w:id="5" w:name="_Toc129777678"/>
      <w:r w:rsidRPr="00705B49">
        <w:lastRenderedPageBreak/>
        <w:t>Introduction</w:t>
      </w:r>
      <w:bookmarkEnd w:id="4"/>
      <w:bookmarkEnd w:id="2"/>
      <w:bookmarkEnd w:id="3"/>
      <w:bookmarkEnd w:id="5"/>
    </w:p>
    <w:p w14:paraId="5E119955" w14:textId="77777777" w:rsidR="00494CC3" w:rsidRPr="00705B49" w:rsidRDefault="00494CC3" w:rsidP="00494CC3">
      <w:r w:rsidRPr="00705B49">
        <w:t>The last 10 years have seen the National Broadband Network (NBN) roll out improve broadband technologies across Australia</w:t>
      </w:r>
      <w:r>
        <w:t>. The enduring purpose of the NBN is to provide fast, reliable and affordable connectivity to enable Australia to seize</w:t>
      </w:r>
      <w:r w:rsidRPr="00705B49">
        <w:t xml:space="preserve"> </w:t>
      </w:r>
      <w:r>
        <w:t xml:space="preserve">the economic and </w:t>
      </w:r>
      <w:r w:rsidRPr="00705B49">
        <w:t>social</w:t>
      </w:r>
      <w:r>
        <w:t xml:space="preserve"> opportunities and drive productivity and economic growth</w:t>
      </w:r>
      <w:r w:rsidRPr="00705B49">
        <w:t>.</w:t>
      </w:r>
      <w:r w:rsidRPr="00705B49">
        <w:rPr>
          <w:rStyle w:val="EndnoteReference"/>
        </w:rPr>
        <w:endnoteReference w:id="1"/>
      </w:r>
      <w:r w:rsidRPr="00705B49">
        <w:t xml:space="preserve"> Improved access to high-speed broadband has coincided with much greater use of business activities online.</w:t>
      </w:r>
    </w:p>
    <w:p w14:paraId="64344245" w14:textId="1B3D6090" w:rsidR="00494CC3" w:rsidRPr="00705B49" w:rsidRDefault="00494CC3" w:rsidP="00494CC3">
      <w:r w:rsidRPr="00705B49">
        <w:t>Improved broadband access can lead to greater use of data-intensive software applications such as digital communications, cloud-based technology, online orders and machine to machine technologies.</w:t>
      </w:r>
      <w:r w:rsidRPr="00705B49">
        <w:rPr>
          <w:rStyle w:val="EndnoteReference"/>
        </w:rPr>
        <w:endnoteReference w:id="2"/>
      </w:r>
      <w:r w:rsidRPr="00705B49">
        <w:t xml:space="preserve"> These technologies have a wide number of use cases across industries, such as in education, retail trade and agriculture.</w:t>
      </w:r>
      <w:r w:rsidRPr="00705B49">
        <w:rPr>
          <w:rStyle w:val="EndnoteReference"/>
        </w:rPr>
        <w:endnoteReference w:id="3"/>
      </w:r>
      <w:r w:rsidRPr="00705B49">
        <w:t xml:space="preserve"> Greater business use of broadband-enabled applications has the potential to lead to productivity growth, an important driver of economic growth. Internationally, there is evidence that broadband is positively related to productivity.</w:t>
      </w:r>
      <w:r w:rsidRPr="00705B49">
        <w:rPr>
          <w:rStyle w:val="EndnoteReference"/>
        </w:rPr>
        <w:endnoteReference w:id="4"/>
      </w:r>
      <w:r w:rsidRPr="00705B49">
        <w:t xml:space="preserve"> However, most studies look at this relationship from an economy</w:t>
      </w:r>
      <w:r w:rsidRPr="00705B49">
        <w:noBreakHyphen/>
        <w:t xml:space="preserve">wide level (see </w:t>
      </w:r>
      <w:r>
        <w:fldChar w:fldCharType="begin"/>
      </w:r>
      <w:r>
        <w:instrText xml:space="preserve"> REF _Ref125557679 \h </w:instrText>
      </w:r>
      <w:r>
        <w:fldChar w:fldCharType="separate"/>
      </w:r>
      <w:r w:rsidRPr="00705B49">
        <w:t>Appendix G</w:t>
      </w:r>
      <w:r>
        <w:fldChar w:fldCharType="end"/>
      </w:r>
      <w:r w:rsidR="000F7F63">
        <w:t>: Economy-wide impacts of broadband (literature review)).</w:t>
      </w:r>
      <w:r w:rsidRPr="00705B49">
        <w:t xml:space="preserve"> In Australia, there is some evidence of a positive relationship between high-tech capital use and productivity growth, where high-tech capital includes computers, software, and electronics.</w:t>
      </w:r>
      <w:r w:rsidRPr="00705B49">
        <w:rPr>
          <w:rStyle w:val="EndnoteReference"/>
        </w:rPr>
        <w:endnoteReference w:id="5"/>
      </w:r>
      <w:r w:rsidRPr="00705B49">
        <w:t xml:space="preserve"> </w:t>
      </w:r>
    </w:p>
    <w:p w14:paraId="43DF3C97" w14:textId="77777777" w:rsidR="00494CC3" w:rsidRPr="00705B49" w:rsidRDefault="00494CC3" w:rsidP="00494CC3">
      <w:r w:rsidRPr="00705B49">
        <w:t>To date, very little evidence is available in Australia to link</w:t>
      </w:r>
      <w:bookmarkStart w:id="6" w:name="_Hlk112751316"/>
      <w:r w:rsidRPr="00705B49">
        <w:t xml:space="preserve"> broadband and productivity at the </w:t>
      </w:r>
      <w:r>
        <w:t xml:space="preserve">individual business or </w:t>
      </w:r>
      <w:r w:rsidRPr="00705B49">
        <w:t>firm level</w:t>
      </w:r>
      <w:bookmarkEnd w:id="6"/>
      <w:r w:rsidRPr="00705B49">
        <w:t>. This paper addresses this gap by analysing the impact of broadband improvements on business productivity using large scale administrative data. The main advantage of a firm-level analysis is that it can be used to examine changes in business productivity due to the use of high</w:t>
      </w:r>
      <w:r w:rsidRPr="00705B49">
        <w:noBreakHyphen/>
        <w:t>speed broadband, which allows for a more direct estimate of impacts that may have arisen from broadband uptake.</w:t>
      </w:r>
    </w:p>
    <w:p w14:paraId="6624396E" w14:textId="77777777" w:rsidR="00494CC3" w:rsidRPr="00705B49" w:rsidRDefault="00494CC3" w:rsidP="00494CC3">
      <w:r w:rsidRPr="00705B49">
        <w:t xml:space="preserve">The approach is experimental, using firm-level data from the Australian </w:t>
      </w:r>
      <w:r w:rsidR="00B06EC0">
        <w:t>B</w:t>
      </w:r>
      <w:r w:rsidRPr="00705B49">
        <w:t xml:space="preserve">usiness </w:t>
      </w:r>
      <w:r w:rsidR="00B06EC0">
        <w:t>R</w:t>
      </w:r>
      <w:r w:rsidRPr="00705B49">
        <w:t>egister and taxation records from the Business Longitudinal Analy</w:t>
      </w:r>
      <w:r>
        <w:t>sis</w:t>
      </w:r>
      <w:r w:rsidRPr="00705B49">
        <w:t xml:space="preserve"> Data Environment (BLADE). Firm-level productivity growth is constructed using business financial information contained in these datasets. This is then combined with survey data on broadband usage</w:t>
      </w:r>
      <w:r w:rsidRPr="002E25DB">
        <w:t xml:space="preserve"> (which includes a sample of around 7,000 firms annually)</w:t>
      </w:r>
      <w:r w:rsidRPr="00705B49">
        <w:t>. This analysis focuses on broadband connections rather than broadband speed due to data limitations.</w:t>
      </w:r>
      <w:r w:rsidRPr="00705B49">
        <w:rPr>
          <w:rStyle w:val="FootnoteReference"/>
        </w:rPr>
        <w:footnoteReference w:id="1"/>
      </w:r>
      <w:r w:rsidRPr="00705B49">
        <w:t xml:space="preserve"> For this paper, </w:t>
      </w:r>
      <w:r w:rsidRPr="00705B49">
        <w:rPr>
          <w:b/>
        </w:rPr>
        <w:t>high</w:t>
      </w:r>
      <w:r w:rsidRPr="00705B49">
        <w:rPr>
          <w:b/>
        </w:rPr>
        <w:noBreakHyphen/>
        <w:t>speed broadband is defined as fixed-line connections which rely on fibre</w:t>
      </w:r>
      <w:r>
        <w:rPr>
          <w:b/>
        </w:rPr>
        <w:t xml:space="preserve"> or cable</w:t>
      </w:r>
      <w:r w:rsidRPr="00705B49">
        <w:rPr>
          <w:b/>
        </w:rPr>
        <w:noBreakHyphen/>
        <w:t>based technology (including partial and full</w:t>
      </w:r>
      <w:r w:rsidRPr="00705B49">
        <w:rPr>
          <w:b/>
        </w:rPr>
        <w:noBreakHyphen/>
        <w:t xml:space="preserve">fibre) </w:t>
      </w:r>
      <w:r w:rsidRPr="00705B49">
        <w:t>as opposed to traditional copper lines (e.g. exchange</w:t>
      </w:r>
      <w:r w:rsidRPr="00705B49">
        <w:noBreakHyphen/>
        <w:t>based DSL).</w:t>
      </w:r>
      <w:r>
        <w:t xml:space="preserve"> </w:t>
      </w:r>
      <w:r w:rsidRPr="00705B49">
        <w:t>Many other factors affect the scale and timing of productivity growth, such as business size, location and industry. The analysis</w:t>
      </w:r>
      <w:r>
        <w:t xml:space="preserve"> presented in this report</w:t>
      </w:r>
      <w:r w:rsidRPr="00705B49">
        <w:t xml:space="preserve"> account for these factors where possible, using statistical techniques such as fixed-effects regression. The analysis focuses on 10 years of data from 2009–10 to 2018–19 and so does not include the impacts of COVID-19.</w:t>
      </w:r>
    </w:p>
    <w:p w14:paraId="16BC233B" w14:textId="77777777" w:rsidR="00494CC3" w:rsidRPr="00705B49" w:rsidRDefault="00494CC3" w:rsidP="00494CC3">
      <w:r w:rsidRPr="00705B49">
        <w:t xml:space="preserve">This paper is set out as follows. The first section discusses changes in how businesses use broadband and how broadband can relate to productivity growth. The second section explores broadband’s role </w:t>
      </w:r>
      <w:r w:rsidR="00B06EC0">
        <w:t>in</w:t>
      </w:r>
      <w:r w:rsidRPr="00705B49">
        <w:t xml:space="preserve"> influencing firm-level productivity growth, and discusses the impact of this relationship using a variety of statistical approaches. Further detail on statistical methods is described in </w:t>
      </w:r>
      <w:r>
        <w:fldChar w:fldCharType="begin"/>
      </w:r>
      <w:r>
        <w:instrText xml:space="preserve"> REF _Ref125557415 \h </w:instrText>
      </w:r>
      <w:r>
        <w:fldChar w:fldCharType="separate"/>
      </w:r>
      <w:r w:rsidRPr="00705B49">
        <w:t>Appendix D: Broadband technology and productivity growth relationship</w:t>
      </w:r>
      <w:r>
        <w:fldChar w:fldCharType="end"/>
      </w:r>
      <w:r>
        <w:t>.</w:t>
      </w:r>
    </w:p>
    <w:p w14:paraId="4AA041FC" w14:textId="77777777" w:rsidR="00494CC3" w:rsidRPr="00705B49" w:rsidRDefault="00494CC3" w:rsidP="00494CC3">
      <w:pPr>
        <w:pStyle w:val="Heading2"/>
      </w:pPr>
      <w:bookmarkStart w:id="7" w:name="_Toc90041197"/>
      <w:bookmarkStart w:id="8" w:name="_Toc97652745"/>
      <w:bookmarkStart w:id="9" w:name="_Toc127374076"/>
      <w:bookmarkStart w:id="10" w:name="_Toc129777679"/>
      <w:r w:rsidRPr="00705B49">
        <w:lastRenderedPageBreak/>
        <w:t>Changes in business use of broadband</w:t>
      </w:r>
      <w:bookmarkEnd w:id="7"/>
      <w:bookmarkEnd w:id="8"/>
      <w:bookmarkEnd w:id="9"/>
      <w:bookmarkEnd w:id="10"/>
    </w:p>
    <w:p w14:paraId="01103931" w14:textId="77777777" w:rsidR="00494CC3" w:rsidRPr="00705B49" w:rsidRDefault="00494CC3" w:rsidP="00494CC3">
      <w:pPr>
        <w:pStyle w:val="Heading3"/>
      </w:pPr>
      <w:bookmarkStart w:id="11" w:name="_Toc97652746"/>
      <w:bookmarkStart w:id="12" w:name="_Toc127374077"/>
      <w:bookmarkStart w:id="13" w:name="_Toc129777680"/>
      <w:r w:rsidRPr="00705B49">
        <w:t>Businesses are carrying out more of their activities online</w:t>
      </w:r>
      <w:bookmarkEnd w:id="11"/>
      <w:bookmarkEnd w:id="12"/>
      <w:bookmarkEnd w:id="13"/>
    </w:p>
    <w:p w14:paraId="666EBBB4" w14:textId="77777777" w:rsidR="00494CC3" w:rsidRPr="00705B49" w:rsidRDefault="00494CC3" w:rsidP="00494CC3">
      <w:r w:rsidRPr="00705B49">
        <w:t>Businesses are increasingly carrying out core activities online. This is shown by trends in web presence, social media and online orders for businesses across the economy. In 2018–19, over 54 per cent of Australian businesses had a web presence, up from 47 per cent in 2012–13 (</w:t>
      </w:r>
      <w:r w:rsidRPr="00705B49">
        <w:fldChar w:fldCharType="begin"/>
      </w:r>
      <w:r w:rsidRPr="00705B49">
        <w:instrText xml:space="preserve"> REF _Ref88839210 \h  \* MERGEFORMAT </w:instrText>
      </w:r>
      <w:r w:rsidRPr="00705B49">
        <w:fldChar w:fldCharType="separate"/>
      </w:r>
      <w:r w:rsidRPr="00705B49">
        <w:t xml:space="preserve">Figure </w:t>
      </w:r>
      <w:r w:rsidRPr="00705B49">
        <w:rPr>
          <w:noProof/>
        </w:rPr>
        <w:t>1</w:t>
      </w:r>
      <w:r w:rsidRPr="00705B49">
        <w:fldChar w:fldCharType="end"/>
      </w:r>
      <w:r w:rsidRPr="00705B49">
        <w:t>).</w:t>
      </w:r>
      <w:r w:rsidRPr="00705B49">
        <w:rPr>
          <w:rStyle w:val="EndnoteReference"/>
        </w:rPr>
        <w:endnoteReference w:id="6"/>
      </w:r>
      <w:r w:rsidRPr="00705B49">
        <w:t xml:space="preserve"> It is now increasingly commonplace for businesses to place and receive orders over the internet, w</w:t>
      </w:r>
      <w:r w:rsidR="00B06EC0">
        <w:t>ith</w:t>
      </w:r>
      <w:r w:rsidRPr="00705B49">
        <w:t xml:space="preserve"> 37 per cent of businesses in 2019–20 deriv</w:t>
      </w:r>
      <w:r w:rsidR="00B06EC0">
        <w:t>ing</w:t>
      </w:r>
      <w:r w:rsidRPr="00705B49">
        <w:t xml:space="preserve"> more than half of their income from online orders.</w:t>
      </w:r>
      <w:r w:rsidRPr="00705B49">
        <w:rPr>
          <w:rStyle w:val="EndnoteReference"/>
        </w:rPr>
        <w:endnoteReference w:id="7"/>
      </w:r>
    </w:p>
    <w:p w14:paraId="4123DD5B" w14:textId="77777777" w:rsidR="00494CC3" w:rsidRDefault="00494CC3" w:rsidP="00FF191D">
      <w:pPr>
        <w:pStyle w:val="Tablefigureheading"/>
      </w:pPr>
      <w:bookmarkStart w:id="14" w:name="_Ref88839210"/>
      <w:bookmarkStart w:id="15" w:name="_Toc90041183"/>
      <w:bookmarkStart w:id="16" w:name="_Toc97652718"/>
      <w:bookmarkStart w:id="17" w:name="_Toc115175376"/>
      <w:bookmarkStart w:id="18" w:name="_Toc129767610"/>
      <w:r w:rsidRPr="00705B49">
        <w:t xml:space="preserve">Figure </w:t>
      </w:r>
      <w:fldSimple w:instr=" SEQ Figure \* ARABIC ">
        <w:r w:rsidRPr="00705B49">
          <w:rPr>
            <w:noProof/>
          </w:rPr>
          <w:t>1</w:t>
        </w:r>
      </w:fldSimple>
      <w:bookmarkEnd w:id="14"/>
      <w:r w:rsidRPr="00705B49">
        <w:t>. Internet use by businesses</w:t>
      </w:r>
      <w:bookmarkEnd w:id="15"/>
      <w:bookmarkEnd w:id="16"/>
      <w:r w:rsidRPr="00705B49">
        <w:t xml:space="preserve"> activity type</w:t>
      </w:r>
      <w:bookmarkEnd w:id="17"/>
      <w:bookmarkEnd w:id="18"/>
    </w:p>
    <w:p w14:paraId="17EFBFC2" w14:textId="77777777" w:rsidR="00911E78" w:rsidRDefault="00911E78" w:rsidP="00EA3F33">
      <w:pPr>
        <w:pStyle w:val="NoSpacing"/>
      </w:pPr>
      <w:r w:rsidRPr="00EA3F33">
        <w:drawing>
          <wp:inline distT="0" distB="0" distL="0" distR="0" wp14:anchorId="5C34CEC3" wp14:editId="70ECEE25">
            <wp:extent cx="6016625" cy="2317750"/>
            <wp:effectExtent l="0" t="0" r="3175" b="6350"/>
            <wp:docPr id="19" name="Picture 19" descr="This is a bar chart that shows the ways in which businesses use the internet. In 2018-19 and 2019-20, 37 percent of business derived more than half of their income from online orders, 50 per cent of businesses used the internet to receive orders, 68 per cent used the internet to place orders, 48 per cent of business had a social media presence, and 55 per cent of businesses had an online presence. &#10;In 2012-13, 30 per cent of businesses used the internet to receive orders, 53 per cent used the internet to place orders, 26 per cent of business had a social media presence, and 47 per cent of businesses had an online pres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6625" cy="2317750"/>
                    </a:xfrm>
                    <a:prstGeom prst="rect">
                      <a:avLst/>
                    </a:prstGeom>
                  </pic:spPr>
                </pic:pic>
              </a:graphicData>
            </a:graphic>
          </wp:inline>
        </w:drawing>
      </w:r>
    </w:p>
    <w:p w14:paraId="639C24D4" w14:textId="1B71F804" w:rsidR="00494CC3" w:rsidRPr="00EA3F33" w:rsidRDefault="00494CC3" w:rsidP="00EA3F33">
      <w:pPr>
        <w:pStyle w:val="Sourcenotes"/>
      </w:pPr>
      <w:r w:rsidRPr="00EA3F33">
        <w:t>Source: ABS Characteristics of Australian Businesses, various years. Most recent data refers to years 2018–19 or 2019–20.</w:t>
      </w:r>
    </w:p>
    <w:p w14:paraId="7E44830C" w14:textId="77777777" w:rsidR="005562AF" w:rsidRPr="00EA3F33" w:rsidRDefault="005562AF" w:rsidP="00EA3F33">
      <w:pPr>
        <w:pStyle w:val="NoSpacing"/>
      </w:pPr>
      <w:bookmarkStart w:id="19" w:name="_GoBack"/>
      <w:bookmarkEnd w:id="19"/>
    </w:p>
    <w:p w14:paraId="783DD16C" w14:textId="77777777" w:rsidR="00494CC3" w:rsidRPr="00EA3F33" w:rsidRDefault="00494CC3" w:rsidP="00EA3F33">
      <w:bookmarkStart w:id="20" w:name="_Hlk116295693"/>
      <w:r w:rsidRPr="00EA3F33">
        <w:t>Online business activity has substantially increased in customer-facing services industries. Total online retail sales expanded from $0.45 billion in 2012 to $3.58 billion in 2022.</w:t>
      </w:r>
      <w:r w:rsidRPr="00EA3F33">
        <w:rPr>
          <w:vertAlign w:val="superscript"/>
        </w:rPr>
        <w:endnoteReference w:id="8"/>
      </w:r>
      <w:r w:rsidRPr="00EA3F33">
        <w:t xml:space="preserve"> Online technology is now a widespread part of business practice, with 92 per cent of businesses relying on digital/online payment technologies in 2021.</w:t>
      </w:r>
      <w:r w:rsidRPr="00EA3F33">
        <w:rPr>
          <w:vertAlign w:val="superscript"/>
        </w:rPr>
        <w:endnoteReference w:id="9"/>
      </w:r>
      <w:r w:rsidRPr="00EA3F33">
        <w:t xml:space="preserve"> </w:t>
      </w:r>
    </w:p>
    <w:bookmarkEnd w:id="20"/>
    <w:p w14:paraId="76981876" w14:textId="77777777" w:rsidR="00494CC3" w:rsidRPr="00705B49" w:rsidRDefault="00494CC3" w:rsidP="00494CC3">
      <w:r w:rsidRPr="00705B49">
        <w:t>Business demand for data</w:t>
      </w:r>
      <w:r w:rsidRPr="00705B49">
        <w:noBreakHyphen/>
        <w:t>intensive applications has also increased. In 2019–20, 55 per cent of Australian businesses made use of paid cloud computing services, an increase of 36 percentage points from 2013-14.</w:t>
      </w:r>
      <w:r w:rsidRPr="00705B49">
        <w:rPr>
          <w:rStyle w:val="EndnoteReference"/>
        </w:rPr>
        <w:endnoteReference w:id="10"/>
      </w:r>
      <w:r w:rsidRPr="00705B49">
        <w:t xml:space="preserve"> Of these businesses, more than half used cloud computing for storage capacity services and over 80 per cent for finance or accounting software. Additionally, 58 per cent of Australian businesses believed that cloud technology was important for their business in 2017–18.</w:t>
      </w:r>
      <w:r w:rsidRPr="00705B49">
        <w:rPr>
          <w:rStyle w:val="EndnoteReference"/>
        </w:rPr>
        <w:endnoteReference w:id="11"/>
      </w:r>
      <w:r w:rsidRPr="00705B49">
        <w:t xml:space="preserve"> Survey findings indicate that businesses understand th</w:t>
      </w:r>
      <w:r>
        <w:t>e</w:t>
      </w:r>
      <w:r w:rsidRPr="00705B49">
        <w:t xml:space="preserve"> importance of high-speed broadband to their work, with more than </w:t>
      </w:r>
      <w:r>
        <w:t>4</w:t>
      </w:r>
      <w:r w:rsidRPr="00705B49">
        <w:t xml:space="preserve"> out of </w:t>
      </w:r>
      <w:r>
        <w:t>5</w:t>
      </w:r>
      <w:r w:rsidRPr="00705B49">
        <w:t xml:space="preserve"> businesses (84 per cent) in 2017–18 indicating </w:t>
      </w:r>
      <w:r w:rsidR="00B06EC0">
        <w:t xml:space="preserve">that </w:t>
      </w:r>
      <w:r w:rsidRPr="00705B49">
        <w:t xml:space="preserve">high-speed broadband </w:t>
      </w:r>
      <w:r>
        <w:t>i</w:t>
      </w:r>
      <w:r w:rsidRPr="00705B49">
        <w:t>s an important digital technology.</w:t>
      </w:r>
    </w:p>
    <w:p w14:paraId="43EF6D5D" w14:textId="77777777" w:rsidR="00494CC3" w:rsidRPr="00705B49" w:rsidRDefault="00494CC3" w:rsidP="00494CC3">
      <w:pPr>
        <w:pStyle w:val="Heading3"/>
      </w:pPr>
      <w:bookmarkStart w:id="21" w:name="_Toc97652747"/>
      <w:bookmarkStart w:id="22" w:name="_Toc127374078"/>
      <w:bookmarkStart w:id="23" w:name="_Toc129777681"/>
      <w:r w:rsidRPr="00705B49">
        <w:t xml:space="preserve">Shift </w:t>
      </w:r>
      <w:bookmarkEnd w:id="21"/>
      <w:r w:rsidRPr="00705B49">
        <w:t>from DSL to fibre broadband</w:t>
      </w:r>
      <w:bookmarkEnd w:id="22"/>
      <w:bookmarkEnd w:id="23"/>
    </w:p>
    <w:p w14:paraId="5343646C" w14:textId="3AB6A8F3" w:rsidR="00494CC3" w:rsidRPr="00705B49" w:rsidRDefault="00494CC3" w:rsidP="00494CC3">
      <w:r w:rsidRPr="00705B49">
        <w:t>To support the rise in online activity, the technologies used to deliver internet services have shifted. Internet connections for businesses have moved from exchange</w:t>
      </w:r>
      <w:r w:rsidRPr="00705B49">
        <w:noBreakHyphen/>
        <w:t xml:space="preserve">based DSL which uses existing telephone lines, to fibre-based and cable technologies (sometimes referred to as hybrid fibre coaxial or HFC). </w:t>
      </w:r>
      <w:r w:rsidRPr="00705B49">
        <w:fldChar w:fldCharType="begin"/>
      </w:r>
      <w:r w:rsidRPr="00705B49">
        <w:instrText xml:space="preserve"> REF _Ref105760882 \h  \* MERGEFORMAT </w:instrText>
      </w:r>
      <w:r w:rsidRPr="00705B49">
        <w:fldChar w:fldCharType="separate"/>
      </w:r>
      <w:r w:rsidRPr="00705B49">
        <w:t xml:space="preserve">Table </w:t>
      </w:r>
      <w:r w:rsidRPr="00705B49">
        <w:rPr>
          <w:noProof/>
        </w:rPr>
        <w:t>1</w:t>
      </w:r>
      <w:r w:rsidRPr="00705B49">
        <w:fldChar w:fldCharType="end"/>
      </w:r>
      <w:r w:rsidRPr="00705B49">
        <w:t xml:space="preserve"> outlines the </w:t>
      </w:r>
      <w:r w:rsidR="000F7F63">
        <w:t>5</w:t>
      </w:r>
      <w:r w:rsidR="000F7F63" w:rsidRPr="00705B49">
        <w:t xml:space="preserve"> </w:t>
      </w:r>
      <w:r w:rsidRPr="00705B49">
        <w:t>main broadband technologies used to deliver broadband in Australia.</w:t>
      </w:r>
    </w:p>
    <w:p w14:paraId="5B7062B1" w14:textId="77777777" w:rsidR="00494CC3" w:rsidRPr="00705B49" w:rsidRDefault="00494CC3" w:rsidP="00FF191D">
      <w:pPr>
        <w:pStyle w:val="Tablefigureheading"/>
      </w:pPr>
      <w:bookmarkStart w:id="24" w:name="_Ref112335719"/>
      <w:bookmarkStart w:id="25" w:name="_Ref105760882"/>
      <w:bookmarkStart w:id="26" w:name="_Toc97652719"/>
      <w:bookmarkStart w:id="27" w:name="_Toc115175377"/>
      <w:bookmarkStart w:id="28" w:name="_Toc129767611"/>
      <w:bookmarkStart w:id="29" w:name="_Hlk127361783"/>
      <w:r w:rsidRPr="00705B49">
        <w:lastRenderedPageBreak/>
        <w:t xml:space="preserve">Table </w:t>
      </w:r>
      <w:fldSimple w:instr=" SEQ Table \* ARABIC ">
        <w:r w:rsidRPr="00705B49">
          <w:rPr>
            <w:noProof/>
          </w:rPr>
          <w:t>1</w:t>
        </w:r>
      </w:fldSimple>
      <w:bookmarkEnd w:id="24"/>
      <w:bookmarkEnd w:id="25"/>
      <w:r w:rsidRPr="00705B49">
        <w:t xml:space="preserve">. Broadband technology </w:t>
      </w:r>
      <w:r w:rsidRPr="00705B49">
        <w:rPr>
          <w:noProof/>
        </w:rPr>
        <w:t>types</w:t>
      </w:r>
      <w:bookmarkEnd w:id="26"/>
      <w:bookmarkEnd w:id="27"/>
      <w:r w:rsidRPr="00705B49">
        <w:rPr>
          <w:noProof/>
        </w:rPr>
        <w:t xml:space="preserve"> in Australia</w:t>
      </w:r>
      <w:r>
        <w:rPr>
          <w:noProof/>
        </w:rPr>
        <w:t>, all premises (businesses and households)</w:t>
      </w:r>
      <w:bookmarkEnd w:id="28"/>
    </w:p>
    <w:tbl>
      <w:tblPr>
        <w:tblStyle w:val="DefaultTable1"/>
        <w:tblW w:w="0" w:type="auto"/>
        <w:tblLook w:val="04A0" w:firstRow="1" w:lastRow="0" w:firstColumn="1" w:lastColumn="0" w:noHBand="0" w:noVBand="1"/>
      </w:tblPr>
      <w:tblGrid>
        <w:gridCol w:w="1665"/>
        <w:gridCol w:w="2163"/>
        <w:gridCol w:w="5352"/>
      </w:tblGrid>
      <w:tr w:rsidR="00494CC3" w:rsidRPr="00705B49" w14:paraId="61821462"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Borders>
              <w:bottom w:val="single" w:sz="4" w:space="0" w:color="595959" w:themeColor="text1" w:themeTint="A6"/>
            </w:tcBorders>
            <w:shd w:val="clear" w:color="auto" w:fill="081E3E"/>
          </w:tcPr>
          <w:bookmarkEnd w:id="29"/>
          <w:p w14:paraId="018709E1" w14:textId="77777777" w:rsidR="00494CC3" w:rsidRPr="00705B49" w:rsidRDefault="00494CC3" w:rsidP="00494CC3">
            <w:r w:rsidRPr="00705B49">
              <w:t>Broadband technology</w:t>
            </w:r>
          </w:p>
        </w:tc>
        <w:tc>
          <w:tcPr>
            <w:tcW w:w="2163" w:type="dxa"/>
            <w:tcBorders>
              <w:bottom w:val="single" w:sz="4" w:space="0" w:color="595959" w:themeColor="text1" w:themeTint="A6"/>
            </w:tcBorders>
            <w:shd w:val="clear" w:color="auto" w:fill="081E3E"/>
          </w:tcPr>
          <w:p w14:paraId="3492AD98" w14:textId="77777777" w:rsidR="00494CC3" w:rsidRPr="00705B49" w:rsidRDefault="00494CC3" w:rsidP="00494CC3">
            <w:pPr>
              <w:cnfStyle w:val="100000000000" w:firstRow="1" w:lastRow="0" w:firstColumn="0" w:lastColumn="0" w:oddVBand="0" w:evenVBand="0" w:oddHBand="0" w:evenHBand="0" w:firstRowFirstColumn="0" w:firstRowLastColumn="0" w:lastRowFirstColumn="0" w:lastRowLastColumn="0"/>
            </w:pPr>
            <w:r w:rsidRPr="00705B49">
              <w:t>Share of Australian premises in 202</w:t>
            </w:r>
            <w:r>
              <w:t>2</w:t>
            </w:r>
          </w:p>
        </w:tc>
        <w:tc>
          <w:tcPr>
            <w:tcW w:w="5352" w:type="dxa"/>
            <w:tcBorders>
              <w:bottom w:val="single" w:sz="4" w:space="0" w:color="595959" w:themeColor="text1" w:themeTint="A6"/>
            </w:tcBorders>
            <w:shd w:val="clear" w:color="auto" w:fill="081E3E"/>
          </w:tcPr>
          <w:p w14:paraId="7A1A642D" w14:textId="77777777" w:rsidR="00494CC3" w:rsidRPr="00705B49" w:rsidRDefault="00494CC3" w:rsidP="00494CC3">
            <w:pPr>
              <w:cnfStyle w:val="100000000000" w:firstRow="1" w:lastRow="0" w:firstColumn="0" w:lastColumn="0" w:oddVBand="0" w:evenVBand="0" w:oddHBand="0" w:evenHBand="0" w:firstRowFirstColumn="0" w:firstRowLastColumn="0" w:lastRowFirstColumn="0" w:lastRowLastColumn="0"/>
            </w:pPr>
            <w:r w:rsidRPr="00705B49">
              <w:t xml:space="preserve">Explanation </w:t>
            </w:r>
          </w:p>
        </w:tc>
      </w:tr>
      <w:tr w:rsidR="00494CC3" w:rsidRPr="00705B49" w14:paraId="4526F374" w14:textId="77777777" w:rsidTr="00747265">
        <w:tc>
          <w:tcPr>
            <w:cnfStyle w:val="001000000000" w:firstRow="0" w:lastRow="0" w:firstColumn="1" w:lastColumn="0" w:oddVBand="0" w:evenVBand="0" w:oddHBand="0" w:evenHBand="0" w:firstRowFirstColumn="0" w:firstRowLastColumn="0" w:lastRowFirstColumn="0" w:lastRowLastColumn="0"/>
            <w:tcW w:w="1665" w:type="dxa"/>
            <w:tcBorders>
              <w:bottom w:val="single" w:sz="4" w:space="0" w:color="4BB3B5"/>
            </w:tcBorders>
          </w:tcPr>
          <w:p w14:paraId="5654E9C3" w14:textId="77777777" w:rsidR="00494CC3" w:rsidRPr="00705B49" w:rsidRDefault="00494CC3" w:rsidP="00494CC3">
            <w:r w:rsidRPr="00705B49">
              <w:t xml:space="preserve">DSL </w:t>
            </w:r>
          </w:p>
        </w:tc>
        <w:tc>
          <w:tcPr>
            <w:tcW w:w="2163" w:type="dxa"/>
            <w:tcBorders>
              <w:bottom w:val="single" w:sz="4" w:space="0" w:color="4BB3B5"/>
            </w:tcBorders>
          </w:tcPr>
          <w:p w14:paraId="1298C8D7"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t>2</w:t>
            </w:r>
            <w:r w:rsidRPr="00705B49">
              <w:t xml:space="preserve">% </w:t>
            </w:r>
          </w:p>
        </w:tc>
        <w:tc>
          <w:tcPr>
            <w:tcW w:w="5352" w:type="dxa"/>
            <w:tcBorders>
              <w:bottom w:val="single" w:sz="4" w:space="0" w:color="4BB3B5"/>
            </w:tcBorders>
          </w:tcPr>
          <w:p w14:paraId="0A5DA245"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A family of technologies (including ADSL, ADSL2 and ADSL2+) that provides digital data transmission over the local telephone network.</w:t>
            </w:r>
          </w:p>
        </w:tc>
      </w:tr>
      <w:tr w:rsidR="00494CC3" w:rsidRPr="00705B49" w14:paraId="40F0529D"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Borders>
              <w:top w:val="single" w:sz="4" w:space="0" w:color="4BB3B5"/>
              <w:bottom w:val="single" w:sz="4" w:space="0" w:color="4BB3B5"/>
            </w:tcBorders>
          </w:tcPr>
          <w:p w14:paraId="02568070" w14:textId="77777777" w:rsidR="00494CC3" w:rsidRPr="00705B49" w:rsidRDefault="00494CC3" w:rsidP="00494CC3">
            <w:r w:rsidRPr="00705B49">
              <w:t>Fibre-based</w:t>
            </w:r>
          </w:p>
        </w:tc>
        <w:tc>
          <w:tcPr>
            <w:tcW w:w="2163" w:type="dxa"/>
            <w:tcBorders>
              <w:top w:val="single" w:sz="4" w:space="0" w:color="4BB3B5"/>
              <w:bottom w:val="single" w:sz="4" w:space="0" w:color="4BB3B5"/>
            </w:tcBorders>
          </w:tcPr>
          <w:p w14:paraId="4B89ED41" w14:textId="77777777" w:rsidR="00494CC3" w:rsidRPr="00705B49" w:rsidRDefault="00494CC3" w:rsidP="00494CC3">
            <w:pPr>
              <w:cnfStyle w:val="000000010000" w:firstRow="0" w:lastRow="0" w:firstColumn="0" w:lastColumn="0" w:oddVBand="0" w:evenVBand="0" w:oddHBand="0" w:evenHBand="1" w:firstRowFirstColumn="0" w:firstRowLastColumn="0" w:lastRowFirstColumn="0" w:lastRowLastColumn="0"/>
            </w:pPr>
            <w:r>
              <w:t>70</w:t>
            </w:r>
            <w:r w:rsidRPr="00705B49">
              <w:t>%</w:t>
            </w:r>
          </w:p>
        </w:tc>
        <w:tc>
          <w:tcPr>
            <w:tcW w:w="5352" w:type="dxa"/>
            <w:tcBorders>
              <w:top w:val="single" w:sz="4" w:space="0" w:color="4BB3B5"/>
              <w:bottom w:val="single" w:sz="4" w:space="0" w:color="4BB3B5"/>
            </w:tcBorders>
          </w:tcPr>
          <w:p w14:paraId="055FA2AC" w14:textId="77777777" w:rsidR="00494CC3" w:rsidRPr="00705B49" w:rsidRDefault="00494CC3" w:rsidP="00494CC3">
            <w:pPr>
              <w:cnfStyle w:val="000000010000" w:firstRow="0" w:lastRow="0" w:firstColumn="0" w:lastColumn="0" w:oddVBand="0" w:evenVBand="0" w:oddHBand="0" w:evenHBand="1" w:firstRowFirstColumn="0" w:firstRowLastColumn="0" w:lastRowFirstColumn="0" w:lastRowLastColumn="0"/>
            </w:pPr>
            <w:r w:rsidRPr="00705B49">
              <w:t>Includes any type of fibre-based connection e.g. fibre-to-the-premises (FTTP), fibre-to-the-basement (FTTB), fibre-to-the-curb (FTTC), fibre-to-the-node (FTTN). Mainly used in urban/suburban areas.</w:t>
            </w:r>
          </w:p>
        </w:tc>
      </w:tr>
      <w:tr w:rsidR="00494CC3" w:rsidRPr="00705B49" w14:paraId="68C1B00A" w14:textId="77777777" w:rsidTr="00747265">
        <w:tc>
          <w:tcPr>
            <w:cnfStyle w:val="001000000000" w:firstRow="0" w:lastRow="0" w:firstColumn="1" w:lastColumn="0" w:oddVBand="0" w:evenVBand="0" w:oddHBand="0" w:evenHBand="0" w:firstRowFirstColumn="0" w:firstRowLastColumn="0" w:lastRowFirstColumn="0" w:lastRowLastColumn="0"/>
            <w:tcW w:w="1665" w:type="dxa"/>
            <w:tcBorders>
              <w:top w:val="single" w:sz="4" w:space="0" w:color="4BB3B5"/>
              <w:bottom w:val="single" w:sz="4" w:space="0" w:color="4BB3B5"/>
            </w:tcBorders>
          </w:tcPr>
          <w:p w14:paraId="5E9E185E" w14:textId="77777777" w:rsidR="00494CC3" w:rsidRPr="00705B49" w:rsidRDefault="00494CC3" w:rsidP="00494CC3">
            <w:r w:rsidRPr="00705B49">
              <w:t>Cable</w:t>
            </w:r>
          </w:p>
        </w:tc>
        <w:tc>
          <w:tcPr>
            <w:tcW w:w="2163" w:type="dxa"/>
            <w:tcBorders>
              <w:top w:val="single" w:sz="4" w:space="0" w:color="4BB3B5"/>
              <w:bottom w:val="single" w:sz="4" w:space="0" w:color="4BB3B5"/>
            </w:tcBorders>
          </w:tcPr>
          <w:p w14:paraId="7219A4FD"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22%</w:t>
            </w:r>
          </w:p>
        </w:tc>
        <w:tc>
          <w:tcPr>
            <w:tcW w:w="5352" w:type="dxa"/>
            <w:tcBorders>
              <w:top w:val="single" w:sz="4" w:space="0" w:color="4BB3B5"/>
              <w:bottom w:val="single" w:sz="4" w:space="0" w:color="4BB3B5"/>
            </w:tcBorders>
          </w:tcPr>
          <w:p w14:paraId="5CDB6BC1"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Cable television infrastructure which uses coaxial cable or Hybrid-Fibre Coaxial (HFC). Mainly used in suburban areas.</w:t>
            </w:r>
          </w:p>
        </w:tc>
      </w:tr>
      <w:tr w:rsidR="00494CC3" w:rsidRPr="00705B49" w14:paraId="5D46A883"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Borders>
              <w:top w:val="single" w:sz="4" w:space="0" w:color="4BB3B5"/>
              <w:bottom w:val="single" w:sz="4" w:space="0" w:color="4BB3B5"/>
            </w:tcBorders>
          </w:tcPr>
          <w:p w14:paraId="698B632C" w14:textId="77777777" w:rsidR="00494CC3" w:rsidRPr="00705B49" w:rsidRDefault="00494CC3" w:rsidP="00494CC3">
            <w:r w:rsidRPr="00705B49">
              <w:t>Fixed wireless</w:t>
            </w:r>
          </w:p>
        </w:tc>
        <w:tc>
          <w:tcPr>
            <w:tcW w:w="2163" w:type="dxa"/>
            <w:tcBorders>
              <w:top w:val="single" w:sz="4" w:space="0" w:color="4BB3B5"/>
              <w:bottom w:val="single" w:sz="4" w:space="0" w:color="4BB3B5"/>
            </w:tcBorders>
          </w:tcPr>
          <w:p w14:paraId="23686C46" w14:textId="77777777" w:rsidR="00494CC3" w:rsidRPr="00705B49" w:rsidRDefault="00494CC3" w:rsidP="00494CC3">
            <w:pPr>
              <w:cnfStyle w:val="000000010000" w:firstRow="0" w:lastRow="0" w:firstColumn="0" w:lastColumn="0" w:oddVBand="0" w:evenVBand="0" w:oddHBand="0" w:evenHBand="1" w:firstRowFirstColumn="0" w:firstRowLastColumn="0" w:lastRowFirstColumn="0" w:lastRowLastColumn="0"/>
            </w:pPr>
            <w:r w:rsidRPr="00705B49">
              <w:t>4%</w:t>
            </w:r>
          </w:p>
        </w:tc>
        <w:tc>
          <w:tcPr>
            <w:tcW w:w="5352" w:type="dxa"/>
            <w:tcBorders>
              <w:top w:val="single" w:sz="4" w:space="0" w:color="4BB3B5"/>
              <w:bottom w:val="single" w:sz="4" w:space="0" w:color="4BB3B5"/>
            </w:tcBorders>
          </w:tcPr>
          <w:p w14:paraId="780E725F" w14:textId="77777777" w:rsidR="00494CC3" w:rsidRPr="00705B49" w:rsidRDefault="00494CC3" w:rsidP="00494CC3">
            <w:pPr>
              <w:cnfStyle w:val="000000010000" w:firstRow="0" w:lastRow="0" w:firstColumn="0" w:lastColumn="0" w:oddVBand="0" w:evenVBand="0" w:oddHBand="0" w:evenHBand="1" w:firstRowFirstColumn="0" w:firstRowLastColumn="0" w:lastRowFirstColumn="0" w:lastRowLastColumn="0"/>
            </w:pPr>
            <w:r w:rsidRPr="00705B49">
              <w:t>Broadband transmitted using radio signals over a dedicated fixed wireless network. Uses technology similar to mobile networks. Mainly used in regional areas.</w:t>
            </w:r>
          </w:p>
        </w:tc>
      </w:tr>
      <w:tr w:rsidR="00494CC3" w:rsidRPr="00705B49" w14:paraId="30DC4BE7" w14:textId="77777777" w:rsidTr="00747265">
        <w:tc>
          <w:tcPr>
            <w:cnfStyle w:val="001000000000" w:firstRow="0" w:lastRow="0" w:firstColumn="1" w:lastColumn="0" w:oddVBand="0" w:evenVBand="0" w:oddHBand="0" w:evenHBand="0" w:firstRowFirstColumn="0" w:firstRowLastColumn="0" w:lastRowFirstColumn="0" w:lastRowLastColumn="0"/>
            <w:tcW w:w="1665" w:type="dxa"/>
            <w:tcBorders>
              <w:top w:val="single" w:sz="4" w:space="0" w:color="4BB3B5"/>
              <w:bottom w:val="single" w:sz="4" w:space="0" w:color="4BB3B5"/>
            </w:tcBorders>
          </w:tcPr>
          <w:p w14:paraId="7ABB891F" w14:textId="77777777" w:rsidR="00494CC3" w:rsidRPr="00705B49" w:rsidRDefault="00494CC3" w:rsidP="00494CC3">
            <w:r w:rsidRPr="00705B49">
              <w:t>Satellite</w:t>
            </w:r>
          </w:p>
        </w:tc>
        <w:tc>
          <w:tcPr>
            <w:tcW w:w="2163" w:type="dxa"/>
            <w:tcBorders>
              <w:top w:val="single" w:sz="4" w:space="0" w:color="4BB3B5"/>
              <w:bottom w:val="single" w:sz="4" w:space="0" w:color="4BB3B5"/>
            </w:tcBorders>
          </w:tcPr>
          <w:p w14:paraId="07885ACF"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2%</w:t>
            </w:r>
          </w:p>
        </w:tc>
        <w:tc>
          <w:tcPr>
            <w:tcW w:w="5352" w:type="dxa"/>
            <w:tcBorders>
              <w:top w:val="single" w:sz="4" w:space="0" w:color="4BB3B5"/>
              <w:bottom w:val="single" w:sz="4" w:space="0" w:color="4BB3B5"/>
            </w:tcBorders>
          </w:tcPr>
          <w:p w14:paraId="15106416"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Broadband delivered using satellite transmitters and satellite receivers attached to premises. Mainly used in regional and remote areas.</w:t>
            </w:r>
          </w:p>
        </w:tc>
      </w:tr>
    </w:tbl>
    <w:p w14:paraId="0E58A155" w14:textId="77777777" w:rsidR="00494CC3" w:rsidRPr="00705B49" w:rsidRDefault="00494CC3" w:rsidP="00494CC3">
      <w:pPr>
        <w:pStyle w:val="Sourcenotes"/>
        <w:rPr>
          <w:lang w:val="en-AU"/>
        </w:rPr>
      </w:pPr>
      <w:r w:rsidRPr="00705B49">
        <w:rPr>
          <w:lang w:val="en-AU"/>
        </w:rPr>
        <w:t xml:space="preserve">Source: BCARR analysis of ACCC Internet </w:t>
      </w:r>
      <w:r>
        <w:rPr>
          <w:lang w:val="en-AU"/>
        </w:rPr>
        <w:t>A</w:t>
      </w:r>
      <w:r w:rsidRPr="00705B49">
        <w:rPr>
          <w:lang w:val="en-AU"/>
        </w:rPr>
        <w:t>ctivity</w:t>
      </w:r>
      <w:r>
        <w:rPr>
          <w:lang w:val="en-AU"/>
        </w:rPr>
        <w:t xml:space="preserve"> RKR</w:t>
      </w:r>
      <w:r w:rsidRPr="00705B49">
        <w:rPr>
          <w:lang w:val="en-AU"/>
        </w:rPr>
        <w:t xml:space="preserve"> data and NBN </w:t>
      </w:r>
      <w:r>
        <w:rPr>
          <w:lang w:val="en-AU"/>
        </w:rPr>
        <w:t>W</w:t>
      </w:r>
      <w:r w:rsidRPr="00705B49">
        <w:rPr>
          <w:lang w:val="en-AU"/>
        </w:rPr>
        <w:t>holesale</w:t>
      </w:r>
      <w:r>
        <w:rPr>
          <w:lang w:val="en-AU"/>
        </w:rPr>
        <w:t xml:space="preserve"> Market Indicators</w:t>
      </w:r>
      <w:r w:rsidRPr="00705B49">
        <w:rPr>
          <w:lang w:val="en-AU"/>
        </w:rPr>
        <w:t xml:space="preserve"> report</w:t>
      </w:r>
      <w:r>
        <w:rPr>
          <w:lang w:val="en-AU"/>
        </w:rPr>
        <w:t>,</w:t>
      </w:r>
      <w:r w:rsidRPr="00705B49">
        <w:rPr>
          <w:lang w:val="en-AU"/>
        </w:rPr>
        <w:t xml:space="preserve"> June 202</w:t>
      </w:r>
      <w:r>
        <w:rPr>
          <w:lang w:val="en-AU"/>
        </w:rPr>
        <w:t>2</w:t>
      </w:r>
      <w:r w:rsidRPr="00705B49">
        <w:rPr>
          <w:lang w:val="en-AU"/>
        </w:rPr>
        <w:t>. Data does not provide an estimate for the number of premises with mobile wireless broadband. Data includes both residential and business connections.</w:t>
      </w:r>
    </w:p>
    <w:p w14:paraId="7931E722" w14:textId="77777777" w:rsidR="00494CC3" w:rsidRPr="00705B49" w:rsidRDefault="00494CC3" w:rsidP="00494CC3">
      <w:r w:rsidRPr="00705B49">
        <w:t>While improvements to bandwidth capabilities have been made over the decade regardless of technology type, some types of broadband perform better than others. Fibre and cable</w:t>
      </w:r>
      <w:r>
        <w:noBreakHyphen/>
        <w:t>based</w:t>
      </w:r>
      <w:r w:rsidRPr="00705B49">
        <w:t xml:space="preserve"> broadband typically have the highest bandwidth capacity, being able to deliver speeds of at least 25 megabits per second (Mbps) and often speeds above 100 Mbps. By contrast, DSL provides much slower speeds (typically around 1–7 Mbps). Wireless-based technologies (such as fixed-wireless and satellite) have the potential for high speeds (25–75 Mbps) but performance on these networks can be constrained by the physical limits of available spectrum, particularly during peak times.</w:t>
      </w:r>
    </w:p>
    <w:p w14:paraId="0A7CF878" w14:textId="0C7C4F57" w:rsidR="00494CC3" w:rsidRPr="00705B49" w:rsidRDefault="00494CC3" w:rsidP="00494CC3">
      <w:r w:rsidRPr="00705B49">
        <w:t>While enterprise</w:t>
      </w:r>
      <w:r w:rsidRPr="00705B49">
        <w:noBreakHyphen/>
        <w:t>level solutions have been available for businesses located in CBDs, the rollout of the NBN has transformed the wider fixed-broadband market in Australia with a marked increase in fibre</w:t>
      </w:r>
      <w:r w:rsidRPr="00705B49">
        <w:noBreakHyphen/>
        <w:t>based technologies in place of DSL. In June 2011, only 31,000 connections</w:t>
      </w:r>
      <w:r w:rsidR="004B30F2">
        <w:t xml:space="preserve"> </w:t>
      </w:r>
      <w:r w:rsidR="004B30F2" w:rsidRPr="00705B49">
        <w:t xml:space="preserve">(0.5 per cent) </w:t>
      </w:r>
      <w:r w:rsidRPr="00705B49">
        <w:t>were fibre</w:t>
      </w:r>
      <w:r w:rsidRPr="00705B49">
        <w:noBreakHyphen/>
        <w:t>based (</w:t>
      </w:r>
      <w:r w:rsidRPr="00705B49">
        <w:fldChar w:fldCharType="begin"/>
      </w:r>
      <w:r w:rsidRPr="00705B49">
        <w:instrText xml:space="preserve"> REF _Ref88839193 \h  \* MERGEFORMAT </w:instrText>
      </w:r>
      <w:r w:rsidRPr="00705B49">
        <w:fldChar w:fldCharType="separate"/>
      </w:r>
      <w:r w:rsidRPr="00705B49">
        <w:t xml:space="preserve">Figure </w:t>
      </w:r>
      <w:r w:rsidRPr="00705B49">
        <w:rPr>
          <w:noProof/>
        </w:rPr>
        <w:t>2</w:t>
      </w:r>
      <w:r w:rsidRPr="00705B49">
        <w:fldChar w:fldCharType="end"/>
      </w:r>
      <w:r w:rsidRPr="00705B49">
        <w:t>). In the decade</w:t>
      </w:r>
      <w:r>
        <w:t xml:space="preserve"> or so</w:t>
      </w:r>
      <w:r w:rsidRPr="00705B49">
        <w:t xml:space="preserve"> since, this has grown to 6.</w:t>
      </w:r>
      <w:r>
        <w:t>4</w:t>
      </w:r>
      <w:r w:rsidRPr="00705B49">
        <w:t xml:space="preserve"> million fibre</w:t>
      </w:r>
      <w:r w:rsidRPr="00705B49">
        <w:noBreakHyphen/>
        <w:t>based connections (</w:t>
      </w:r>
      <w:r>
        <w:t>70</w:t>
      </w:r>
      <w:r w:rsidRPr="00705B49">
        <w:t xml:space="preserve"> per cent). </w:t>
      </w:r>
      <w:r w:rsidR="004B30F2">
        <w:t>In</w:t>
      </w:r>
      <w:r w:rsidRPr="00705B49">
        <w:t xml:space="preserve"> the same time, DSL connections decreased from around 4.5 million connections (73 per cent) to </w:t>
      </w:r>
      <w:r>
        <w:t>180</w:t>
      </w:r>
      <w:r w:rsidRPr="00705B49">
        <w:t xml:space="preserve">,000 connections (2 per cent) in </w:t>
      </w:r>
      <w:r>
        <w:t>June</w:t>
      </w:r>
      <w:r w:rsidRPr="00705B49">
        <w:t xml:space="preserve"> 202</w:t>
      </w:r>
      <w:r>
        <w:t>2</w:t>
      </w:r>
      <w:r w:rsidRPr="00705B49">
        <w:t>.</w:t>
      </w:r>
    </w:p>
    <w:p w14:paraId="7754C378" w14:textId="77777777" w:rsidR="00494CC3" w:rsidRDefault="00494CC3" w:rsidP="00FF191D">
      <w:pPr>
        <w:pStyle w:val="Tablefigureheading"/>
      </w:pPr>
      <w:bookmarkStart w:id="30" w:name="_Ref88839193"/>
      <w:bookmarkStart w:id="31" w:name="_Toc115175378"/>
      <w:bookmarkStart w:id="32" w:name="_Toc90041184"/>
      <w:bookmarkStart w:id="33" w:name="_Toc97652720"/>
      <w:bookmarkStart w:id="34" w:name="_Toc129767612"/>
      <w:r w:rsidRPr="00705B49">
        <w:lastRenderedPageBreak/>
        <w:t xml:space="preserve">Figure </w:t>
      </w:r>
      <w:fldSimple w:instr=" SEQ Figure \* ARABIC ">
        <w:r w:rsidRPr="00705B49">
          <w:rPr>
            <w:noProof/>
          </w:rPr>
          <w:t>2</w:t>
        </w:r>
      </w:fldSimple>
      <w:r w:rsidRPr="00705B49">
        <w:t>.</w:t>
      </w:r>
      <w:bookmarkEnd w:id="30"/>
      <w:r w:rsidRPr="00705B49">
        <w:t xml:space="preserve"> Connection by broadband technology type, June 2011 and </w:t>
      </w:r>
      <w:r>
        <w:t xml:space="preserve">June </w:t>
      </w:r>
      <w:r w:rsidRPr="00705B49">
        <w:t>202</w:t>
      </w:r>
      <w:bookmarkEnd w:id="31"/>
      <w:bookmarkEnd w:id="32"/>
      <w:bookmarkEnd w:id="33"/>
      <w:r>
        <w:t>2</w:t>
      </w:r>
      <w:bookmarkEnd w:id="34"/>
    </w:p>
    <w:p w14:paraId="09DBD56C" w14:textId="77777777" w:rsidR="00AB334E" w:rsidRPr="00AB334E" w:rsidRDefault="00AB334E" w:rsidP="00AB334E">
      <w:pPr>
        <w:pStyle w:val="NoSpacing"/>
      </w:pPr>
      <w:r>
        <w:rPr>
          <w:noProof/>
        </w:rPr>
        <w:drawing>
          <wp:inline distT="0" distB="0" distL="0" distR="0" wp14:anchorId="4C790371" wp14:editId="5985E595">
            <wp:extent cx="6016625" cy="2641600"/>
            <wp:effectExtent l="0" t="0" r="3175" b="6350"/>
            <wp:docPr id="23" name="Picture 23" descr="This is a column chart that shows the number of active broadband connections by technology type. In June 2022 there were 0.18 million DSL connections, 6.42 million fibre connections, 2.05 million cable connections and 0.53 million other connections. &#10;In Jun 2011 there were 4.49 million DSL connections, 0.03 million fibre connections, 0.88 million cable connections and 0.72 million other connectio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16625" cy="2641600"/>
                    </a:xfrm>
                    <a:prstGeom prst="rect">
                      <a:avLst/>
                    </a:prstGeom>
                  </pic:spPr>
                </pic:pic>
              </a:graphicData>
            </a:graphic>
          </wp:inline>
        </w:drawing>
      </w:r>
    </w:p>
    <w:p w14:paraId="51974967" w14:textId="77777777" w:rsidR="00494CC3" w:rsidRPr="00705B49" w:rsidRDefault="00494CC3" w:rsidP="00494CC3">
      <w:pPr>
        <w:pStyle w:val="Sourcenotes"/>
        <w:rPr>
          <w:lang w:val="en-AU"/>
        </w:rPr>
      </w:pPr>
      <w:r w:rsidRPr="00705B49">
        <w:rPr>
          <w:lang w:val="en-AU"/>
        </w:rPr>
        <w:t xml:space="preserve">Source: BCARR analysis of the ABS Internet Activity Survey and ACCC Internet </w:t>
      </w:r>
      <w:r>
        <w:rPr>
          <w:lang w:val="en-AU"/>
        </w:rPr>
        <w:t>A</w:t>
      </w:r>
      <w:r w:rsidRPr="00705B49">
        <w:rPr>
          <w:lang w:val="en-AU"/>
        </w:rPr>
        <w:t>ctivity</w:t>
      </w:r>
      <w:r>
        <w:rPr>
          <w:lang w:val="en-AU"/>
        </w:rPr>
        <w:t xml:space="preserve"> RKR</w:t>
      </w:r>
      <w:r w:rsidRPr="00705B49">
        <w:rPr>
          <w:lang w:val="en-AU"/>
        </w:rPr>
        <w:t xml:space="preserve"> data and NBN </w:t>
      </w:r>
      <w:r>
        <w:rPr>
          <w:lang w:val="en-AU"/>
        </w:rPr>
        <w:t>W</w:t>
      </w:r>
      <w:r w:rsidRPr="00705B49">
        <w:rPr>
          <w:lang w:val="en-AU"/>
        </w:rPr>
        <w:t>holesale</w:t>
      </w:r>
      <w:r>
        <w:rPr>
          <w:lang w:val="en-AU"/>
        </w:rPr>
        <w:t xml:space="preserve"> Market Indicators</w:t>
      </w:r>
      <w:r w:rsidRPr="00705B49">
        <w:rPr>
          <w:lang w:val="en-AU"/>
        </w:rPr>
        <w:t xml:space="preserve"> report. Other includes dial-up (in June 2011), fixed wireless, satellite and other broadband connections. Data includes both residential and business connections.</w:t>
      </w:r>
    </w:p>
    <w:p w14:paraId="33E7E4F6" w14:textId="77777777" w:rsidR="00494CC3" w:rsidRPr="00705B49" w:rsidRDefault="00494CC3" w:rsidP="00754E46">
      <w:pPr>
        <w:pStyle w:val="Heading3"/>
      </w:pPr>
      <w:bookmarkStart w:id="35" w:name="_Toc90041198"/>
      <w:bookmarkStart w:id="36" w:name="_Toc97652749"/>
      <w:bookmarkStart w:id="37" w:name="_Toc127374079"/>
      <w:bookmarkStart w:id="38" w:name="_Toc129777682"/>
      <w:bookmarkEnd w:id="35"/>
      <w:bookmarkEnd w:id="36"/>
      <w:r w:rsidRPr="00705B49">
        <w:t>Broadband use depends on business characteristics</w:t>
      </w:r>
      <w:bookmarkEnd w:id="37"/>
      <w:bookmarkEnd w:id="38"/>
    </w:p>
    <w:p w14:paraId="62478476" w14:textId="77777777" w:rsidR="00494CC3" w:rsidRPr="00705B49" w:rsidRDefault="00494CC3" w:rsidP="00494CC3">
      <w:r w:rsidRPr="00705B49">
        <w:t>Broadband use in Australia varies based on the size, location and industry the business works in. For example, smaller businesses may have less choice on broadband connections as it may</w:t>
      </w:r>
      <w:r w:rsidRPr="00705B49" w:rsidDel="00D50915">
        <w:t xml:space="preserve"> </w:t>
      </w:r>
      <w:r w:rsidRPr="00705B49">
        <w:t xml:space="preserve">require significant capital investment to upgrade this technology. Remote regions tend to have less infrastructure available to support fixed-line broadband than urban areas, while industry use of broadband also differs by how important broadband is to carry out the core business functions of the industry. For example, businesses in the finance sector rely on ultra-low latency connections for trading (latency being the lag between transmission and receipt of data), while information media services rely on high data throughput to transfer and broadcast content. </w:t>
      </w:r>
    </w:p>
    <w:p w14:paraId="6CB18D90" w14:textId="77777777" w:rsidR="00494CC3" w:rsidRPr="00705B49" w:rsidRDefault="00494CC3" w:rsidP="00494CC3">
      <w:r w:rsidRPr="00705B49">
        <w:t>Evidence from the ABS Business Characteristics Survey (BCS) pooled from 2009–10 to 2018–19 shows that businesses with greater turnover have higher broadband adoption rates than businesses</w:t>
      </w:r>
      <w:r w:rsidR="004B30F2">
        <w:t xml:space="preserve"> with a turnover of less than $200,000</w:t>
      </w:r>
      <w:r w:rsidRPr="00705B49">
        <w:t xml:space="preserve"> (</w:t>
      </w:r>
      <w:r w:rsidRPr="00705B49">
        <w:fldChar w:fldCharType="begin"/>
      </w:r>
      <w:r w:rsidRPr="00705B49">
        <w:instrText xml:space="preserve"> REF _Ref121149960 \h  \* MERGEFORMAT </w:instrText>
      </w:r>
      <w:r w:rsidRPr="00705B49">
        <w:fldChar w:fldCharType="separate"/>
      </w:r>
      <w:r w:rsidRPr="00705B49">
        <w:t xml:space="preserve">Table </w:t>
      </w:r>
      <w:r w:rsidRPr="00705B49">
        <w:rPr>
          <w:noProof/>
        </w:rPr>
        <w:t>2</w:t>
      </w:r>
      <w:r w:rsidRPr="00705B49">
        <w:fldChar w:fldCharType="end"/>
      </w:r>
      <w:r w:rsidRPr="00705B49">
        <w:t>). A similar relationship is found when analysing businesses by headcount. Over the 10</w:t>
      </w:r>
      <w:r w:rsidRPr="00705B49">
        <w:noBreakHyphen/>
        <w:t>year period, 6 per cent of businesses with a headcount under 20 had no broadband compared with only 1 per cent of businesses with 20 or more employees.</w:t>
      </w:r>
    </w:p>
    <w:p w14:paraId="7290C053" w14:textId="17FC8703" w:rsidR="00494CC3" w:rsidRPr="00705B49" w:rsidRDefault="00494CC3" w:rsidP="00494CC3">
      <w:r w:rsidRPr="00705B49">
        <w:t>Large CBD</w:t>
      </w:r>
      <w:r w:rsidRPr="00705B49">
        <w:noBreakHyphen/>
        <w:t>based businesses also tend to use better broadband technologies than smaller businesses with enterprise-based solutions being available in CBDs for many years. Over the decade to 2018–19, 20 per cent of businesses with turnover over $2 million used a fibre connection,</w:t>
      </w:r>
      <w:r w:rsidR="004B30F2">
        <w:t xml:space="preserve"> which was</w:t>
      </w:r>
      <w:r w:rsidRPr="00705B49">
        <w:t xml:space="preserve"> much higher than the 5 per cent of businesses with </w:t>
      </w:r>
      <w:r w:rsidR="004B30F2">
        <w:t xml:space="preserve">a turnover of </w:t>
      </w:r>
      <w:r w:rsidRPr="00705B49">
        <w:t>less than $2 million.</w:t>
      </w:r>
      <w:r w:rsidRPr="00705B49">
        <w:rPr>
          <w:rStyle w:val="EndnoteReference"/>
        </w:rPr>
        <w:endnoteReference w:id="12"/>
      </w:r>
      <w:r w:rsidRPr="00705B49">
        <w:t xml:space="preserve"> During the same period, 31 per cent of businesses with turnover less than $200,000 had higher rates of fixed wireless and mobile wireless broadband connections, compared to 22 per cent for businesses with turnover over $200,000.</w:t>
      </w:r>
    </w:p>
    <w:p w14:paraId="362F2976" w14:textId="77777777" w:rsidR="00494CC3" w:rsidRDefault="00494CC3" w:rsidP="00FF191D">
      <w:pPr>
        <w:pStyle w:val="Tablefigureheading"/>
        <w:rPr>
          <w:noProof/>
        </w:rPr>
      </w:pPr>
      <w:bookmarkStart w:id="39" w:name="_Ref121149960"/>
      <w:bookmarkStart w:id="40" w:name="_Toc129767613"/>
      <w:r w:rsidRPr="00705B49">
        <w:lastRenderedPageBreak/>
        <w:t xml:space="preserve">Table </w:t>
      </w:r>
      <w:fldSimple w:instr=" SEQ Table \* ARABIC ">
        <w:r w:rsidRPr="00705B49">
          <w:rPr>
            <w:noProof/>
          </w:rPr>
          <w:t>2</w:t>
        </w:r>
      </w:fldSimple>
      <w:bookmarkEnd w:id="39"/>
      <w:r>
        <w:rPr>
          <w:noProof/>
        </w:rPr>
        <w:t>.</w:t>
      </w:r>
      <w:r w:rsidRPr="00705B49">
        <w:t xml:space="preserve"> Broadband connection technology </w:t>
      </w:r>
      <w:r w:rsidRPr="00705B49">
        <w:rPr>
          <w:noProof/>
        </w:rPr>
        <w:t>types, pooled data from 2009–10 to 2018–19</w:t>
      </w:r>
      <w:bookmarkEnd w:id="40"/>
    </w:p>
    <w:tbl>
      <w:tblPr>
        <w:tblStyle w:val="DefaultTable11"/>
        <w:tblW w:w="5000" w:type="pct"/>
        <w:tblLook w:val="04A0" w:firstRow="1" w:lastRow="0" w:firstColumn="1" w:lastColumn="0" w:noHBand="0" w:noVBand="1"/>
      </w:tblPr>
      <w:tblGrid>
        <w:gridCol w:w="1895"/>
        <w:gridCol w:w="1895"/>
        <w:gridCol w:w="1895"/>
        <w:gridCol w:w="1895"/>
        <w:gridCol w:w="1895"/>
      </w:tblGrid>
      <w:tr w:rsidR="006E3394" w:rsidRPr="00654F9E" w14:paraId="08F5E503" w14:textId="77777777" w:rsidTr="006E339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0" w:type="pct"/>
          </w:tcPr>
          <w:p w14:paraId="4A5670B4" w14:textId="77777777" w:rsidR="006E3394" w:rsidRPr="008E534F" w:rsidRDefault="006E3394" w:rsidP="006E3394">
            <w:pPr>
              <w:pStyle w:val="Tablerowcolumnheading"/>
              <w:keepNext/>
              <w:rPr>
                <w:b/>
                <w:sz w:val="22"/>
                <w:szCs w:val="22"/>
              </w:rPr>
            </w:pPr>
            <w:r>
              <w:rPr>
                <w:b/>
                <w:sz w:val="22"/>
                <w:szCs w:val="22"/>
              </w:rPr>
              <w:t>Technology</w:t>
            </w:r>
          </w:p>
        </w:tc>
        <w:tc>
          <w:tcPr>
            <w:tcW w:w="1000" w:type="pct"/>
          </w:tcPr>
          <w:p w14:paraId="712E8540"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 of businesses</w:t>
            </w:r>
          </w:p>
          <w:p w14:paraId="20BADC9E"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Turnover</w:t>
            </w:r>
            <w:r w:rsidRPr="00D436E6">
              <w:rPr>
                <w:b/>
              </w:rPr>
              <w:br/>
              <w:t>Less than $200,000</w:t>
            </w:r>
          </w:p>
        </w:tc>
        <w:tc>
          <w:tcPr>
            <w:tcW w:w="1000" w:type="pct"/>
          </w:tcPr>
          <w:p w14:paraId="3BAE5052"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 of businesses</w:t>
            </w:r>
          </w:p>
          <w:p w14:paraId="294C3919"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sz w:val="22"/>
              </w:rPr>
            </w:pPr>
            <w:r w:rsidRPr="00D436E6">
              <w:rPr>
                <w:b/>
              </w:rPr>
              <w:t>Turnover</w:t>
            </w:r>
            <w:r w:rsidRPr="00D436E6">
              <w:rPr>
                <w:b/>
              </w:rPr>
              <w:br/>
              <w:t>$200,000 or more</w:t>
            </w:r>
          </w:p>
        </w:tc>
        <w:tc>
          <w:tcPr>
            <w:tcW w:w="1000" w:type="pct"/>
          </w:tcPr>
          <w:p w14:paraId="6C374FB8"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 of businesses</w:t>
            </w:r>
          </w:p>
          <w:p w14:paraId="20FA254E"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Turnover</w:t>
            </w:r>
            <w:r w:rsidRPr="00D436E6">
              <w:rPr>
                <w:b/>
              </w:rPr>
              <w:br/>
              <w:t>Less than 200</w:t>
            </w:r>
          </w:p>
        </w:tc>
        <w:tc>
          <w:tcPr>
            <w:tcW w:w="1000" w:type="pct"/>
          </w:tcPr>
          <w:p w14:paraId="3775E4B3"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 of businesses</w:t>
            </w:r>
          </w:p>
          <w:p w14:paraId="40D365D1" w14:textId="77777777" w:rsidR="006E3394" w:rsidRPr="00D436E6" w:rsidRDefault="006E3394" w:rsidP="006E3394">
            <w:pPr>
              <w:pStyle w:val="Tablerowcolumnheadingcentred"/>
              <w:cnfStyle w:val="100000000000" w:firstRow="1" w:lastRow="0" w:firstColumn="0" w:lastColumn="0" w:oddVBand="0" w:evenVBand="0" w:oddHBand="0" w:evenHBand="0" w:firstRowFirstColumn="0" w:firstRowLastColumn="0" w:lastRowFirstColumn="0" w:lastRowLastColumn="0"/>
              <w:rPr>
                <w:b/>
                <w:sz w:val="22"/>
              </w:rPr>
            </w:pPr>
            <w:r w:rsidRPr="00D436E6">
              <w:rPr>
                <w:b/>
              </w:rPr>
              <w:t>Turnover</w:t>
            </w:r>
            <w:r w:rsidRPr="00D436E6">
              <w:rPr>
                <w:b/>
              </w:rPr>
              <w:br/>
              <w:t>200 or more</w:t>
            </w:r>
          </w:p>
        </w:tc>
      </w:tr>
      <w:tr w:rsidR="006E3394" w:rsidRPr="00654F9E" w14:paraId="13F36861" w14:textId="77777777" w:rsidTr="006E3394">
        <w:trPr>
          <w:cantSplit/>
        </w:trPr>
        <w:tc>
          <w:tcPr>
            <w:cnfStyle w:val="001000000000" w:firstRow="0" w:lastRow="0" w:firstColumn="1" w:lastColumn="0" w:oddVBand="0" w:evenVBand="0" w:oddHBand="0" w:evenHBand="0" w:firstRowFirstColumn="0" w:firstRowLastColumn="0" w:lastRowFirstColumn="0" w:lastRowLastColumn="0"/>
            <w:tcW w:w="1000" w:type="pct"/>
          </w:tcPr>
          <w:p w14:paraId="5C5F4EA6" w14:textId="77777777" w:rsidR="006E3394" w:rsidRPr="00705B49" w:rsidRDefault="006E3394" w:rsidP="006E3394">
            <w:pPr>
              <w:keepNext/>
            </w:pPr>
            <w:r w:rsidRPr="00705B49">
              <w:t xml:space="preserve">No broadband </w:t>
            </w:r>
          </w:p>
        </w:tc>
        <w:tc>
          <w:tcPr>
            <w:tcW w:w="1000" w:type="pct"/>
          </w:tcPr>
          <w:p w14:paraId="4F5916BD"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12</w:t>
            </w:r>
          </w:p>
        </w:tc>
        <w:tc>
          <w:tcPr>
            <w:tcW w:w="1000" w:type="pct"/>
          </w:tcPr>
          <w:p w14:paraId="27CA21BC"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3</w:t>
            </w:r>
          </w:p>
        </w:tc>
        <w:tc>
          <w:tcPr>
            <w:tcW w:w="1000" w:type="pct"/>
          </w:tcPr>
          <w:p w14:paraId="107CF14E"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5</w:t>
            </w:r>
          </w:p>
        </w:tc>
        <w:tc>
          <w:tcPr>
            <w:tcW w:w="1000" w:type="pct"/>
          </w:tcPr>
          <w:p w14:paraId="2442062B"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0</w:t>
            </w:r>
          </w:p>
        </w:tc>
      </w:tr>
      <w:tr w:rsidR="006E3394" w:rsidRPr="00654F9E" w14:paraId="66AF5BA5" w14:textId="77777777" w:rsidTr="006E33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0" w:type="pct"/>
          </w:tcPr>
          <w:p w14:paraId="7BF81306" w14:textId="77777777" w:rsidR="006E3394" w:rsidRPr="00705B49" w:rsidRDefault="006E3394" w:rsidP="006E3394">
            <w:pPr>
              <w:keepNext/>
            </w:pPr>
            <w:r w:rsidRPr="00705B49">
              <w:t>DSL</w:t>
            </w:r>
          </w:p>
        </w:tc>
        <w:tc>
          <w:tcPr>
            <w:tcW w:w="1000" w:type="pct"/>
          </w:tcPr>
          <w:p w14:paraId="76FEB973"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52</w:t>
            </w:r>
          </w:p>
        </w:tc>
        <w:tc>
          <w:tcPr>
            <w:tcW w:w="1000" w:type="pct"/>
          </w:tcPr>
          <w:p w14:paraId="251D5CC0"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61</w:t>
            </w:r>
          </w:p>
        </w:tc>
        <w:tc>
          <w:tcPr>
            <w:tcW w:w="1000" w:type="pct"/>
          </w:tcPr>
          <w:p w14:paraId="727C01D8"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63</w:t>
            </w:r>
          </w:p>
        </w:tc>
        <w:tc>
          <w:tcPr>
            <w:tcW w:w="1000" w:type="pct"/>
          </w:tcPr>
          <w:p w14:paraId="1A5FC258"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48</w:t>
            </w:r>
          </w:p>
        </w:tc>
      </w:tr>
      <w:tr w:rsidR="006E3394" w:rsidRPr="00654F9E" w14:paraId="0C7414F4" w14:textId="77777777" w:rsidTr="006E3394">
        <w:trPr>
          <w:cantSplit/>
        </w:trPr>
        <w:tc>
          <w:tcPr>
            <w:cnfStyle w:val="001000000000" w:firstRow="0" w:lastRow="0" w:firstColumn="1" w:lastColumn="0" w:oddVBand="0" w:evenVBand="0" w:oddHBand="0" w:evenHBand="0" w:firstRowFirstColumn="0" w:firstRowLastColumn="0" w:lastRowFirstColumn="0" w:lastRowLastColumn="0"/>
            <w:tcW w:w="1000" w:type="pct"/>
          </w:tcPr>
          <w:p w14:paraId="705BB330" w14:textId="77777777" w:rsidR="006E3394" w:rsidRPr="00705B49" w:rsidRDefault="006E3394" w:rsidP="006E3394">
            <w:pPr>
              <w:keepNext/>
            </w:pPr>
            <w:r w:rsidRPr="00705B49">
              <w:t>Fibre</w:t>
            </w:r>
          </w:p>
        </w:tc>
        <w:tc>
          <w:tcPr>
            <w:tcW w:w="1000" w:type="pct"/>
          </w:tcPr>
          <w:p w14:paraId="08F62802"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4</w:t>
            </w:r>
          </w:p>
        </w:tc>
        <w:tc>
          <w:tcPr>
            <w:tcW w:w="1000" w:type="pct"/>
          </w:tcPr>
          <w:p w14:paraId="66699A09"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13</w:t>
            </w:r>
          </w:p>
        </w:tc>
        <w:tc>
          <w:tcPr>
            <w:tcW w:w="1000" w:type="pct"/>
          </w:tcPr>
          <w:p w14:paraId="7C4725C8"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8</w:t>
            </w:r>
          </w:p>
        </w:tc>
        <w:tc>
          <w:tcPr>
            <w:tcW w:w="1000" w:type="pct"/>
          </w:tcPr>
          <w:p w14:paraId="508153AE"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29</w:t>
            </w:r>
          </w:p>
        </w:tc>
      </w:tr>
      <w:tr w:rsidR="006E3394" w:rsidRPr="00654F9E" w14:paraId="3F2D8F5E" w14:textId="77777777" w:rsidTr="006E33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0" w:type="pct"/>
          </w:tcPr>
          <w:p w14:paraId="5C5486D7" w14:textId="77777777" w:rsidR="006E3394" w:rsidRPr="00705B49" w:rsidRDefault="006E3394" w:rsidP="006E3394">
            <w:pPr>
              <w:keepNext/>
            </w:pPr>
            <w:r w:rsidRPr="00705B49">
              <w:t>Cable</w:t>
            </w:r>
          </w:p>
        </w:tc>
        <w:tc>
          <w:tcPr>
            <w:tcW w:w="1000" w:type="pct"/>
          </w:tcPr>
          <w:p w14:paraId="31C5DAC5"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7</w:t>
            </w:r>
          </w:p>
        </w:tc>
        <w:tc>
          <w:tcPr>
            <w:tcW w:w="1000" w:type="pct"/>
          </w:tcPr>
          <w:p w14:paraId="0E668A4A"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7</w:t>
            </w:r>
          </w:p>
        </w:tc>
        <w:tc>
          <w:tcPr>
            <w:tcW w:w="1000" w:type="pct"/>
          </w:tcPr>
          <w:p w14:paraId="0ED400BE"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6</w:t>
            </w:r>
          </w:p>
        </w:tc>
        <w:tc>
          <w:tcPr>
            <w:tcW w:w="1000" w:type="pct"/>
          </w:tcPr>
          <w:p w14:paraId="762D33EA"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13</w:t>
            </w:r>
          </w:p>
        </w:tc>
      </w:tr>
      <w:tr w:rsidR="006E3394" w:rsidRPr="00654F9E" w14:paraId="0BD67634" w14:textId="77777777" w:rsidTr="006E3394">
        <w:trPr>
          <w:cantSplit/>
        </w:trPr>
        <w:tc>
          <w:tcPr>
            <w:cnfStyle w:val="001000000000" w:firstRow="0" w:lastRow="0" w:firstColumn="1" w:lastColumn="0" w:oddVBand="0" w:evenVBand="0" w:oddHBand="0" w:evenHBand="0" w:firstRowFirstColumn="0" w:firstRowLastColumn="0" w:lastRowFirstColumn="0" w:lastRowLastColumn="0"/>
            <w:tcW w:w="1000" w:type="pct"/>
          </w:tcPr>
          <w:p w14:paraId="51E1F0A0" w14:textId="4DD43FBA" w:rsidR="006E3394" w:rsidRPr="00705B49" w:rsidRDefault="006E3394" w:rsidP="006E3394">
            <w:pPr>
              <w:keepNext/>
            </w:pPr>
            <w:r w:rsidRPr="00705B49">
              <w:t>Fi</w:t>
            </w:r>
            <w:r w:rsidR="000F7F63">
              <w:t>x</w:t>
            </w:r>
            <w:r w:rsidRPr="00705B49">
              <w:t>ed wireless</w:t>
            </w:r>
          </w:p>
        </w:tc>
        <w:tc>
          <w:tcPr>
            <w:tcW w:w="1000" w:type="pct"/>
          </w:tcPr>
          <w:p w14:paraId="63D8FE0B"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10</w:t>
            </w:r>
          </w:p>
        </w:tc>
        <w:tc>
          <w:tcPr>
            <w:tcW w:w="1000" w:type="pct"/>
          </w:tcPr>
          <w:p w14:paraId="1696D69F"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8</w:t>
            </w:r>
          </w:p>
        </w:tc>
        <w:tc>
          <w:tcPr>
            <w:tcW w:w="1000" w:type="pct"/>
          </w:tcPr>
          <w:p w14:paraId="33B45772"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9</w:t>
            </w:r>
          </w:p>
        </w:tc>
        <w:tc>
          <w:tcPr>
            <w:tcW w:w="1000" w:type="pct"/>
          </w:tcPr>
          <w:p w14:paraId="288B8768"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5</w:t>
            </w:r>
          </w:p>
        </w:tc>
      </w:tr>
      <w:tr w:rsidR="006E3394" w:rsidRPr="00654F9E" w14:paraId="2238E8A9" w14:textId="77777777" w:rsidTr="006E33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0" w:type="pct"/>
          </w:tcPr>
          <w:p w14:paraId="3D815F10" w14:textId="77777777" w:rsidR="006E3394" w:rsidRPr="00705B49" w:rsidRDefault="006E3394" w:rsidP="006E3394">
            <w:pPr>
              <w:keepNext/>
            </w:pPr>
            <w:r w:rsidRPr="00705B49">
              <w:t>Mobile wireless</w:t>
            </w:r>
          </w:p>
        </w:tc>
        <w:tc>
          <w:tcPr>
            <w:tcW w:w="1000" w:type="pct"/>
          </w:tcPr>
          <w:p w14:paraId="2728CF2B"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12</w:t>
            </w:r>
          </w:p>
        </w:tc>
        <w:tc>
          <w:tcPr>
            <w:tcW w:w="1000" w:type="pct"/>
          </w:tcPr>
          <w:p w14:paraId="63A05CBE"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5</w:t>
            </w:r>
          </w:p>
        </w:tc>
        <w:tc>
          <w:tcPr>
            <w:tcW w:w="1000" w:type="pct"/>
          </w:tcPr>
          <w:p w14:paraId="1A12C0BD"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7</w:t>
            </w:r>
          </w:p>
        </w:tc>
        <w:tc>
          <w:tcPr>
            <w:tcW w:w="1000" w:type="pct"/>
          </w:tcPr>
          <w:p w14:paraId="5C78D2B9"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2</w:t>
            </w:r>
          </w:p>
        </w:tc>
      </w:tr>
      <w:tr w:rsidR="006E3394" w:rsidRPr="00654F9E" w14:paraId="23C6B65C" w14:textId="77777777" w:rsidTr="006E3394">
        <w:trPr>
          <w:cantSplit/>
        </w:trPr>
        <w:tc>
          <w:tcPr>
            <w:cnfStyle w:val="001000000000" w:firstRow="0" w:lastRow="0" w:firstColumn="1" w:lastColumn="0" w:oddVBand="0" w:evenVBand="0" w:oddHBand="0" w:evenHBand="0" w:firstRowFirstColumn="0" w:firstRowLastColumn="0" w:lastRowFirstColumn="0" w:lastRowLastColumn="0"/>
            <w:tcW w:w="1000" w:type="pct"/>
          </w:tcPr>
          <w:p w14:paraId="7C4272FB" w14:textId="77777777" w:rsidR="006E3394" w:rsidRPr="00705B49" w:rsidRDefault="006E3394" w:rsidP="006E3394">
            <w:pPr>
              <w:keepNext/>
            </w:pPr>
            <w:r w:rsidRPr="00705B49">
              <w:t>Satellite</w:t>
            </w:r>
          </w:p>
        </w:tc>
        <w:tc>
          <w:tcPr>
            <w:tcW w:w="1000" w:type="pct"/>
          </w:tcPr>
          <w:p w14:paraId="1C42145A"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3</w:t>
            </w:r>
          </w:p>
        </w:tc>
        <w:tc>
          <w:tcPr>
            <w:tcW w:w="1000" w:type="pct"/>
          </w:tcPr>
          <w:p w14:paraId="2E137C44"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2</w:t>
            </w:r>
          </w:p>
        </w:tc>
        <w:tc>
          <w:tcPr>
            <w:tcW w:w="1000" w:type="pct"/>
          </w:tcPr>
          <w:p w14:paraId="3C92FFB1"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2</w:t>
            </w:r>
          </w:p>
        </w:tc>
        <w:tc>
          <w:tcPr>
            <w:tcW w:w="1000" w:type="pct"/>
          </w:tcPr>
          <w:p w14:paraId="6E67EB9C" w14:textId="77777777" w:rsidR="006E3394" w:rsidRPr="00705B49" w:rsidRDefault="006E3394" w:rsidP="006E3394">
            <w:pPr>
              <w:keepNext/>
              <w:ind w:right="810"/>
              <w:jc w:val="right"/>
              <w:cnfStyle w:val="000000000000" w:firstRow="0" w:lastRow="0" w:firstColumn="0" w:lastColumn="0" w:oddVBand="0" w:evenVBand="0" w:oddHBand="0" w:evenHBand="0" w:firstRowFirstColumn="0" w:firstRowLastColumn="0" w:lastRowFirstColumn="0" w:lastRowLastColumn="0"/>
            </w:pPr>
            <w:r w:rsidRPr="00705B49">
              <w:t>0</w:t>
            </w:r>
          </w:p>
        </w:tc>
      </w:tr>
      <w:tr w:rsidR="006E3394" w:rsidRPr="00654F9E" w14:paraId="347CDB65" w14:textId="77777777" w:rsidTr="006E33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0" w:type="pct"/>
          </w:tcPr>
          <w:p w14:paraId="194EB679" w14:textId="77777777" w:rsidR="006E3394" w:rsidRPr="00705B49" w:rsidRDefault="006E3394" w:rsidP="006E3394">
            <w:pPr>
              <w:keepNext/>
            </w:pPr>
            <w:r w:rsidRPr="00705B49">
              <w:t>Other</w:t>
            </w:r>
          </w:p>
        </w:tc>
        <w:tc>
          <w:tcPr>
            <w:tcW w:w="1000" w:type="pct"/>
          </w:tcPr>
          <w:p w14:paraId="7BBB0BA2"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0</w:t>
            </w:r>
          </w:p>
        </w:tc>
        <w:tc>
          <w:tcPr>
            <w:tcW w:w="1000" w:type="pct"/>
          </w:tcPr>
          <w:p w14:paraId="51BA3139"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1</w:t>
            </w:r>
          </w:p>
        </w:tc>
        <w:tc>
          <w:tcPr>
            <w:tcW w:w="1000" w:type="pct"/>
          </w:tcPr>
          <w:p w14:paraId="6EFF3CC8"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0</w:t>
            </w:r>
          </w:p>
        </w:tc>
        <w:tc>
          <w:tcPr>
            <w:tcW w:w="1000" w:type="pct"/>
          </w:tcPr>
          <w:p w14:paraId="50CBC622" w14:textId="77777777" w:rsidR="006E3394" w:rsidRPr="00705B49" w:rsidRDefault="006E3394" w:rsidP="006E3394">
            <w:pPr>
              <w:keepNext/>
              <w:ind w:right="810"/>
              <w:jc w:val="right"/>
              <w:cnfStyle w:val="000000010000" w:firstRow="0" w:lastRow="0" w:firstColumn="0" w:lastColumn="0" w:oddVBand="0" w:evenVBand="0" w:oddHBand="0" w:evenHBand="1" w:firstRowFirstColumn="0" w:firstRowLastColumn="0" w:lastRowFirstColumn="0" w:lastRowLastColumn="0"/>
            </w:pPr>
            <w:r w:rsidRPr="00705B49">
              <w:t>2</w:t>
            </w:r>
          </w:p>
        </w:tc>
      </w:tr>
    </w:tbl>
    <w:p w14:paraId="34F991C0" w14:textId="77777777" w:rsidR="00494CC3" w:rsidRPr="00705B49" w:rsidRDefault="00494CC3" w:rsidP="006E3394">
      <w:pPr>
        <w:pStyle w:val="Sourcenotes"/>
      </w:pPr>
      <w:r w:rsidRPr="00705B49">
        <w:t xml:space="preserve">Source: BCARR analysis of Business Characteristics Survey and BLADE data in </w:t>
      </w:r>
      <w:proofErr w:type="spellStart"/>
      <w:r w:rsidRPr="00705B49">
        <w:t>DataLab</w:t>
      </w:r>
      <w:proofErr w:type="spellEnd"/>
      <w:r w:rsidRPr="00705B49">
        <w:t>, pooled data from 2009–10 to 2018–19.</w:t>
      </w:r>
    </w:p>
    <w:p w14:paraId="65594758" w14:textId="77777777" w:rsidR="00494CC3" w:rsidRPr="00705B49" w:rsidRDefault="00494CC3" w:rsidP="00494CC3">
      <w:r w:rsidRPr="00705B49">
        <w:t xml:space="preserve">Businesses in regional and remote areas have lower rates of broadband adoption than those in major cities. </w:t>
      </w:r>
      <w:r w:rsidRPr="00705B49">
        <w:fldChar w:fldCharType="begin"/>
      </w:r>
      <w:r w:rsidRPr="00705B49">
        <w:instrText xml:space="preserve"> REF _Ref105068823 \h  \* MERGEFORMAT </w:instrText>
      </w:r>
      <w:r w:rsidRPr="00705B49">
        <w:fldChar w:fldCharType="separate"/>
      </w:r>
      <w:r w:rsidRPr="00705B49">
        <w:t xml:space="preserve">Figure </w:t>
      </w:r>
      <w:r w:rsidRPr="00705B49">
        <w:rPr>
          <w:noProof/>
        </w:rPr>
        <w:t>3</w:t>
      </w:r>
      <w:r w:rsidRPr="00705B49">
        <w:fldChar w:fldCharType="end"/>
      </w:r>
      <w:r w:rsidRPr="00705B49">
        <w:t xml:space="preserve"> shows businesses located outside of major cities have higher proportions of fixed wireless, mobile wireless and satellite broadband usage relative to major cities. In contrast, broadband connections in major cities are more often fibre or cable-based.</w:t>
      </w:r>
    </w:p>
    <w:p w14:paraId="2D12D795" w14:textId="77777777" w:rsidR="006E3394" w:rsidRDefault="00494CC3" w:rsidP="00FF191D">
      <w:pPr>
        <w:pStyle w:val="Tablefigureheading"/>
      </w:pPr>
      <w:bookmarkStart w:id="41" w:name="_Ref105068823"/>
      <w:bookmarkStart w:id="42" w:name="_Ref89941948"/>
      <w:bookmarkStart w:id="43" w:name="_Toc90041185"/>
      <w:bookmarkStart w:id="44" w:name="_Toc97652721"/>
      <w:bookmarkStart w:id="45" w:name="_Toc115175380"/>
      <w:bookmarkStart w:id="46" w:name="_Toc129767614"/>
      <w:bookmarkStart w:id="47" w:name="_Hlk116471749"/>
      <w:r w:rsidRPr="00705B49">
        <w:t xml:space="preserve">Figure </w:t>
      </w:r>
      <w:r w:rsidRPr="00D51360">
        <w:rPr>
          <w:iCs/>
        </w:rPr>
        <w:fldChar w:fldCharType="begin"/>
      </w:r>
      <w:r w:rsidRPr="00D51360">
        <w:rPr>
          <w:iCs/>
        </w:rPr>
        <w:instrText xml:space="preserve"> SEQ Figure \* ARABIC </w:instrText>
      </w:r>
      <w:r w:rsidRPr="00D51360">
        <w:rPr>
          <w:iCs/>
        </w:rPr>
        <w:fldChar w:fldCharType="separate"/>
      </w:r>
      <w:r w:rsidRPr="00D51360">
        <w:rPr>
          <w:iCs/>
          <w:noProof/>
        </w:rPr>
        <w:t>3</w:t>
      </w:r>
      <w:r w:rsidRPr="00D51360">
        <w:rPr>
          <w:iCs/>
          <w:noProof/>
        </w:rPr>
        <w:fldChar w:fldCharType="end"/>
      </w:r>
      <w:bookmarkEnd w:id="41"/>
      <w:r w:rsidRPr="00705B49">
        <w:t>.</w:t>
      </w:r>
      <w:bookmarkEnd w:id="42"/>
      <w:r w:rsidRPr="00705B49">
        <w:t xml:space="preserve"> Business broadband technology types by region</w:t>
      </w:r>
      <w:bookmarkEnd w:id="43"/>
      <w:r w:rsidRPr="00705B49">
        <w:t>, 2017–18 to 2018–19</w:t>
      </w:r>
      <w:bookmarkEnd w:id="44"/>
      <w:bookmarkEnd w:id="45"/>
      <w:bookmarkEnd w:id="46"/>
    </w:p>
    <w:p w14:paraId="46E53616" w14:textId="23E38C07" w:rsidR="006E3394" w:rsidRDefault="007B1607" w:rsidP="006E3394">
      <w:pPr>
        <w:pStyle w:val="NoSpacing"/>
      </w:pPr>
      <w:r w:rsidRPr="007B1607">
        <w:rPr>
          <w:noProof/>
        </w:rPr>
        <w:drawing>
          <wp:inline distT="0" distB="0" distL="0" distR="0" wp14:anchorId="5779C3BC" wp14:editId="59AE0361">
            <wp:extent cx="6016625" cy="3258080"/>
            <wp:effectExtent l="0" t="0" r="3175" b="0"/>
            <wp:docPr id="7" name="Picture 7" descr="This stacked column chart shows the broadband technology types by region. Using a two-year average of broadband connection types between 2017-18 and 2018-19. &#10;Of the broadband connections in major cities of Australia, 45 per cent were DSL, 31 per cent were fibre/cable, 21 per cent were fixed/mobile wireless, 1 per cent were satellite and 3 per cent were none.&#10;Of the broadband connections in inner and outer regional Australia, 35 per cent were DSL, 18 per cent were fibre/cable, 38 per cent were fixed/mobile wireless, 6 per cent were satellite and 3 per cent were none. &#10;Of the broadband connections in remote and very remote Australia, 30 per cent were DSL, 12 per cent were fibre/cable, 32 per cent were fixed/mobile wireless, 17 per cent were satellite and 9 per cent were n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6625" cy="3258080"/>
                    </a:xfrm>
                    <a:prstGeom prst="rect">
                      <a:avLst/>
                    </a:prstGeom>
                    <a:noFill/>
                    <a:ln>
                      <a:noFill/>
                    </a:ln>
                  </pic:spPr>
                </pic:pic>
              </a:graphicData>
            </a:graphic>
          </wp:inline>
        </w:drawing>
      </w:r>
    </w:p>
    <w:p w14:paraId="6258C45B" w14:textId="77777777" w:rsidR="00494CC3" w:rsidRPr="00705B49" w:rsidRDefault="00494CC3" w:rsidP="006E3394">
      <w:pPr>
        <w:pStyle w:val="Sourcenotes"/>
        <w:rPr>
          <w:lang w:val="en-US"/>
        </w:rPr>
      </w:pPr>
      <w:r w:rsidRPr="00705B49">
        <w:rPr>
          <w:lang w:val="en-AU"/>
        </w:rPr>
        <w:t>Source: BCARR analysis of Business Characteristics Survey data and experimental location data from BLADE. Two year-average of broadband connection types between 2017</w:t>
      </w:r>
      <w:r w:rsidRPr="00705B49">
        <w:t>–18</w:t>
      </w:r>
      <w:r w:rsidRPr="00705B49">
        <w:rPr>
          <w:lang w:val="en-US"/>
        </w:rPr>
        <w:t xml:space="preserve"> and 2018</w:t>
      </w:r>
      <w:r w:rsidRPr="00705B49">
        <w:t>–19</w:t>
      </w:r>
      <w:r w:rsidRPr="00705B49">
        <w:rPr>
          <w:lang w:val="en-US"/>
        </w:rPr>
        <w:t>.</w:t>
      </w:r>
    </w:p>
    <w:bookmarkEnd w:id="47"/>
    <w:p w14:paraId="0271B326" w14:textId="77777777" w:rsidR="00494CC3" w:rsidRPr="00705B49" w:rsidRDefault="00494CC3" w:rsidP="00494CC3">
      <w:r w:rsidRPr="00705B49">
        <w:t>Survey data also confirms that broadband adoption depends on industry type. In 2018–19, urban-based technology-reliant industries such as telecommunications and financial services have the greatest share of fibre and cable-based connections, while agriculture</w:t>
      </w:r>
      <w:r>
        <w:t>,</w:t>
      </w:r>
      <w:r w:rsidRPr="00705B49">
        <w:t xml:space="preserve"> which is </w:t>
      </w:r>
      <w:r w:rsidR="004B30F2">
        <w:t xml:space="preserve">comprised of businesses that are </w:t>
      </w:r>
      <w:r w:rsidR="004B30F2">
        <w:lastRenderedPageBreak/>
        <w:t>generally located outside of the major cities</w:t>
      </w:r>
      <w:r>
        <w:t>,</w:t>
      </w:r>
      <w:r w:rsidRPr="00705B49">
        <w:t xml:space="preserve"> has the largest proportion of wireless and satellite services (</w:t>
      </w:r>
      <w:r w:rsidRPr="00705B49">
        <w:fldChar w:fldCharType="begin"/>
      </w:r>
      <w:r w:rsidRPr="00705B49">
        <w:instrText xml:space="preserve"> REF _Ref121150154 \h  \* MERGEFORMAT </w:instrText>
      </w:r>
      <w:r w:rsidRPr="00705B49">
        <w:fldChar w:fldCharType="separate"/>
      </w:r>
      <w:r w:rsidRPr="00705B49">
        <w:rPr>
          <w:iCs/>
          <w:szCs w:val="18"/>
        </w:rPr>
        <w:t xml:space="preserve">Figure </w:t>
      </w:r>
      <w:r w:rsidRPr="00705B49">
        <w:rPr>
          <w:iCs/>
          <w:noProof/>
          <w:szCs w:val="18"/>
        </w:rPr>
        <w:t>4</w:t>
      </w:r>
      <w:r w:rsidRPr="00705B49">
        <w:fldChar w:fldCharType="end"/>
      </w:r>
      <w:r w:rsidRPr="00705B49">
        <w:t xml:space="preserve">). </w:t>
      </w:r>
    </w:p>
    <w:p w14:paraId="5EF27558" w14:textId="77777777" w:rsidR="00494CC3" w:rsidRPr="00705B49" w:rsidRDefault="00494CC3" w:rsidP="00494CC3">
      <w:r w:rsidRPr="00705B49">
        <w:t>Over the decade, the transition from exchange</w:t>
      </w:r>
      <w:r w:rsidRPr="00705B49">
        <w:noBreakHyphen/>
        <w:t>based DSL to fibre-based broadband technologies was greatest for manufacturing and financial services industries with a decrease of around 40 percentage points in DSL connections between 2010–11 and 2019–20 (</w:t>
      </w:r>
      <w:r w:rsidRPr="00705B49">
        <w:fldChar w:fldCharType="begin"/>
      </w:r>
      <w:r w:rsidRPr="00705B49">
        <w:instrText xml:space="preserve"> REF _Ref121150154 \h  \* MERGEFORMAT </w:instrText>
      </w:r>
      <w:r w:rsidRPr="00705B49">
        <w:fldChar w:fldCharType="separate"/>
      </w:r>
      <w:r w:rsidRPr="00705B49">
        <w:rPr>
          <w:iCs/>
          <w:szCs w:val="18"/>
        </w:rPr>
        <w:t xml:space="preserve">Figure </w:t>
      </w:r>
      <w:r w:rsidRPr="00705B49">
        <w:rPr>
          <w:iCs/>
          <w:noProof/>
          <w:szCs w:val="18"/>
        </w:rPr>
        <w:t>4</w:t>
      </w:r>
      <w:r w:rsidRPr="00705B49">
        <w:fldChar w:fldCharType="end"/>
      </w:r>
      <w:r w:rsidRPr="00705B49">
        <w:t>).</w:t>
      </w:r>
      <w:r w:rsidRPr="00705B49">
        <w:rPr>
          <w:rStyle w:val="EndnoteReference"/>
        </w:rPr>
        <w:endnoteReference w:id="13"/>
      </w:r>
      <w:r w:rsidRPr="00705B49">
        <w:t xml:space="preserve"> These industries tend to involve operations that require automation and low broadband latency. At the other end of the scale, the share of DSL connections in agriculture decreased by only 11 percentage points between 2010–11 and 2019–20, although far fewer businesses in the sector reported having no broadband in 2019–20.</w:t>
      </w:r>
    </w:p>
    <w:p w14:paraId="168CA82F" w14:textId="77777777" w:rsidR="00494CC3" w:rsidRDefault="00494CC3" w:rsidP="00FF191D">
      <w:pPr>
        <w:pStyle w:val="Tablefigureheading"/>
      </w:pPr>
      <w:bookmarkStart w:id="48" w:name="_Ref115277783"/>
      <w:bookmarkStart w:id="49" w:name="_Ref121150154"/>
      <w:bookmarkStart w:id="50" w:name="_Toc129767615"/>
      <w:bookmarkStart w:id="51" w:name="_Toc115175381"/>
      <w:r w:rsidRPr="00705B49">
        <w:t xml:space="preserve">Figure </w:t>
      </w:r>
      <w:fldSimple w:instr=" SEQ Figure \* ARABIC ">
        <w:r w:rsidRPr="00705B49">
          <w:rPr>
            <w:noProof/>
          </w:rPr>
          <w:t>4</w:t>
        </w:r>
      </w:fldSimple>
      <w:bookmarkEnd w:id="48"/>
      <w:bookmarkEnd w:id="49"/>
      <w:r w:rsidRPr="00705B49">
        <w:t>. Connection type by industry</w:t>
      </w:r>
      <w:bookmarkEnd w:id="50"/>
    </w:p>
    <w:p w14:paraId="2D1CDD2E" w14:textId="77777777" w:rsidR="008C3EB2" w:rsidRPr="008C3EB2" w:rsidRDefault="008C3EB2" w:rsidP="008C3EB2">
      <w:pPr>
        <w:pStyle w:val="NoSpacing"/>
      </w:pPr>
      <w:r>
        <w:rPr>
          <w:noProof/>
        </w:rPr>
        <w:drawing>
          <wp:inline distT="0" distB="0" distL="0" distR="0" wp14:anchorId="60488A77" wp14:editId="59F4CF62">
            <wp:extent cx="6016625" cy="6737350"/>
            <wp:effectExtent l="0" t="0" r="3175" b="6350"/>
            <wp:docPr id="8" name="Picture 8" descr="This bar chart shows the broadband technology type by industry. &#10;In 2009 – 10 the most common broadband technology type is DSL with little usage of other technologies, across all industries. &#10;&#10;&#10;This bar chart shows the broadband technology type by industry. &#10;&#10;In 2018 – 19 the most common broadband technology type is fibre/cable and fixed/mobile wireless across all industries. DSL follows, with satellite only being common in the agriculture, forestry and fishing industr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16625" cy="6737350"/>
                    </a:xfrm>
                    <a:prstGeom prst="rect">
                      <a:avLst/>
                    </a:prstGeom>
                  </pic:spPr>
                </pic:pic>
              </a:graphicData>
            </a:graphic>
          </wp:inline>
        </w:drawing>
      </w:r>
    </w:p>
    <w:bookmarkEnd w:id="51"/>
    <w:p w14:paraId="475DF9D7" w14:textId="77777777" w:rsidR="00494CC3" w:rsidRPr="00705B49" w:rsidRDefault="00494CC3" w:rsidP="008C3EB2">
      <w:pPr>
        <w:pStyle w:val="Sourcenotes"/>
      </w:pPr>
      <w:r w:rsidRPr="00705B49">
        <w:t>Source: BCARR analysis of BLADE. 2018–19 data relies on imputation of a main broadband connection from a multi</w:t>
      </w:r>
      <w:r>
        <w:t xml:space="preserve">ple </w:t>
      </w:r>
      <w:r w:rsidRPr="00705B49">
        <w:t>response.</w:t>
      </w:r>
    </w:p>
    <w:p w14:paraId="7B46758F" w14:textId="77777777" w:rsidR="00494CC3" w:rsidRPr="00705B49" w:rsidRDefault="00494CC3" w:rsidP="008C3EB2">
      <w:pPr>
        <w:keepLines/>
      </w:pPr>
      <w:bookmarkStart w:id="52" w:name="_Hlk116303071"/>
      <w:r w:rsidRPr="00705B49">
        <w:lastRenderedPageBreak/>
        <w:t>Firms using fibre and cable</w:t>
      </w:r>
      <w:r w:rsidRPr="00705B49">
        <w:noBreakHyphen/>
        <w:t xml:space="preserve">based connections are making better use of high-growth digital technologies. </w:t>
      </w:r>
      <w:r w:rsidRPr="00705B49">
        <w:fldChar w:fldCharType="begin"/>
      </w:r>
      <w:r w:rsidRPr="00705B49">
        <w:instrText xml:space="preserve"> REF _Ref105761266 \h  \* MERGEFORMAT </w:instrText>
      </w:r>
      <w:r w:rsidRPr="00705B49">
        <w:fldChar w:fldCharType="separate"/>
      </w:r>
      <w:r w:rsidRPr="00705B49">
        <w:t xml:space="preserve">Table </w:t>
      </w:r>
      <w:r w:rsidRPr="00705B49">
        <w:rPr>
          <w:noProof/>
        </w:rPr>
        <w:t>3</w:t>
      </w:r>
      <w:r w:rsidRPr="00705B49">
        <w:fldChar w:fldCharType="end"/>
      </w:r>
      <w:r w:rsidRPr="00705B49">
        <w:t xml:space="preserve"> shows that 71 per cent of firms using fibre</w:t>
      </w:r>
      <w:r w:rsidRPr="00705B49">
        <w:noBreakHyphen/>
        <w:t>based connections and 65 per cent of firms using cable made use of cloud-based technologies either to a moderate or major extent. This is the highest amongst all broadband types, with DSL at 53 per cent. Cloud-based technologies generally require real-time data streaming, which has higher bandwidth requirements than other standard internet applications. This high use of cloud technology indicates that firms are taking advantage of the capabilities offered by high-speed broadband.</w:t>
      </w:r>
    </w:p>
    <w:p w14:paraId="5918E197" w14:textId="77777777" w:rsidR="00494CC3" w:rsidRPr="00705B49" w:rsidRDefault="00494CC3" w:rsidP="00FF191D">
      <w:pPr>
        <w:pStyle w:val="Tablefigureheading"/>
      </w:pPr>
      <w:bookmarkStart w:id="53" w:name="_Ref105761266"/>
      <w:bookmarkStart w:id="54" w:name="_Toc115175384"/>
      <w:bookmarkStart w:id="55" w:name="_Toc129767616"/>
      <w:bookmarkEnd w:id="52"/>
      <w:r w:rsidRPr="00705B49">
        <w:t xml:space="preserve">Table </w:t>
      </w:r>
      <w:fldSimple w:instr=" SEQ Table \* ARABIC ">
        <w:r w:rsidRPr="00705B49">
          <w:rPr>
            <w:noProof/>
          </w:rPr>
          <w:t>3</w:t>
        </w:r>
      </w:fldSimple>
      <w:bookmarkEnd w:id="53"/>
      <w:r w:rsidRPr="00705B49">
        <w:t>. Firm use of cloud-based technology, 2017–18</w:t>
      </w:r>
      <w:bookmarkEnd w:id="54"/>
      <w:bookmarkEnd w:id="55"/>
    </w:p>
    <w:tbl>
      <w:tblPr>
        <w:tblStyle w:val="DefaultTable1"/>
        <w:tblW w:w="9072" w:type="dxa"/>
        <w:tblLook w:val="04A0" w:firstRow="1" w:lastRow="0" w:firstColumn="1" w:lastColumn="0" w:noHBand="0" w:noVBand="1"/>
        <w:tblCaption w:val="Table 3. Firm use of cloud-based technology, 2017–18"/>
      </w:tblPr>
      <w:tblGrid>
        <w:gridCol w:w="2268"/>
        <w:gridCol w:w="2907"/>
        <w:gridCol w:w="3897"/>
      </w:tblGrid>
      <w:tr w:rsidR="00494CC3" w:rsidRPr="00705B49" w14:paraId="5D28993A" w14:textId="77777777" w:rsidTr="005518D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595959" w:themeColor="text1" w:themeTint="A6"/>
            </w:tcBorders>
            <w:shd w:val="clear" w:color="auto" w:fill="081E3E"/>
            <w:vAlign w:val="bottom"/>
          </w:tcPr>
          <w:p w14:paraId="2A933466" w14:textId="77777777" w:rsidR="00494CC3" w:rsidRPr="00705B49" w:rsidRDefault="00494CC3" w:rsidP="00494CC3">
            <w:pPr>
              <w:rPr>
                <w:b w:val="0"/>
              </w:rPr>
            </w:pPr>
            <w:r w:rsidRPr="00705B49">
              <w:t>Technology</w:t>
            </w:r>
          </w:p>
        </w:tc>
        <w:tc>
          <w:tcPr>
            <w:tcW w:w="2907" w:type="dxa"/>
            <w:tcBorders>
              <w:bottom w:val="single" w:sz="4" w:space="0" w:color="595959" w:themeColor="text1" w:themeTint="A6"/>
            </w:tcBorders>
            <w:shd w:val="clear" w:color="auto" w:fill="081E3E"/>
            <w:vAlign w:val="bottom"/>
          </w:tcPr>
          <w:p w14:paraId="6C4DFF06"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not at all/small extent (%)</w:t>
            </w:r>
          </w:p>
        </w:tc>
        <w:tc>
          <w:tcPr>
            <w:tcW w:w="3897" w:type="dxa"/>
            <w:tcBorders>
              <w:bottom w:val="single" w:sz="4" w:space="0" w:color="595959" w:themeColor="text1" w:themeTint="A6"/>
            </w:tcBorders>
            <w:shd w:val="clear" w:color="auto" w:fill="081E3E"/>
            <w:vAlign w:val="bottom"/>
          </w:tcPr>
          <w:p w14:paraId="073D7E72"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moderate/major extent (%)</w:t>
            </w:r>
          </w:p>
        </w:tc>
      </w:tr>
      <w:tr w:rsidR="00494CC3" w:rsidRPr="00705B49" w14:paraId="4125ABB5" w14:textId="77777777" w:rsidTr="005518D8">
        <w:trPr>
          <w:trHeight w:val="375"/>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4BB3B5"/>
            </w:tcBorders>
            <w:vAlign w:val="bottom"/>
          </w:tcPr>
          <w:p w14:paraId="798B40A6" w14:textId="77777777" w:rsidR="00494CC3" w:rsidRPr="00705B49" w:rsidRDefault="00494CC3" w:rsidP="00494CC3">
            <w:pPr>
              <w:rPr>
                <w:b w:val="0"/>
              </w:rPr>
            </w:pPr>
            <w:r w:rsidRPr="00705B49">
              <w:rPr>
                <w:rFonts w:cs="Calibri"/>
                <w:b w:val="0"/>
                <w:color w:val="000000"/>
                <w:szCs w:val="22"/>
              </w:rPr>
              <w:t>Fibre</w:t>
            </w:r>
          </w:p>
        </w:tc>
        <w:tc>
          <w:tcPr>
            <w:tcW w:w="2907" w:type="dxa"/>
            <w:tcBorders>
              <w:bottom w:val="single" w:sz="4" w:space="0" w:color="4BB3B5"/>
            </w:tcBorders>
            <w:vAlign w:val="bottom"/>
          </w:tcPr>
          <w:p w14:paraId="6E3C26CC" w14:textId="77777777" w:rsidR="00494CC3" w:rsidRPr="00705B49" w:rsidRDefault="00494CC3" w:rsidP="00494CC3">
            <w:pPr>
              <w:keepNext/>
              <w:ind w:right="1150"/>
              <w:jc w:val="right"/>
              <w:cnfStyle w:val="000000000000" w:firstRow="0" w:lastRow="0" w:firstColumn="0" w:lastColumn="0" w:oddVBand="0" w:evenVBand="0" w:oddHBand="0" w:evenHBand="0" w:firstRowFirstColumn="0" w:firstRowLastColumn="0" w:lastRowFirstColumn="0" w:lastRowLastColumn="0"/>
            </w:pPr>
            <w:r w:rsidRPr="00705B49">
              <w:t>29</w:t>
            </w:r>
          </w:p>
        </w:tc>
        <w:tc>
          <w:tcPr>
            <w:tcW w:w="3897" w:type="dxa"/>
            <w:tcBorders>
              <w:bottom w:val="single" w:sz="4" w:space="0" w:color="4BB3B5"/>
            </w:tcBorders>
            <w:vAlign w:val="bottom"/>
          </w:tcPr>
          <w:p w14:paraId="14A9621D" w14:textId="77777777" w:rsidR="00494CC3" w:rsidRPr="00705B49" w:rsidRDefault="00494CC3" w:rsidP="00494CC3">
            <w:pPr>
              <w:keepNext/>
              <w:ind w:right="1150"/>
              <w:jc w:val="right"/>
              <w:cnfStyle w:val="000000000000" w:firstRow="0" w:lastRow="0" w:firstColumn="0" w:lastColumn="0" w:oddVBand="0" w:evenVBand="0" w:oddHBand="0" w:evenHBand="0" w:firstRowFirstColumn="0" w:firstRowLastColumn="0" w:lastRowFirstColumn="0" w:lastRowLastColumn="0"/>
            </w:pPr>
            <w:r w:rsidRPr="00705B49">
              <w:t>71</w:t>
            </w:r>
          </w:p>
        </w:tc>
      </w:tr>
      <w:tr w:rsidR="00494CC3" w:rsidRPr="00705B49" w14:paraId="777BFC30" w14:textId="77777777" w:rsidTr="005518D8">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BB3B5"/>
              <w:bottom w:val="single" w:sz="4" w:space="0" w:color="4BB3B5"/>
            </w:tcBorders>
            <w:vAlign w:val="bottom"/>
          </w:tcPr>
          <w:p w14:paraId="5D3908EE" w14:textId="77777777" w:rsidR="00494CC3" w:rsidRPr="00705B49" w:rsidRDefault="00494CC3" w:rsidP="00494CC3">
            <w:pPr>
              <w:rPr>
                <w:b w:val="0"/>
              </w:rPr>
            </w:pPr>
            <w:r w:rsidRPr="00705B49">
              <w:rPr>
                <w:rFonts w:cs="Calibri"/>
                <w:b w:val="0"/>
                <w:color w:val="000000"/>
                <w:szCs w:val="22"/>
              </w:rPr>
              <w:t>Cable</w:t>
            </w:r>
          </w:p>
        </w:tc>
        <w:tc>
          <w:tcPr>
            <w:tcW w:w="2907" w:type="dxa"/>
            <w:tcBorders>
              <w:top w:val="single" w:sz="4" w:space="0" w:color="4BB3B5"/>
              <w:bottom w:val="single" w:sz="4" w:space="0" w:color="4BB3B5"/>
            </w:tcBorders>
            <w:vAlign w:val="bottom"/>
          </w:tcPr>
          <w:p w14:paraId="70188BEB" w14:textId="77777777" w:rsidR="00494CC3" w:rsidRPr="00705B49" w:rsidRDefault="00494CC3" w:rsidP="00494CC3">
            <w:pPr>
              <w:keepNext/>
              <w:ind w:right="1150"/>
              <w:jc w:val="right"/>
              <w:cnfStyle w:val="000000010000" w:firstRow="0" w:lastRow="0" w:firstColumn="0" w:lastColumn="0" w:oddVBand="0" w:evenVBand="0" w:oddHBand="0" w:evenHBand="1" w:firstRowFirstColumn="0" w:firstRowLastColumn="0" w:lastRowFirstColumn="0" w:lastRowLastColumn="0"/>
            </w:pPr>
            <w:r w:rsidRPr="00705B49">
              <w:t>35</w:t>
            </w:r>
          </w:p>
        </w:tc>
        <w:tc>
          <w:tcPr>
            <w:tcW w:w="3897" w:type="dxa"/>
            <w:tcBorders>
              <w:top w:val="single" w:sz="4" w:space="0" w:color="4BB3B5"/>
              <w:bottom w:val="single" w:sz="4" w:space="0" w:color="4BB3B5"/>
            </w:tcBorders>
            <w:vAlign w:val="bottom"/>
          </w:tcPr>
          <w:p w14:paraId="78BCA111" w14:textId="77777777" w:rsidR="00494CC3" w:rsidRPr="00705B49" w:rsidRDefault="00494CC3" w:rsidP="00494CC3">
            <w:pPr>
              <w:keepNext/>
              <w:ind w:right="1150"/>
              <w:jc w:val="right"/>
              <w:cnfStyle w:val="000000010000" w:firstRow="0" w:lastRow="0" w:firstColumn="0" w:lastColumn="0" w:oddVBand="0" w:evenVBand="0" w:oddHBand="0" w:evenHBand="1" w:firstRowFirstColumn="0" w:firstRowLastColumn="0" w:lastRowFirstColumn="0" w:lastRowLastColumn="0"/>
            </w:pPr>
            <w:r w:rsidRPr="00705B49">
              <w:t>65</w:t>
            </w:r>
          </w:p>
        </w:tc>
      </w:tr>
      <w:tr w:rsidR="00494CC3" w:rsidRPr="00705B49" w14:paraId="6BFCA709" w14:textId="77777777" w:rsidTr="005518D8">
        <w:trPr>
          <w:trHeight w:val="37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BB3B5"/>
              <w:bottom w:val="single" w:sz="4" w:space="0" w:color="4BB3B5"/>
            </w:tcBorders>
            <w:vAlign w:val="bottom"/>
          </w:tcPr>
          <w:p w14:paraId="6A86B6BE" w14:textId="77777777" w:rsidR="00494CC3" w:rsidRPr="00705B49" w:rsidRDefault="00494CC3" w:rsidP="00494CC3">
            <w:pPr>
              <w:rPr>
                <w:b w:val="0"/>
              </w:rPr>
            </w:pPr>
            <w:r w:rsidRPr="00705B49">
              <w:rPr>
                <w:rFonts w:cs="Calibri"/>
                <w:b w:val="0"/>
                <w:color w:val="000000"/>
                <w:szCs w:val="22"/>
              </w:rPr>
              <w:t>Fixed wireless</w:t>
            </w:r>
          </w:p>
        </w:tc>
        <w:tc>
          <w:tcPr>
            <w:tcW w:w="2907" w:type="dxa"/>
            <w:tcBorders>
              <w:top w:val="single" w:sz="4" w:space="0" w:color="4BB3B5"/>
              <w:bottom w:val="single" w:sz="4" w:space="0" w:color="4BB3B5"/>
            </w:tcBorders>
            <w:vAlign w:val="bottom"/>
          </w:tcPr>
          <w:p w14:paraId="4D1D9A39" w14:textId="77777777" w:rsidR="00494CC3" w:rsidRPr="00705B49" w:rsidRDefault="00494CC3" w:rsidP="00494CC3">
            <w:pPr>
              <w:keepNext/>
              <w:ind w:right="1150"/>
              <w:jc w:val="right"/>
              <w:cnfStyle w:val="000000000000" w:firstRow="0" w:lastRow="0" w:firstColumn="0" w:lastColumn="0" w:oddVBand="0" w:evenVBand="0" w:oddHBand="0" w:evenHBand="0" w:firstRowFirstColumn="0" w:firstRowLastColumn="0" w:lastRowFirstColumn="0" w:lastRowLastColumn="0"/>
            </w:pPr>
            <w:r w:rsidRPr="00705B49">
              <w:t>44</w:t>
            </w:r>
          </w:p>
        </w:tc>
        <w:tc>
          <w:tcPr>
            <w:tcW w:w="3897" w:type="dxa"/>
            <w:tcBorders>
              <w:top w:val="single" w:sz="4" w:space="0" w:color="4BB3B5"/>
              <w:bottom w:val="single" w:sz="4" w:space="0" w:color="4BB3B5"/>
            </w:tcBorders>
            <w:vAlign w:val="bottom"/>
          </w:tcPr>
          <w:p w14:paraId="03B25893" w14:textId="77777777" w:rsidR="00494CC3" w:rsidRPr="00705B49" w:rsidRDefault="00494CC3" w:rsidP="00494CC3">
            <w:pPr>
              <w:keepNext/>
              <w:ind w:right="1150"/>
              <w:jc w:val="right"/>
              <w:cnfStyle w:val="000000000000" w:firstRow="0" w:lastRow="0" w:firstColumn="0" w:lastColumn="0" w:oddVBand="0" w:evenVBand="0" w:oddHBand="0" w:evenHBand="0" w:firstRowFirstColumn="0" w:firstRowLastColumn="0" w:lastRowFirstColumn="0" w:lastRowLastColumn="0"/>
            </w:pPr>
            <w:r w:rsidRPr="00705B49">
              <w:t>56</w:t>
            </w:r>
          </w:p>
        </w:tc>
      </w:tr>
      <w:tr w:rsidR="00494CC3" w:rsidRPr="00705B49" w14:paraId="42F5F33D" w14:textId="77777777" w:rsidTr="005518D8">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BB3B5"/>
              <w:bottom w:val="single" w:sz="4" w:space="0" w:color="4BB3B5"/>
            </w:tcBorders>
            <w:vAlign w:val="bottom"/>
          </w:tcPr>
          <w:p w14:paraId="56A107D8" w14:textId="77777777" w:rsidR="00494CC3" w:rsidRPr="00705B49" w:rsidRDefault="00494CC3" w:rsidP="00494CC3">
            <w:pPr>
              <w:rPr>
                <w:b w:val="0"/>
              </w:rPr>
            </w:pPr>
            <w:r w:rsidRPr="00705B49">
              <w:rPr>
                <w:rFonts w:cs="Calibri"/>
                <w:b w:val="0"/>
                <w:color w:val="000000"/>
                <w:szCs w:val="22"/>
              </w:rPr>
              <w:t>DSL</w:t>
            </w:r>
          </w:p>
        </w:tc>
        <w:tc>
          <w:tcPr>
            <w:tcW w:w="2907" w:type="dxa"/>
            <w:tcBorders>
              <w:top w:val="single" w:sz="4" w:space="0" w:color="4BB3B5"/>
              <w:bottom w:val="single" w:sz="4" w:space="0" w:color="4BB3B5"/>
            </w:tcBorders>
            <w:vAlign w:val="bottom"/>
          </w:tcPr>
          <w:p w14:paraId="7AB6C1CE" w14:textId="77777777" w:rsidR="00494CC3" w:rsidRPr="00705B49" w:rsidRDefault="00494CC3" w:rsidP="00494CC3">
            <w:pPr>
              <w:keepNext/>
              <w:ind w:right="1150"/>
              <w:jc w:val="right"/>
              <w:cnfStyle w:val="000000010000" w:firstRow="0" w:lastRow="0" w:firstColumn="0" w:lastColumn="0" w:oddVBand="0" w:evenVBand="0" w:oddHBand="0" w:evenHBand="1" w:firstRowFirstColumn="0" w:firstRowLastColumn="0" w:lastRowFirstColumn="0" w:lastRowLastColumn="0"/>
            </w:pPr>
            <w:r w:rsidRPr="00705B49">
              <w:t>47</w:t>
            </w:r>
          </w:p>
        </w:tc>
        <w:tc>
          <w:tcPr>
            <w:tcW w:w="3897" w:type="dxa"/>
            <w:tcBorders>
              <w:top w:val="single" w:sz="4" w:space="0" w:color="4BB3B5"/>
              <w:bottom w:val="single" w:sz="4" w:space="0" w:color="4BB3B5"/>
            </w:tcBorders>
            <w:vAlign w:val="bottom"/>
          </w:tcPr>
          <w:p w14:paraId="503601F5" w14:textId="77777777" w:rsidR="00494CC3" w:rsidRPr="00705B49" w:rsidRDefault="00494CC3" w:rsidP="00494CC3">
            <w:pPr>
              <w:keepNext/>
              <w:ind w:right="1150"/>
              <w:jc w:val="right"/>
              <w:cnfStyle w:val="000000010000" w:firstRow="0" w:lastRow="0" w:firstColumn="0" w:lastColumn="0" w:oddVBand="0" w:evenVBand="0" w:oddHBand="0" w:evenHBand="1" w:firstRowFirstColumn="0" w:firstRowLastColumn="0" w:lastRowFirstColumn="0" w:lastRowLastColumn="0"/>
            </w:pPr>
            <w:r w:rsidRPr="00705B49">
              <w:t>53</w:t>
            </w:r>
          </w:p>
        </w:tc>
      </w:tr>
      <w:tr w:rsidR="00494CC3" w:rsidRPr="00705B49" w14:paraId="020CD67C" w14:textId="77777777" w:rsidTr="005518D8">
        <w:trPr>
          <w:trHeight w:val="37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BB3B5"/>
              <w:bottom w:val="single" w:sz="4" w:space="0" w:color="4BB3B5"/>
            </w:tcBorders>
            <w:vAlign w:val="bottom"/>
          </w:tcPr>
          <w:p w14:paraId="70813FD4" w14:textId="77777777" w:rsidR="00494CC3" w:rsidRPr="00705B49" w:rsidRDefault="00494CC3" w:rsidP="00494CC3">
            <w:pPr>
              <w:rPr>
                <w:b w:val="0"/>
              </w:rPr>
            </w:pPr>
            <w:r w:rsidRPr="00705B49">
              <w:rPr>
                <w:rFonts w:cs="Calibri"/>
                <w:b w:val="0"/>
                <w:color w:val="000000"/>
                <w:szCs w:val="22"/>
              </w:rPr>
              <w:t>Mobile wireless</w:t>
            </w:r>
          </w:p>
        </w:tc>
        <w:tc>
          <w:tcPr>
            <w:tcW w:w="2907" w:type="dxa"/>
            <w:tcBorders>
              <w:top w:val="single" w:sz="4" w:space="0" w:color="4BB3B5"/>
              <w:bottom w:val="single" w:sz="4" w:space="0" w:color="4BB3B5"/>
            </w:tcBorders>
            <w:vAlign w:val="bottom"/>
          </w:tcPr>
          <w:p w14:paraId="297A8B99" w14:textId="77777777" w:rsidR="00494CC3" w:rsidRPr="00705B49" w:rsidRDefault="00494CC3" w:rsidP="00494CC3">
            <w:pPr>
              <w:keepNext/>
              <w:ind w:right="1150"/>
              <w:jc w:val="right"/>
              <w:cnfStyle w:val="000000000000" w:firstRow="0" w:lastRow="0" w:firstColumn="0" w:lastColumn="0" w:oddVBand="0" w:evenVBand="0" w:oddHBand="0" w:evenHBand="0" w:firstRowFirstColumn="0" w:firstRowLastColumn="0" w:lastRowFirstColumn="0" w:lastRowLastColumn="0"/>
            </w:pPr>
            <w:r w:rsidRPr="00705B49">
              <w:t>56</w:t>
            </w:r>
          </w:p>
        </w:tc>
        <w:tc>
          <w:tcPr>
            <w:tcW w:w="3897" w:type="dxa"/>
            <w:tcBorders>
              <w:top w:val="single" w:sz="4" w:space="0" w:color="4BB3B5"/>
              <w:bottom w:val="single" w:sz="4" w:space="0" w:color="4BB3B5"/>
            </w:tcBorders>
            <w:vAlign w:val="bottom"/>
          </w:tcPr>
          <w:p w14:paraId="5D4A2F7E" w14:textId="77777777" w:rsidR="00494CC3" w:rsidRPr="00705B49" w:rsidRDefault="00494CC3" w:rsidP="00494CC3">
            <w:pPr>
              <w:keepNext/>
              <w:ind w:right="1150"/>
              <w:jc w:val="right"/>
              <w:cnfStyle w:val="000000000000" w:firstRow="0" w:lastRow="0" w:firstColumn="0" w:lastColumn="0" w:oddVBand="0" w:evenVBand="0" w:oddHBand="0" w:evenHBand="0" w:firstRowFirstColumn="0" w:firstRowLastColumn="0" w:lastRowFirstColumn="0" w:lastRowLastColumn="0"/>
            </w:pPr>
            <w:r w:rsidRPr="00705B49">
              <w:t>44</w:t>
            </w:r>
          </w:p>
        </w:tc>
      </w:tr>
      <w:tr w:rsidR="00494CC3" w:rsidRPr="00705B49" w14:paraId="0974F5EB" w14:textId="77777777" w:rsidTr="005518D8">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BB3B5"/>
              <w:bottom w:val="single" w:sz="4" w:space="0" w:color="4BB3B5"/>
            </w:tcBorders>
            <w:vAlign w:val="bottom"/>
          </w:tcPr>
          <w:p w14:paraId="418D0121" w14:textId="77777777" w:rsidR="00494CC3" w:rsidRPr="00705B49" w:rsidRDefault="00494CC3" w:rsidP="00494CC3">
            <w:pPr>
              <w:rPr>
                <w:b w:val="0"/>
              </w:rPr>
            </w:pPr>
            <w:r w:rsidRPr="00705B49">
              <w:rPr>
                <w:rFonts w:cs="Calibri"/>
                <w:b w:val="0"/>
                <w:color w:val="000000"/>
                <w:szCs w:val="22"/>
              </w:rPr>
              <w:t>Satellite</w:t>
            </w:r>
          </w:p>
        </w:tc>
        <w:tc>
          <w:tcPr>
            <w:tcW w:w="2907" w:type="dxa"/>
            <w:tcBorders>
              <w:top w:val="single" w:sz="4" w:space="0" w:color="4BB3B5"/>
              <w:bottom w:val="single" w:sz="4" w:space="0" w:color="4BB3B5"/>
            </w:tcBorders>
            <w:vAlign w:val="bottom"/>
          </w:tcPr>
          <w:p w14:paraId="59711DAA" w14:textId="77777777" w:rsidR="00494CC3" w:rsidRPr="00705B49" w:rsidRDefault="00494CC3" w:rsidP="00494CC3">
            <w:pPr>
              <w:keepNext/>
              <w:ind w:right="1150"/>
              <w:jc w:val="right"/>
              <w:cnfStyle w:val="000000010000" w:firstRow="0" w:lastRow="0" w:firstColumn="0" w:lastColumn="0" w:oddVBand="0" w:evenVBand="0" w:oddHBand="0" w:evenHBand="1" w:firstRowFirstColumn="0" w:firstRowLastColumn="0" w:lastRowFirstColumn="0" w:lastRowLastColumn="0"/>
            </w:pPr>
            <w:r w:rsidRPr="00705B49">
              <w:t>60</w:t>
            </w:r>
          </w:p>
        </w:tc>
        <w:tc>
          <w:tcPr>
            <w:tcW w:w="3897" w:type="dxa"/>
            <w:tcBorders>
              <w:top w:val="single" w:sz="4" w:space="0" w:color="4BB3B5"/>
              <w:bottom w:val="single" w:sz="4" w:space="0" w:color="4BB3B5"/>
            </w:tcBorders>
            <w:vAlign w:val="bottom"/>
          </w:tcPr>
          <w:p w14:paraId="638BE8F5" w14:textId="77777777" w:rsidR="00494CC3" w:rsidRPr="00705B49" w:rsidRDefault="00494CC3" w:rsidP="00494CC3">
            <w:pPr>
              <w:keepNext/>
              <w:ind w:right="1150"/>
              <w:jc w:val="right"/>
              <w:cnfStyle w:val="000000010000" w:firstRow="0" w:lastRow="0" w:firstColumn="0" w:lastColumn="0" w:oddVBand="0" w:evenVBand="0" w:oddHBand="0" w:evenHBand="1" w:firstRowFirstColumn="0" w:firstRowLastColumn="0" w:lastRowFirstColumn="0" w:lastRowLastColumn="0"/>
            </w:pPr>
            <w:r w:rsidRPr="00705B49">
              <w:t>40</w:t>
            </w:r>
          </w:p>
        </w:tc>
      </w:tr>
    </w:tbl>
    <w:p w14:paraId="670AF5F6" w14:textId="77777777" w:rsidR="00494CC3" w:rsidRPr="00705B49" w:rsidRDefault="00494CC3" w:rsidP="004B30F2">
      <w:pPr>
        <w:pStyle w:val="Sourcenotes"/>
        <w:rPr>
          <w:lang w:val="en-AU"/>
        </w:rPr>
      </w:pPr>
      <w:bookmarkStart w:id="56" w:name="_Toc90041200"/>
      <w:bookmarkStart w:id="57" w:name="_Toc97652751"/>
      <w:r w:rsidRPr="00705B49">
        <w:rPr>
          <w:lang w:val="en-AU"/>
        </w:rPr>
        <w:t xml:space="preserve">Source: BCARR analysis of Business Characteristics Survey data from BLADE, BLADE experimental </w:t>
      </w:r>
      <w:r w:rsidRPr="00EB43EE">
        <w:t>location</w:t>
      </w:r>
      <w:r w:rsidRPr="00705B49">
        <w:rPr>
          <w:lang w:val="en-AU"/>
        </w:rPr>
        <w:t xml:space="preserve"> data. </w:t>
      </w:r>
    </w:p>
    <w:p w14:paraId="2A8AC40C" w14:textId="77777777" w:rsidR="00494CC3" w:rsidRPr="00705B49" w:rsidRDefault="00494CC3" w:rsidP="008C3EB2">
      <w:pPr>
        <w:pStyle w:val="Heading2"/>
      </w:pPr>
      <w:bookmarkStart w:id="58" w:name="_Toc127374080"/>
      <w:bookmarkStart w:id="59" w:name="_Toc129777683"/>
      <w:r w:rsidRPr="00705B49">
        <w:lastRenderedPageBreak/>
        <w:t>Broadband and productivity</w:t>
      </w:r>
      <w:bookmarkEnd w:id="56"/>
      <w:bookmarkEnd w:id="57"/>
      <w:r w:rsidRPr="00705B49">
        <w:t xml:space="preserve"> growth</w:t>
      </w:r>
      <w:bookmarkEnd w:id="58"/>
      <w:bookmarkEnd w:id="59"/>
    </w:p>
    <w:p w14:paraId="288FC67E" w14:textId="77777777" w:rsidR="00494CC3" w:rsidRDefault="00494CC3" w:rsidP="00494CC3">
      <w:r w:rsidRPr="00705B49">
        <w:t>This section examines the potential relationship between broadband use and productivity growth at the firm level. It uses statistical analysis to compare productivity growth measures by broadband technology type and focuses on comparing fibre</w:t>
      </w:r>
      <w:r>
        <w:t xml:space="preserve"> and cable</w:t>
      </w:r>
      <w:r w:rsidRPr="00705B49">
        <w:noBreakHyphen/>
        <w:t>based connections with DSL connections. Several regression models are used to examine this relationship, controlling for firm and time-based factors which may also influence business productivity growth.</w:t>
      </w:r>
    </w:p>
    <w:p w14:paraId="2EBEAA37" w14:textId="77777777" w:rsidR="00494CC3" w:rsidRPr="00705B49" w:rsidRDefault="00494CC3" w:rsidP="00494CC3">
      <w:r w:rsidRPr="002E25DB">
        <w:t xml:space="preserve">The analysis uses Australian </w:t>
      </w:r>
      <w:r w:rsidR="004B30F2">
        <w:t>B</w:t>
      </w:r>
      <w:r w:rsidRPr="002E25DB">
        <w:t xml:space="preserve">usiness </w:t>
      </w:r>
      <w:r w:rsidR="004B30F2">
        <w:t>R</w:t>
      </w:r>
      <w:r w:rsidRPr="002E25DB">
        <w:t>egister</w:t>
      </w:r>
      <w:r w:rsidR="004B30F2">
        <w:t xml:space="preserve"> data</w:t>
      </w:r>
      <w:r w:rsidRPr="002E25DB">
        <w:t xml:space="preserve"> and </w:t>
      </w:r>
      <w:r w:rsidR="004B30F2">
        <w:t xml:space="preserve">the </w:t>
      </w:r>
      <w:r w:rsidRPr="002E25DB">
        <w:t>taxation records of firms from 2009–10 to 2018–19 from BLADE. To capture information on broadband usage, the analysis is restricted to firms which have responded to the BCS (around 7,000 firms annually). More information on data issues is outlined in</w:t>
      </w:r>
      <w:r>
        <w:t xml:space="preserve"> </w:t>
      </w:r>
      <w:r>
        <w:fldChar w:fldCharType="begin"/>
      </w:r>
      <w:r>
        <w:instrText xml:space="preserve"> REF _Ref125552856 \h </w:instrText>
      </w:r>
      <w:r>
        <w:fldChar w:fldCharType="separate"/>
      </w:r>
      <w:r w:rsidRPr="00705B49">
        <w:t>Appendix F: Limitations to the analysis</w:t>
      </w:r>
      <w:r>
        <w:fldChar w:fldCharType="end"/>
      </w:r>
      <w:r w:rsidRPr="002E25DB">
        <w:t>.</w:t>
      </w:r>
    </w:p>
    <w:p w14:paraId="6394BCAC" w14:textId="77777777" w:rsidR="00494CC3" w:rsidRPr="00705B49" w:rsidRDefault="00494CC3" w:rsidP="008C3EB2">
      <w:pPr>
        <w:pStyle w:val="Heading3"/>
      </w:pPr>
      <w:bookmarkStart w:id="60" w:name="_Toc127374081"/>
      <w:bookmarkStart w:id="61" w:name="_Toc129777684"/>
      <w:r w:rsidRPr="00705B49">
        <w:t>Firms with better broadband report higher productivity growth</w:t>
      </w:r>
      <w:bookmarkEnd w:id="60"/>
      <w:bookmarkEnd w:id="61"/>
    </w:p>
    <w:p w14:paraId="5C16F144" w14:textId="629DA0E7" w:rsidR="00494CC3" w:rsidRPr="00705B49" w:rsidRDefault="00494CC3" w:rsidP="00494CC3">
      <w:r w:rsidRPr="00705B49">
        <w:t xml:space="preserve">Analysis of the BCS data shows that 47 per cent of businesses in 2009–10 and </w:t>
      </w:r>
      <w:bookmarkStart w:id="62" w:name="_Hlk111725360"/>
      <w:r w:rsidRPr="00705B49">
        <w:t xml:space="preserve">37 per cent of businesses in 2018–19 with fibre or cable-based broadband </w:t>
      </w:r>
      <w:r w:rsidR="004B30F2">
        <w:t>self-</w:t>
      </w:r>
      <w:r w:rsidRPr="00705B49">
        <w:t xml:space="preserve">reported having higher productivity growth </w:t>
      </w:r>
      <w:bookmarkEnd w:id="62"/>
      <w:r w:rsidRPr="00705B49">
        <w:t>(</w:t>
      </w:r>
      <w:r w:rsidRPr="00705B49">
        <w:fldChar w:fldCharType="begin"/>
      </w:r>
      <w:r w:rsidRPr="00705B49">
        <w:instrText xml:space="preserve"> REF _Ref105076652 \h  \* MERGEFORMAT </w:instrText>
      </w:r>
      <w:r w:rsidRPr="00705B49">
        <w:fldChar w:fldCharType="separate"/>
      </w:r>
      <w:r w:rsidRPr="00705B49">
        <w:t xml:space="preserve">Figure </w:t>
      </w:r>
      <w:r w:rsidRPr="00705B49">
        <w:rPr>
          <w:noProof/>
        </w:rPr>
        <w:t>5</w:t>
      </w:r>
      <w:r w:rsidRPr="00705B49">
        <w:fldChar w:fldCharType="end"/>
      </w:r>
      <w:r w:rsidRPr="00705B49">
        <w:t xml:space="preserve">). In contrast, businesses with no broadband had the lowest rate of firms reporting productivity growth improvements (16 per cent in 2009–10). </w:t>
      </w:r>
    </w:p>
    <w:p w14:paraId="7732B549" w14:textId="77777777" w:rsidR="00494CC3" w:rsidRDefault="00494CC3" w:rsidP="00FF191D">
      <w:pPr>
        <w:pStyle w:val="Tablefigureheading"/>
      </w:pPr>
      <w:bookmarkStart w:id="63" w:name="_Ref105076652"/>
      <w:bookmarkStart w:id="64" w:name="_Toc115175385"/>
      <w:bookmarkStart w:id="65" w:name="_Toc129767617"/>
      <w:bookmarkStart w:id="66" w:name="_Hlk127367133"/>
      <w:r w:rsidRPr="00705B49">
        <w:t xml:space="preserve">Figure </w:t>
      </w:r>
      <w:fldSimple w:instr=" SEQ Figure \* ARABIC ">
        <w:r w:rsidRPr="00705B49">
          <w:rPr>
            <w:noProof/>
          </w:rPr>
          <w:t>5</w:t>
        </w:r>
      </w:fldSimple>
      <w:bookmarkEnd w:id="63"/>
      <w:r w:rsidRPr="00705B49">
        <w:t xml:space="preserve">. </w:t>
      </w:r>
      <w:r>
        <w:t>Proportion of b</w:t>
      </w:r>
      <w:r w:rsidRPr="00705B49">
        <w:t>usinesses reporting increased productivity by technology type</w:t>
      </w:r>
      <w:bookmarkEnd w:id="64"/>
      <w:bookmarkEnd w:id="65"/>
    </w:p>
    <w:p w14:paraId="6F61ADD3" w14:textId="77777777" w:rsidR="008C3EB2" w:rsidRPr="008C3EB2" w:rsidRDefault="008C3EB2" w:rsidP="008C3EB2">
      <w:pPr>
        <w:pStyle w:val="NoSpacing"/>
      </w:pPr>
      <w:r>
        <w:rPr>
          <w:noProof/>
        </w:rPr>
        <w:drawing>
          <wp:inline distT="0" distB="0" distL="0" distR="0" wp14:anchorId="1FC4C429" wp14:editId="5AA61F67">
            <wp:extent cx="6016625" cy="2825750"/>
            <wp:effectExtent l="0" t="0" r="3175" b="0"/>
            <wp:docPr id="9" name="Picture 9" descr="This column chart shows how firms perceive different broadband technologies to impact their productivity. &#10;In 2018-19, 37 per cent of businesses using fibre based broadband reported increased productivity compared to 47 per cent in 2009-10. For cable, these figures were 30 per cent in 2018-19 and 37 per cent in 2009-10. For DSL, these figures were 25 per cent in 2018-19 and 32 per cent in 2009-10. Other technologies showed similar patter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16625" cy="2825750"/>
                    </a:xfrm>
                    <a:prstGeom prst="rect">
                      <a:avLst/>
                    </a:prstGeom>
                  </pic:spPr>
                </pic:pic>
              </a:graphicData>
            </a:graphic>
          </wp:inline>
        </w:drawing>
      </w:r>
    </w:p>
    <w:p w14:paraId="11565EAF" w14:textId="77777777" w:rsidR="00494CC3" w:rsidRPr="00705B49" w:rsidRDefault="00494CC3" w:rsidP="00494CC3">
      <w:pPr>
        <w:pStyle w:val="Sourcenotes"/>
        <w:rPr>
          <w:lang w:val="en-AU"/>
        </w:rPr>
      </w:pPr>
      <w:r w:rsidRPr="00705B49">
        <w:rPr>
          <w:lang w:val="en-AU"/>
        </w:rPr>
        <w:t xml:space="preserve">Source: BCARR analysis of the Businesses Characteristics Survey from BLADE. </w:t>
      </w:r>
      <w:r w:rsidRPr="00705B49">
        <w:t>Businesses were surveyed on their level of productivity compared with the previous year</w:t>
      </w:r>
      <w:r>
        <w:rPr>
          <w:lang w:val="en-US"/>
        </w:rPr>
        <w:t>,</w:t>
      </w:r>
      <w:r w:rsidRPr="00705B49">
        <w:t xml:space="preserve"> based on self-assessment.</w:t>
      </w:r>
    </w:p>
    <w:bookmarkEnd w:id="66"/>
    <w:p w14:paraId="397B09C2" w14:textId="77777777" w:rsidR="00494CC3" w:rsidRPr="00705B49" w:rsidRDefault="00494CC3" w:rsidP="00494CC3">
      <w:r w:rsidRPr="00705B49">
        <w:fldChar w:fldCharType="begin"/>
      </w:r>
      <w:r w:rsidRPr="00705B49">
        <w:instrText xml:space="preserve"> REF _Ref105076652 \h </w:instrText>
      </w:r>
      <w:r>
        <w:instrText xml:space="preserve"> \* MERGEFORMAT </w:instrText>
      </w:r>
      <w:r w:rsidRPr="00705B49">
        <w:fldChar w:fldCharType="separate"/>
      </w:r>
      <w:r w:rsidRPr="00705B49">
        <w:t xml:space="preserve">Figure </w:t>
      </w:r>
      <w:r w:rsidRPr="00705B49">
        <w:rPr>
          <w:noProof/>
        </w:rPr>
        <w:t>5</w:t>
      </w:r>
      <w:r w:rsidRPr="00705B49">
        <w:fldChar w:fldCharType="end"/>
      </w:r>
      <w:r w:rsidRPr="00705B49">
        <w:t xml:space="preserve"> also highlights that the overall share of firms which reported improved productivity in 2018–19 was lower than the share of firms reporting this in 2009–10, which broadly aligns with trends observed in official ABS estimates for business productivity.</w:t>
      </w:r>
      <w:r w:rsidRPr="00705B49">
        <w:rPr>
          <w:rStyle w:val="EndnoteReference"/>
        </w:rPr>
        <w:endnoteReference w:id="14"/>
      </w:r>
      <w:r w:rsidRPr="00705B49">
        <w:t xml:space="preserve"> While a firm’s own assessment of productivity is only indicative of actual productivity, these findings do support the analysis of key productivity measures shown in the sections that follow.</w:t>
      </w:r>
    </w:p>
    <w:p w14:paraId="40323B6E" w14:textId="77777777" w:rsidR="00494CC3" w:rsidRPr="00705B49" w:rsidRDefault="00494CC3" w:rsidP="008C3EB2">
      <w:pPr>
        <w:pStyle w:val="Heading3"/>
      </w:pPr>
      <w:bookmarkStart w:id="67" w:name="_Toc127374082"/>
      <w:bookmarkStart w:id="68" w:name="_Toc129777685"/>
      <w:r w:rsidRPr="00705B49">
        <w:lastRenderedPageBreak/>
        <w:t>Productivity growth by broadband technology</w:t>
      </w:r>
      <w:bookmarkEnd w:id="67"/>
      <w:bookmarkEnd w:id="68"/>
    </w:p>
    <w:p w14:paraId="621ED0A3" w14:textId="77777777" w:rsidR="00494CC3" w:rsidRPr="00705B49" w:rsidRDefault="00494CC3" w:rsidP="008C3EB2">
      <w:pPr>
        <w:keepLines/>
      </w:pPr>
      <w:r w:rsidRPr="00705B49">
        <w:t>Productivity growth can be quantified in several ways.</w:t>
      </w:r>
      <w:r w:rsidRPr="00705B49">
        <w:rPr>
          <w:rStyle w:val="EndnoteReference"/>
        </w:rPr>
        <w:endnoteReference w:id="15"/>
      </w:r>
      <w:r w:rsidRPr="00705B49">
        <w:t xml:space="preserve"> BCARR has analysed firm-level information from BLADE to assess the relationship between productivity growth and broadband technology. Productivity growth is measured by the change in both outputs and inputs. Output is measured through business turnover, while inputs are a combination of labour utilisation, capital stock and use of intermediate goods or services (further details on calculating firm-level productivity growth are in </w:t>
      </w:r>
      <w:r w:rsidRPr="00705B49">
        <w:fldChar w:fldCharType="begin"/>
      </w:r>
      <w:r w:rsidRPr="00705B49">
        <w:instrText xml:space="preserve"> REF _Ref109932140 \h  \* MERGEFORMAT </w:instrText>
      </w:r>
      <w:r w:rsidRPr="00705B49">
        <w:fldChar w:fldCharType="separate"/>
      </w:r>
      <w:r w:rsidRPr="00705B49">
        <w:t>Appendix B: Firm-level productivity growth measures</w:t>
      </w:r>
      <w:r w:rsidRPr="00705B49">
        <w:fldChar w:fldCharType="end"/>
      </w:r>
      <w:r w:rsidRPr="00705B49">
        <w:t xml:space="preserve">). Non-market industries, including public administration, education and health sectors, were excluded because reliable measures for output could not be constructed for this analysis. </w:t>
      </w:r>
    </w:p>
    <w:p w14:paraId="5336E9B6" w14:textId="77777777" w:rsidR="00494CC3" w:rsidRPr="00705B49" w:rsidRDefault="00494CC3" w:rsidP="00494CC3">
      <w:r w:rsidRPr="00705B49">
        <w:t xml:space="preserve">The analysis focuses on two key productivity growth measures: </w:t>
      </w:r>
    </w:p>
    <w:p w14:paraId="7CB0C58D" w14:textId="77777777" w:rsidR="00494CC3" w:rsidRPr="00705B49" w:rsidRDefault="00494CC3" w:rsidP="008C3EB2">
      <w:pPr>
        <w:pStyle w:val="Listparagraphbullets"/>
      </w:pPr>
      <w:r w:rsidRPr="00705B49">
        <w:t>Labour productivity growth (LP growth): the ratio of output growth to the growth in labour usage</w:t>
      </w:r>
    </w:p>
    <w:p w14:paraId="2497BBA5" w14:textId="77777777" w:rsidR="00494CC3" w:rsidRPr="00705B49" w:rsidRDefault="00494CC3" w:rsidP="008C3EB2">
      <w:pPr>
        <w:pStyle w:val="Listparagraphbullets"/>
      </w:pPr>
      <w:r w:rsidRPr="00705B49">
        <w:t>Multifactor productivity growth (MFP growth): the ratio of output growth to the growth in labour, capital and intermediate inputs.</w:t>
      </w:r>
    </w:p>
    <w:p w14:paraId="6C066183" w14:textId="77777777" w:rsidR="00494CC3" w:rsidRPr="00705B49" w:rsidRDefault="00494CC3" w:rsidP="00494CC3">
      <w:r w:rsidRPr="00705B49">
        <w:fldChar w:fldCharType="begin"/>
      </w:r>
      <w:r w:rsidRPr="00705B49">
        <w:instrText xml:space="preserve"> REF _Ref105406728 \h  \* MERGEFORMAT </w:instrText>
      </w:r>
      <w:r w:rsidRPr="00705B49">
        <w:fldChar w:fldCharType="separate"/>
      </w:r>
      <w:r w:rsidRPr="00705B49">
        <w:t xml:space="preserve">Table </w:t>
      </w:r>
      <w:r w:rsidRPr="00705B49">
        <w:rPr>
          <w:noProof/>
        </w:rPr>
        <w:t>4</w:t>
      </w:r>
      <w:r w:rsidRPr="00705B49">
        <w:fldChar w:fldCharType="end"/>
      </w:r>
      <w:r w:rsidRPr="00705B49">
        <w:t xml:space="preserve"> provides a preliminary analysis of productivity growth by broadband technology, but does not control for other factors that affect productivity growth. It shows that the median firms with fibre</w:t>
      </w:r>
      <w:r w:rsidRPr="00705B49">
        <w:noBreakHyphen/>
        <w:t>based and cable broadband ha</w:t>
      </w:r>
      <w:r w:rsidR="004B30F2">
        <w:t>ve</w:t>
      </w:r>
      <w:r w:rsidRPr="00705B49">
        <w:t xml:space="preserve"> higher than average productivity growth, while firms with DSL have lower median productivity growth. The median firm using a fibre</w:t>
      </w:r>
      <w:r w:rsidRPr="00705B49">
        <w:noBreakHyphen/>
        <w:t>based connection ha</w:t>
      </w:r>
      <w:r w:rsidR="004B30F2">
        <w:t>s</w:t>
      </w:r>
      <w:r w:rsidRPr="00705B49">
        <w:t xml:space="preserve"> 0.88 per cent annual MFP growth compared with 0.77 per cent for the median firm using DSL. Similarly, for LP growth, fibre ha</w:t>
      </w:r>
      <w:r w:rsidR="004B30F2">
        <w:t>s</w:t>
      </w:r>
      <w:r w:rsidRPr="00705B49">
        <w:t xml:space="preserve"> 0.8 per cent LP growth compared with 0.54 per cent for DSL. The median firm using cable ha</w:t>
      </w:r>
      <w:r w:rsidR="004B30F2">
        <w:t>s</w:t>
      </w:r>
      <w:r w:rsidRPr="00705B49">
        <w:t xml:space="preserve"> considerably high productivity growth (1.08 per cent MFP growth; 1.2 per cent LP growth) while the median firm without a broadband connection ha</w:t>
      </w:r>
      <w:r w:rsidR="004B30F2">
        <w:t>s</w:t>
      </w:r>
      <w:r w:rsidRPr="00705B49">
        <w:t xml:space="preserve"> much lower productivity growth (0.37 per cent MFP growth; -0.71 per cent LP growth). </w:t>
      </w:r>
    </w:p>
    <w:p w14:paraId="4BD7BDC0" w14:textId="77777777" w:rsidR="00494CC3" w:rsidRPr="00705B49" w:rsidRDefault="00494CC3" w:rsidP="00494CC3">
      <w:r w:rsidRPr="00705B49">
        <w:t>Satellite has the highest median MFP growth of all broadband types, at 1.25 per cent. High median MFP growth for satellite firms is likely driven by industry and firm-size based characteristics. This is because firms with satellite tend to be small firms based in the agricultural sector, both factors which are correlated with higher productivity growth over the 10</w:t>
      </w:r>
      <w:r w:rsidRPr="00705B49">
        <w:noBreakHyphen/>
        <w:t>year period analysed.</w:t>
      </w:r>
    </w:p>
    <w:p w14:paraId="2E973C9A" w14:textId="77777777" w:rsidR="00494CC3" w:rsidRPr="00705B49" w:rsidRDefault="00494CC3" w:rsidP="00FF191D">
      <w:pPr>
        <w:pStyle w:val="Tablefigureheading"/>
      </w:pPr>
      <w:bookmarkStart w:id="69" w:name="_Ref105406728"/>
      <w:bookmarkStart w:id="70" w:name="_Toc129767618"/>
      <w:bookmarkStart w:id="71" w:name="_Toc90041190"/>
      <w:bookmarkStart w:id="72" w:name="_Toc97652725"/>
      <w:bookmarkStart w:id="73" w:name="_Toc115175386"/>
      <w:bookmarkStart w:id="74" w:name="_Hlk116304759"/>
      <w:r w:rsidRPr="00705B49">
        <w:t xml:space="preserve">Table </w:t>
      </w:r>
      <w:fldSimple w:instr=" SEQ Table \* ARABIC ">
        <w:r w:rsidRPr="00705B49">
          <w:rPr>
            <w:noProof/>
          </w:rPr>
          <w:t>4</w:t>
        </w:r>
      </w:fldSimple>
      <w:bookmarkEnd w:id="69"/>
      <w:r w:rsidRPr="00705B49">
        <w:rPr>
          <w:noProof/>
        </w:rPr>
        <w:t>. Productivity growth by broadband technology</w:t>
      </w:r>
      <w:bookmarkEnd w:id="70"/>
      <w:r w:rsidRPr="00705B49">
        <w:rPr>
          <w:noProof/>
        </w:rPr>
        <w:t xml:space="preserve"> </w:t>
      </w:r>
      <w:bookmarkEnd w:id="71"/>
      <w:bookmarkEnd w:id="72"/>
      <w:bookmarkEnd w:id="73"/>
    </w:p>
    <w:tbl>
      <w:tblPr>
        <w:tblStyle w:val="DefaultTable1"/>
        <w:tblW w:w="0" w:type="auto"/>
        <w:tblLook w:val="04E0" w:firstRow="1" w:lastRow="1" w:firstColumn="1" w:lastColumn="0" w:noHBand="0" w:noVBand="1"/>
        <w:tblCaption w:val="Table 4. Productivity growth by broadband technology "/>
      </w:tblPr>
      <w:tblGrid>
        <w:gridCol w:w="2552"/>
        <w:gridCol w:w="3240"/>
        <w:gridCol w:w="3242"/>
      </w:tblGrid>
      <w:tr w:rsidR="00494CC3" w:rsidRPr="00705B49" w14:paraId="69E797CE" w14:textId="77777777" w:rsidTr="00747265">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595959" w:themeColor="text1" w:themeTint="A6"/>
            </w:tcBorders>
            <w:shd w:val="clear" w:color="auto" w:fill="081E3E"/>
          </w:tcPr>
          <w:p w14:paraId="7AFCAF37" w14:textId="77777777" w:rsidR="00494CC3" w:rsidRPr="00705B49" w:rsidRDefault="00494CC3" w:rsidP="00494CC3">
            <w:r w:rsidRPr="00705B49">
              <w:t>Broadband technology</w:t>
            </w:r>
          </w:p>
        </w:tc>
        <w:tc>
          <w:tcPr>
            <w:tcW w:w="3240" w:type="dxa"/>
            <w:tcBorders>
              <w:bottom w:val="single" w:sz="4" w:space="0" w:color="595959" w:themeColor="text1" w:themeTint="A6"/>
            </w:tcBorders>
            <w:shd w:val="clear" w:color="auto" w:fill="081E3E"/>
          </w:tcPr>
          <w:p w14:paraId="4ADAD7ED"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Median annual MFP growth (%)</w:t>
            </w:r>
          </w:p>
        </w:tc>
        <w:tc>
          <w:tcPr>
            <w:tcW w:w="3242" w:type="dxa"/>
            <w:tcBorders>
              <w:bottom w:val="single" w:sz="4" w:space="0" w:color="595959" w:themeColor="text1" w:themeTint="A6"/>
            </w:tcBorders>
            <w:shd w:val="clear" w:color="auto" w:fill="081E3E"/>
          </w:tcPr>
          <w:p w14:paraId="489A7E2E"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Median annual LP growth (%)</w:t>
            </w:r>
          </w:p>
        </w:tc>
      </w:tr>
      <w:tr w:rsidR="00494CC3" w:rsidRPr="00705B49" w14:paraId="744A3662" w14:textId="77777777" w:rsidTr="00747265">
        <w:trPr>
          <w:trHeight w:val="396"/>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4BB3B5"/>
            </w:tcBorders>
          </w:tcPr>
          <w:p w14:paraId="74B7A5A8" w14:textId="77777777" w:rsidR="00494CC3" w:rsidRPr="00705B49" w:rsidRDefault="00494CC3" w:rsidP="00494CC3">
            <w:r w:rsidRPr="00705B49">
              <w:t>DSL</w:t>
            </w:r>
          </w:p>
        </w:tc>
        <w:tc>
          <w:tcPr>
            <w:tcW w:w="3240" w:type="dxa"/>
            <w:tcBorders>
              <w:bottom w:val="single" w:sz="4" w:space="0" w:color="4BB3B5"/>
            </w:tcBorders>
          </w:tcPr>
          <w:p w14:paraId="445B067B" w14:textId="77777777" w:rsidR="00494CC3" w:rsidRPr="00705B49" w:rsidRDefault="00494CC3" w:rsidP="00494CC3">
            <w:pPr>
              <w:ind w:right="1083"/>
              <w:jc w:val="right"/>
              <w:cnfStyle w:val="000000000000" w:firstRow="0" w:lastRow="0" w:firstColumn="0" w:lastColumn="0" w:oddVBand="0" w:evenVBand="0" w:oddHBand="0" w:evenHBand="0" w:firstRowFirstColumn="0" w:firstRowLastColumn="0" w:lastRowFirstColumn="0" w:lastRowLastColumn="0"/>
            </w:pPr>
            <w:r w:rsidRPr="00705B49">
              <w:t>0.77</w:t>
            </w:r>
          </w:p>
        </w:tc>
        <w:tc>
          <w:tcPr>
            <w:tcW w:w="3242" w:type="dxa"/>
            <w:tcBorders>
              <w:bottom w:val="single" w:sz="4" w:space="0" w:color="4BB3B5"/>
            </w:tcBorders>
          </w:tcPr>
          <w:p w14:paraId="73147E9D" w14:textId="77777777" w:rsidR="00494CC3" w:rsidRPr="00705B49" w:rsidRDefault="00494CC3" w:rsidP="00494CC3">
            <w:pPr>
              <w:ind w:right="1083"/>
              <w:jc w:val="right"/>
              <w:cnfStyle w:val="000000000000" w:firstRow="0" w:lastRow="0" w:firstColumn="0" w:lastColumn="0" w:oddVBand="0" w:evenVBand="0" w:oddHBand="0" w:evenHBand="0" w:firstRowFirstColumn="0" w:firstRowLastColumn="0" w:lastRowFirstColumn="0" w:lastRowLastColumn="0"/>
            </w:pPr>
            <w:r w:rsidRPr="00705B49">
              <w:t>0.54</w:t>
            </w:r>
          </w:p>
        </w:tc>
      </w:tr>
      <w:tr w:rsidR="00494CC3" w:rsidRPr="00705B49" w14:paraId="036F5B68" w14:textId="77777777" w:rsidTr="00747265">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4BB3B5"/>
              <w:bottom w:val="single" w:sz="4" w:space="0" w:color="4BB3B5"/>
            </w:tcBorders>
          </w:tcPr>
          <w:p w14:paraId="5E15366D" w14:textId="77777777" w:rsidR="00494CC3" w:rsidRPr="00705B49" w:rsidRDefault="00494CC3" w:rsidP="00494CC3">
            <w:r w:rsidRPr="00705B49">
              <w:t>Fibre-based</w:t>
            </w:r>
          </w:p>
        </w:tc>
        <w:tc>
          <w:tcPr>
            <w:tcW w:w="3240" w:type="dxa"/>
            <w:tcBorders>
              <w:top w:val="single" w:sz="4" w:space="0" w:color="4BB3B5"/>
              <w:bottom w:val="single" w:sz="4" w:space="0" w:color="4BB3B5"/>
            </w:tcBorders>
          </w:tcPr>
          <w:p w14:paraId="6ED5D1EE" w14:textId="77777777" w:rsidR="00494CC3" w:rsidRPr="00705B49" w:rsidRDefault="00494CC3" w:rsidP="00494CC3">
            <w:pPr>
              <w:ind w:right="1083"/>
              <w:jc w:val="right"/>
              <w:cnfStyle w:val="000000010000" w:firstRow="0" w:lastRow="0" w:firstColumn="0" w:lastColumn="0" w:oddVBand="0" w:evenVBand="0" w:oddHBand="0" w:evenHBand="1" w:firstRowFirstColumn="0" w:firstRowLastColumn="0" w:lastRowFirstColumn="0" w:lastRowLastColumn="0"/>
            </w:pPr>
            <w:r w:rsidRPr="00705B49">
              <w:t>0.88</w:t>
            </w:r>
          </w:p>
        </w:tc>
        <w:tc>
          <w:tcPr>
            <w:tcW w:w="3242" w:type="dxa"/>
            <w:tcBorders>
              <w:top w:val="single" w:sz="4" w:space="0" w:color="4BB3B5"/>
              <w:bottom w:val="single" w:sz="4" w:space="0" w:color="4BB3B5"/>
            </w:tcBorders>
          </w:tcPr>
          <w:p w14:paraId="1BE38B9A" w14:textId="77777777" w:rsidR="00494CC3" w:rsidRPr="00705B49" w:rsidRDefault="00494CC3" w:rsidP="00494CC3">
            <w:pPr>
              <w:ind w:right="1083"/>
              <w:jc w:val="right"/>
              <w:cnfStyle w:val="000000010000" w:firstRow="0" w:lastRow="0" w:firstColumn="0" w:lastColumn="0" w:oddVBand="0" w:evenVBand="0" w:oddHBand="0" w:evenHBand="1" w:firstRowFirstColumn="0" w:firstRowLastColumn="0" w:lastRowFirstColumn="0" w:lastRowLastColumn="0"/>
            </w:pPr>
            <w:r w:rsidRPr="00705B49">
              <w:t>0.80</w:t>
            </w:r>
          </w:p>
        </w:tc>
      </w:tr>
      <w:tr w:rsidR="00494CC3" w:rsidRPr="00705B49" w14:paraId="16EDD031" w14:textId="77777777" w:rsidTr="00747265">
        <w:trPr>
          <w:trHeight w:val="396"/>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4BB3B5"/>
              <w:bottom w:val="single" w:sz="4" w:space="0" w:color="4BB3B5"/>
            </w:tcBorders>
          </w:tcPr>
          <w:p w14:paraId="62124AB1" w14:textId="77777777" w:rsidR="00494CC3" w:rsidRPr="00705B49" w:rsidRDefault="00494CC3" w:rsidP="00494CC3">
            <w:r w:rsidRPr="00705B49">
              <w:t>Cable</w:t>
            </w:r>
          </w:p>
        </w:tc>
        <w:tc>
          <w:tcPr>
            <w:tcW w:w="3240" w:type="dxa"/>
            <w:tcBorders>
              <w:top w:val="single" w:sz="4" w:space="0" w:color="4BB3B5"/>
              <w:bottom w:val="single" w:sz="4" w:space="0" w:color="4BB3B5"/>
            </w:tcBorders>
          </w:tcPr>
          <w:p w14:paraId="72C8650E" w14:textId="77777777" w:rsidR="00494CC3" w:rsidRPr="00705B49" w:rsidRDefault="00494CC3" w:rsidP="00494CC3">
            <w:pPr>
              <w:ind w:right="1083"/>
              <w:jc w:val="right"/>
              <w:cnfStyle w:val="000000000000" w:firstRow="0" w:lastRow="0" w:firstColumn="0" w:lastColumn="0" w:oddVBand="0" w:evenVBand="0" w:oddHBand="0" w:evenHBand="0" w:firstRowFirstColumn="0" w:firstRowLastColumn="0" w:lastRowFirstColumn="0" w:lastRowLastColumn="0"/>
            </w:pPr>
            <w:r w:rsidRPr="00705B49">
              <w:t>1.08</w:t>
            </w:r>
          </w:p>
        </w:tc>
        <w:tc>
          <w:tcPr>
            <w:tcW w:w="3242" w:type="dxa"/>
            <w:tcBorders>
              <w:top w:val="single" w:sz="4" w:space="0" w:color="4BB3B5"/>
              <w:bottom w:val="single" w:sz="4" w:space="0" w:color="4BB3B5"/>
            </w:tcBorders>
          </w:tcPr>
          <w:p w14:paraId="0CD9B47D" w14:textId="77777777" w:rsidR="00494CC3" w:rsidRPr="00705B49" w:rsidRDefault="00494CC3" w:rsidP="00494CC3">
            <w:pPr>
              <w:ind w:right="1083"/>
              <w:jc w:val="right"/>
              <w:cnfStyle w:val="000000000000" w:firstRow="0" w:lastRow="0" w:firstColumn="0" w:lastColumn="0" w:oddVBand="0" w:evenVBand="0" w:oddHBand="0" w:evenHBand="0" w:firstRowFirstColumn="0" w:firstRowLastColumn="0" w:lastRowFirstColumn="0" w:lastRowLastColumn="0"/>
            </w:pPr>
            <w:r w:rsidRPr="00705B49">
              <w:t>1.20</w:t>
            </w:r>
          </w:p>
        </w:tc>
      </w:tr>
      <w:tr w:rsidR="00494CC3" w:rsidRPr="00705B49" w14:paraId="2F9885BD" w14:textId="77777777" w:rsidTr="00747265">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4BB3B5"/>
              <w:bottom w:val="single" w:sz="4" w:space="0" w:color="4BB3B5"/>
            </w:tcBorders>
          </w:tcPr>
          <w:p w14:paraId="3C58A4CB" w14:textId="77777777" w:rsidR="00494CC3" w:rsidRPr="00705B49" w:rsidRDefault="00494CC3" w:rsidP="00494CC3">
            <w:r w:rsidRPr="00705B49">
              <w:t>Satellite</w:t>
            </w:r>
          </w:p>
        </w:tc>
        <w:tc>
          <w:tcPr>
            <w:tcW w:w="3240" w:type="dxa"/>
            <w:tcBorders>
              <w:top w:val="single" w:sz="4" w:space="0" w:color="4BB3B5"/>
              <w:bottom w:val="single" w:sz="4" w:space="0" w:color="4BB3B5"/>
            </w:tcBorders>
          </w:tcPr>
          <w:p w14:paraId="2FB6D40B" w14:textId="77777777" w:rsidR="00494CC3" w:rsidRPr="00705B49" w:rsidRDefault="00494CC3" w:rsidP="00494CC3">
            <w:pPr>
              <w:ind w:right="1083"/>
              <w:jc w:val="right"/>
              <w:cnfStyle w:val="000000010000" w:firstRow="0" w:lastRow="0" w:firstColumn="0" w:lastColumn="0" w:oddVBand="0" w:evenVBand="0" w:oddHBand="0" w:evenHBand="1" w:firstRowFirstColumn="0" w:firstRowLastColumn="0" w:lastRowFirstColumn="0" w:lastRowLastColumn="0"/>
            </w:pPr>
            <w:r w:rsidRPr="00705B49">
              <w:t>1.25</w:t>
            </w:r>
          </w:p>
        </w:tc>
        <w:tc>
          <w:tcPr>
            <w:tcW w:w="3242" w:type="dxa"/>
            <w:tcBorders>
              <w:top w:val="single" w:sz="4" w:space="0" w:color="4BB3B5"/>
              <w:bottom w:val="single" w:sz="4" w:space="0" w:color="4BB3B5"/>
            </w:tcBorders>
          </w:tcPr>
          <w:p w14:paraId="13F16ABD" w14:textId="77777777" w:rsidR="00494CC3" w:rsidRPr="00705B49" w:rsidRDefault="00494CC3" w:rsidP="00494CC3">
            <w:pPr>
              <w:ind w:right="1083"/>
              <w:jc w:val="right"/>
              <w:cnfStyle w:val="000000010000" w:firstRow="0" w:lastRow="0" w:firstColumn="0" w:lastColumn="0" w:oddVBand="0" w:evenVBand="0" w:oddHBand="0" w:evenHBand="1" w:firstRowFirstColumn="0" w:firstRowLastColumn="0" w:lastRowFirstColumn="0" w:lastRowLastColumn="0"/>
            </w:pPr>
            <w:r w:rsidRPr="00705B49">
              <w:t>0.86</w:t>
            </w:r>
          </w:p>
        </w:tc>
      </w:tr>
      <w:tr w:rsidR="00494CC3" w:rsidRPr="00705B49" w14:paraId="64669C76" w14:textId="77777777" w:rsidTr="00747265">
        <w:trPr>
          <w:trHeight w:val="396"/>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4BB3B5"/>
              <w:bottom w:val="single" w:sz="4" w:space="0" w:color="4BB3B5"/>
            </w:tcBorders>
          </w:tcPr>
          <w:p w14:paraId="094F7C87" w14:textId="77777777" w:rsidR="00494CC3" w:rsidRPr="00705B49" w:rsidRDefault="00494CC3" w:rsidP="00494CC3">
            <w:r w:rsidRPr="00705B49">
              <w:t>No broadband</w:t>
            </w:r>
          </w:p>
        </w:tc>
        <w:tc>
          <w:tcPr>
            <w:tcW w:w="3240" w:type="dxa"/>
            <w:tcBorders>
              <w:top w:val="single" w:sz="4" w:space="0" w:color="4BB3B5"/>
              <w:bottom w:val="single" w:sz="4" w:space="0" w:color="4BB3B5"/>
            </w:tcBorders>
          </w:tcPr>
          <w:p w14:paraId="49690ADA" w14:textId="77777777" w:rsidR="00494CC3" w:rsidRPr="00705B49" w:rsidRDefault="00494CC3" w:rsidP="00494CC3">
            <w:pPr>
              <w:ind w:right="1083"/>
              <w:jc w:val="right"/>
              <w:cnfStyle w:val="000000000000" w:firstRow="0" w:lastRow="0" w:firstColumn="0" w:lastColumn="0" w:oddVBand="0" w:evenVBand="0" w:oddHBand="0" w:evenHBand="0" w:firstRowFirstColumn="0" w:firstRowLastColumn="0" w:lastRowFirstColumn="0" w:lastRowLastColumn="0"/>
            </w:pPr>
            <w:r w:rsidRPr="00705B49">
              <w:t>0.37</w:t>
            </w:r>
          </w:p>
        </w:tc>
        <w:tc>
          <w:tcPr>
            <w:tcW w:w="3242" w:type="dxa"/>
            <w:tcBorders>
              <w:top w:val="single" w:sz="4" w:space="0" w:color="4BB3B5"/>
              <w:bottom w:val="single" w:sz="4" w:space="0" w:color="4BB3B5"/>
            </w:tcBorders>
          </w:tcPr>
          <w:p w14:paraId="5DD235CB" w14:textId="77777777" w:rsidR="00494CC3" w:rsidRPr="00705B49" w:rsidRDefault="00494CC3" w:rsidP="00494CC3">
            <w:pPr>
              <w:ind w:right="1083"/>
              <w:jc w:val="right"/>
              <w:cnfStyle w:val="000000000000" w:firstRow="0" w:lastRow="0" w:firstColumn="0" w:lastColumn="0" w:oddVBand="0" w:evenVBand="0" w:oddHBand="0" w:evenHBand="0" w:firstRowFirstColumn="0" w:firstRowLastColumn="0" w:lastRowFirstColumn="0" w:lastRowLastColumn="0"/>
            </w:pPr>
            <w:r w:rsidRPr="00705B49">
              <w:t>-0.71</w:t>
            </w:r>
          </w:p>
        </w:tc>
      </w:tr>
      <w:tr w:rsidR="00494CC3" w:rsidRPr="00705B49" w14:paraId="156430E9" w14:textId="77777777" w:rsidTr="00747265">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4BB3B5"/>
              <w:bottom w:val="single" w:sz="4" w:space="0" w:color="4BB3B5"/>
            </w:tcBorders>
            <w:shd w:val="clear" w:color="auto" w:fill="F2F6E8"/>
          </w:tcPr>
          <w:p w14:paraId="4F8D5466" w14:textId="77777777" w:rsidR="00494CC3" w:rsidRPr="00705B49" w:rsidRDefault="00494CC3" w:rsidP="00494CC3">
            <w:r w:rsidRPr="00705B49">
              <w:t>All businesses</w:t>
            </w:r>
          </w:p>
        </w:tc>
        <w:tc>
          <w:tcPr>
            <w:tcW w:w="3240" w:type="dxa"/>
            <w:tcBorders>
              <w:top w:val="single" w:sz="4" w:space="0" w:color="4BB3B5"/>
              <w:bottom w:val="single" w:sz="4" w:space="0" w:color="4BB3B5"/>
            </w:tcBorders>
            <w:shd w:val="clear" w:color="auto" w:fill="F2F6E8"/>
          </w:tcPr>
          <w:p w14:paraId="7BEBBEB8" w14:textId="77777777" w:rsidR="00494CC3" w:rsidRPr="00705B49" w:rsidRDefault="00494CC3" w:rsidP="00494CC3">
            <w:pPr>
              <w:ind w:right="1083"/>
              <w:jc w:val="right"/>
              <w:cnfStyle w:val="010000000000" w:firstRow="0" w:lastRow="1" w:firstColumn="0" w:lastColumn="0" w:oddVBand="0" w:evenVBand="0" w:oddHBand="0" w:evenHBand="0" w:firstRowFirstColumn="0" w:firstRowLastColumn="0" w:lastRowFirstColumn="0" w:lastRowLastColumn="0"/>
            </w:pPr>
            <w:r w:rsidRPr="00705B49">
              <w:t>0.83</w:t>
            </w:r>
          </w:p>
        </w:tc>
        <w:tc>
          <w:tcPr>
            <w:tcW w:w="3242" w:type="dxa"/>
            <w:tcBorders>
              <w:top w:val="single" w:sz="4" w:space="0" w:color="4BB3B5"/>
              <w:bottom w:val="single" w:sz="4" w:space="0" w:color="4BB3B5"/>
            </w:tcBorders>
            <w:shd w:val="clear" w:color="auto" w:fill="F2F6E8"/>
          </w:tcPr>
          <w:p w14:paraId="1E0087BD" w14:textId="77777777" w:rsidR="00494CC3" w:rsidRPr="00705B49" w:rsidRDefault="00494CC3" w:rsidP="00494CC3">
            <w:pPr>
              <w:ind w:right="1083"/>
              <w:jc w:val="right"/>
              <w:cnfStyle w:val="010000000000" w:firstRow="0" w:lastRow="1" w:firstColumn="0" w:lastColumn="0" w:oddVBand="0" w:evenVBand="0" w:oddHBand="0" w:evenHBand="0" w:firstRowFirstColumn="0" w:firstRowLastColumn="0" w:lastRowFirstColumn="0" w:lastRowLastColumn="0"/>
            </w:pPr>
            <w:r w:rsidRPr="00705B49">
              <w:t>0.57</w:t>
            </w:r>
          </w:p>
        </w:tc>
      </w:tr>
    </w:tbl>
    <w:p w14:paraId="3FB5068E" w14:textId="77777777" w:rsidR="00494CC3" w:rsidRPr="00705B49" w:rsidRDefault="00494CC3" w:rsidP="008C3EB2">
      <w:pPr>
        <w:pStyle w:val="Sourcenotes"/>
      </w:pPr>
      <w:r w:rsidRPr="00705B49">
        <w:t xml:space="preserve">Source: BCARR analysis of the Businesses Characteristics Survey from BLADE, based on data from </w:t>
      </w:r>
      <w:r w:rsidRPr="00705B49">
        <w:rPr>
          <w:noProof/>
        </w:rPr>
        <w:t>2009–10 to 2018–19</w:t>
      </w:r>
      <w:r w:rsidRPr="00705B49">
        <w:rPr>
          <w:noProof/>
          <w:lang w:val="en-US"/>
        </w:rPr>
        <w:t>.</w:t>
      </w:r>
      <w:bookmarkEnd w:id="74"/>
    </w:p>
    <w:p w14:paraId="7E0328CC" w14:textId="77777777" w:rsidR="00A21D9B" w:rsidRPr="00A21D9B" w:rsidRDefault="00494CC3" w:rsidP="00F40BD6">
      <w:bookmarkStart w:id="75" w:name="_Hlk127367783"/>
      <w:r w:rsidRPr="00A21D9B">
        <w:t xml:space="preserve">As MFP and LP are ratios of outputs to inputs, examining input and output growth by broadband type yields some insight into why firms with satellite, fibre and cable connections have higher median productivity growth. </w:t>
      </w:r>
      <w:r w:rsidRPr="00A21D9B">
        <w:fldChar w:fldCharType="begin"/>
      </w:r>
      <w:r w:rsidRPr="00A21D9B">
        <w:instrText xml:space="preserve"> REF _Ref105085996 \h  \* MERGEFORMAT </w:instrText>
      </w:r>
      <w:r w:rsidRPr="00A21D9B">
        <w:fldChar w:fldCharType="separate"/>
      </w:r>
      <w:r w:rsidRPr="00A21D9B">
        <w:t>Figure 6</w:t>
      </w:r>
      <w:r w:rsidRPr="00A21D9B">
        <w:fldChar w:fldCharType="end"/>
      </w:r>
      <w:r w:rsidRPr="00A21D9B">
        <w:t xml:space="preserve"> shows that high productivity growth for fibre and cable is largely attributable to growth in outputs, while productivity growth for satellite users is due mainly to reductions in the growth of inputs. This negative input growth for satellite firms suggests inputs are decreasing due to efficiency savings, lower broadband costs, or perhaps</w:t>
      </w:r>
      <w:r w:rsidR="000F0B8C" w:rsidRPr="00A21D9B">
        <w:t xml:space="preserve"> due</w:t>
      </w:r>
      <w:r w:rsidRPr="00A21D9B">
        <w:t xml:space="preserve"> to a stagnation in their inputs. </w:t>
      </w:r>
      <w:bookmarkStart w:id="76" w:name="_Hlk127367592"/>
      <w:r w:rsidRPr="00A21D9B">
        <w:t xml:space="preserve">Conversely, </w:t>
      </w:r>
      <w:r w:rsidRPr="00A21D9B">
        <w:lastRenderedPageBreak/>
        <w:t xml:space="preserve">satellite firms may also be more likely to experience accelerated benefits </w:t>
      </w:r>
      <w:r w:rsidR="000F0B8C" w:rsidRPr="00A21D9B">
        <w:t xml:space="preserve">from </w:t>
      </w:r>
      <w:r w:rsidR="00FF191D" w:rsidRPr="00A21D9B">
        <w:t>broadband connectivity, as some firms on satellite in remote areas previously had no or very limited internet connectivity.</w:t>
      </w:r>
    </w:p>
    <w:p w14:paraId="523015BA" w14:textId="06E0ED7A" w:rsidR="00494CC3" w:rsidRPr="00FF191D" w:rsidRDefault="00261D33" w:rsidP="00FF191D">
      <w:pPr>
        <w:pStyle w:val="Tablefigureheading"/>
      </w:pPr>
      <w:r>
        <w:t xml:space="preserve"> </w:t>
      </w:r>
      <w:bookmarkStart w:id="77" w:name="_Ref105085996"/>
      <w:bookmarkStart w:id="78" w:name="_Toc115175387"/>
      <w:bookmarkStart w:id="79" w:name="_Toc129767619"/>
      <w:bookmarkEnd w:id="75"/>
      <w:bookmarkEnd w:id="76"/>
      <w:r w:rsidR="00494CC3" w:rsidRPr="00FF191D">
        <w:t xml:space="preserve">Figure </w:t>
      </w:r>
      <w:fldSimple w:instr=" SEQ Figure \* ARABIC ">
        <w:r w:rsidR="00494CC3" w:rsidRPr="00FF191D">
          <w:rPr>
            <w:noProof/>
          </w:rPr>
          <w:t>6</w:t>
        </w:r>
      </w:fldSimple>
      <w:bookmarkEnd w:id="77"/>
      <w:r w:rsidR="00494CC3" w:rsidRPr="00FF191D">
        <w:t>. Annual input and output growth by broadband technology, 2009</w:t>
      </w:r>
      <w:r w:rsidR="00494CC3" w:rsidRPr="00FF191D">
        <w:rPr>
          <w:noProof/>
        </w:rPr>
        <w:t>–</w:t>
      </w:r>
      <w:r w:rsidR="00494CC3" w:rsidRPr="00FF191D">
        <w:t>10 to 2018</w:t>
      </w:r>
      <w:r w:rsidR="00494CC3" w:rsidRPr="00FF191D">
        <w:rPr>
          <w:noProof/>
        </w:rPr>
        <w:t>–</w:t>
      </w:r>
      <w:r w:rsidR="00494CC3" w:rsidRPr="00FF191D">
        <w:t>19</w:t>
      </w:r>
      <w:bookmarkEnd w:id="78"/>
      <w:bookmarkEnd w:id="79"/>
    </w:p>
    <w:p w14:paraId="19BE56BE" w14:textId="77777777" w:rsidR="008C3EB2" w:rsidRPr="008C3EB2" w:rsidRDefault="008C3EB2" w:rsidP="008C3EB2">
      <w:pPr>
        <w:pStyle w:val="NoSpacing"/>
      </w:pPr>
      <w:r>
        <w:rPr>
          <w:noProof/>
        </w:rPr>
        <w:drawing>
          <wp:inline distT="0" distB="0" distL="0" distR="0" wp14:anchorId="320F8956" wp14:editId="191476B2">
            <wp:extent cx="6016625" cy="2774315"/>
            <wp:effectExtent l="0" t="0" r="3175" b="6985"/>
            <wp:docPr id="11" name="Picture 11" descr="This column chart shows the growth in annual input and output by different broadband technologies type. &#10;For fibre technologies, output growth was 2.1 per cent and input growth was 0.7 per cent. For cable technologies, output growth was 1.1 per cent and input growth was – 0.2 per cent. For satellite technologies, output growth was 0.4 per cent and input growth was – 1.3 per cent. For DSL technologies, output growth was 0.5 per cent and input growth was – 0.6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16625" cy="2774315"/>
                    </a:xfrm>
                    <a:prstGeom prst="rect">
                      <a:avLst/>
                    </a:prstGeom>
                  </pic:spPr>
                </pic:pic>
              </a:graphicData>
            </a:graphic>
          </wp:inline>
        </w:drawing>
      </w:r>
    </w:p>
    <w:p w14:paraId="36126627" w14:textId="77777777" w:rsidR="00494CC3" w:rsidRPr="00705B49" w:rsidRDefault="00494CC3" w:rsidP="008C3EB2">
      <w:pPr>
        <w:pStyle w:val="Sourcenotes"/>
      </w:pPr>
      <w:r w:rsidRPr="00705B49">
        <w:t xml:space="preserve">Source: BCARR analysis of BLADE data from </w:t>
      </w:r>
      <w:r w:rsidRPr="00705B49">
        <w:rPr>
          <w:noProof/>
        </w:rPr>
        <w:t>2009–10 to 2018–19</w:t>
      </w:r>
      <w:r w:rsidRPr="00705B49">
        <w:rPr>
          <w:noProof/>
          <w:lang w:val="en-US"/>
        </w:rPr>
        <w:t>.</w:t>
      </w:r>
    </w:p>
    <w:p w14:paraId="7AE5C9AB" w14:textId="77777777" w:rsidR="00494CC3" w:rsidRPr="00705B49" w:rsidRDefault="00494CC3" w:rsidP="00494CC3">
      <w:r w:rsidRPr="00705B49">
        <w:t>While these descriptive results indicate a possible relationship between broadband and productivity growth, they do not indicate whether broadband is a driver of productivity growth. This is because productivity growth differences may be due to other factors that affect the business, such as its geography, business size and industry.</w:t>
      </w:r>
    </w:p>
    <w:p w14:paraId="5C76ADB7" w14:textId="77777777" w:rsidR="00494CC3" w:rsidRPr="00705B49" w:rsidRDefault="00494CC3" w:rsidP="00494CC3">
      <w:r w:rsidRPr="00705B49">
        <w:t xml:space="preserve">BCARR </w:t>
      </w:r>
      <w:r w:rsidR="000F0B8C">
        <w:t xml:space="preserve">has </w:t>
      </w:r>
      <w:r w:rsidRPr="00705B49">
        <w:t>use</w:t>
      </w:r>
      <w:r w:rsidR="000F0B8C">
        <w:t>d</w:t>
      </w:r>
      <w:r w:rsidRPr="00705B49">
        <w:t xml:space="preserve"> regression analysis to identify whether broadband technology influences productivity, after controlling for these business characteristics, as well as other factors that are specific to the business but not directly observable. The effects of different broadband technology types on productivity can be measured by testing the relationship of productivity measures (MFP growth and LP growth) with broadband technology types as well as other variables. </w:t>
      </w:r>
    </w:p>
    <w:p w14:paraId="4FF3246A" w14:textId="77777777" w:rsidR="00494CC3" w:rsidRPr="00705B49" w:rsidRDefault="00494CC3" w:rsidP="008C3EB2">
      <w:pPr>
        <w:pStyle w:val="Heading3"/>
      </w:pPr>
      <w:bookmarkStart w:id="80" w:name="_Toc90041201"/>
      <w:bookmarkStart w:id="81" w:name="_Toc97652752"/>
      <w:bookmarkStart w:id="82" w:name="_Toc127374083"/>
      <w:bookmarkStart w:id="83" w:name="_Toc129777686"/>
      <w:r w:rsidRPr="00705B49">
        <w:t xml:space="preserve">Broadband type </w:t>
      </w:r>
      <w:r>
        <w:t xml:space="preserve">can be </w:t>
      </w:r>
      <w:r w:rsidRPr="00705B49">
        <w:t>link</w:t>
      </w:r>
      <w:r>
        <w:t>ed</w:t>
      </w:r>
      <w:r w:rsidRPr="00705B49">
        <w:t xml:space="preserve"> with productivity growth</w:t>
      </w:r>
      <w:bookmarkEnd w:id="80"/>
      <w:bookmarkEnd w:id="81"/>
      <w:bookmarkEnd w:id="82"/>
      <w:bookmarkEnd w:id="83"/>
    </w:p>
    <w:p w14:paraId="3DC8D5AB" w14:textId="77777777" w:rsidR="00494CC3" w:rsidRPr="00705B49" w:rsidRDefault="00494CC3" w:rsidP="00494CC3">
      <w:r w:rsidRPr="00705B49">
        <w:t xml:space="preserve">BCARR’s regression analysis shows a relationship between broadband technology type and productivity growth at the firm level. In particular, firms with fibre-based or cable broadband have higher MFP growth than firms with DSL connections, while firms without broadband have lower productivity growth. </w:t>
      </w:r>
      <w:r>
        <w:t>The statistical significance of this relationship varies depending on the regression model being tested.</w:t>
      </w:r>
    </w:p>
    <w:p w14:paraId="5CB9CED2" w14:textId="77777777" w:rsidR="00494CC3" w:rsidRPr="00705B49" w:rsidRDefault="00494CC3" w:rsidP="00494CC3">
      <w:r w:rsidRPr="00705B49">
        <w:t xml:space="preserve">Two main types of regression were </w:t>
      </w:r>
      <w:r>
        <w:t>developed</w:t>
      </w:r>
      <w:r w:rsidRPr="00705B49">
        <w:t>: using broadband technology type as a predictor of productivity growth; and using a firm’s switch from DSL to fibre or cable-based broadband as a predictor of productivity growth. Regression models were tested with different sets of controls as well as testing time lags on the impacts of broadband on productivity growth.</w:t>
      </w:r>
    </w:p>
    <w:p w14:paraId="5F4035FD" w14:textId="77777777" w:rsidR="00494CC3" w:rsidRPr="00705B49" w:rsidRDefault="00494CC3" w:rsidP="00494CC3">
      <w:r w:rsidRPr="00705B49">
        <w:t>Other firm</w:t>
      </w:r>
      <w:r w:rsidRPr="00705B49">
        <w:noBreakHyphen/>
        <w:t xml:space="preserve">based factors were found to affect productivity growth. These include the size of a business (with a negative relationship with productivity growth as business size increases), time-effects (with specific increases in productivity in 2017–18 onwards, driven by data issues outlined in </w:t>
      </w:r>
      <w:r w:rsidRPr="00705B49">
        <w:fldChar w:fldCharType="begin"/>
      </w:r>
      <w:r w:rsidRPr="00705B49">
        <w:instrText xml:space="preserve"> REF _Ref109891235 \h  \* MERGEFORMAT </w:instrText>
      </w:r>
      <w:r w:rsidRPr="00705B49">
        <w:fldChar w:fldCharType="separate"/>
      </w:r>
      <w:r w:rsidRPr="00705B49">
        <w:t>Appendix F: Limitations to the analysis</w:t>
      </w:r>
      <w:r w:rsidRPr="00705B49">
        <w:fldChar w:fldCharType="end"/>
      </w:r>
      <w:r w:rsidRPr="00705B49">
        <w:t xml:space="preserve">), as well as industry and geographic effects. </w:t>
      </w:r>
      <w:r w:rsidRPr="00705B49">
        <w:fldChar w:fldCharType="begin"/>
      </w:r>
      <w:r w:rsidRPr="00705B49">
        <w:instrText xml:space="preserve"> REF _Ref109891282 \h </w:instrText>
      </w:r>
      <w:r>
        <w:instrText xml:space="preserve"> \* MERGEFORMAT </w:instrText>
      </w:r>
      <w:r w:rsidRPr="00705B49">
        <w:fldChar w:fldCharType="separate"/>
      </w:r>
      <w:r w:rsidRPr="00705B49">
        <w:t>Appendix D: Broadband technology and productivity growth relationship</w:t>
      </w:r>
      <w:r w:rsidRPr="00705B49">
        <w:fldChar w:fldCharType="end"/>
      </w:r>
      <w:r w:rsidRPr="00705B49">
        <w:t xml:space="preserve"> details these regression results.</w:t>
      </w:r>
    </w:p>
    <w:p w14:paraId="3D6413BC" w14:textId="130915BC" w:rsidR="00494CC3" w:rsidRPr="00705B49" w:rsidRDefault="00494CC3" w:rsidP="00494CC3">
      <w:r w:rsidRPr="00705B49">
        <w:fldChar w:fldCharType="begin"/>
      </w:r>
      <w:r w:rsidRPr="00705B49">
        <w:instrText xml:space="preserve"> REF _Ref105490603 \h  \* MERGEFORMAT </w:instrText>
      </w:r>
      <w:r w:rsidRPr="00705B49">
        <w:fldChar w:fldCharType="separate"/>
      </w:r>
      <w:r w:rsidRPr="00705B49">
        <w:t xml:space="preserve">Table </w:t>
      </w:r>
      <w:r w:rsidRPr="00705B49">
        <w:rPr>
          <w:noProof/>
        </w:rPr>
        <w:t>5</w:t>
      </w:r>
      <w:r w:rsidRPr="00705B49">
        <w:fldChar w:fldCharType="end"/>
      </w:r>
      <w:r w:rsidRPr="00705B49">
        <w:t xml:space="preserve"> shows that using a pooled ordinary least squares (OLS) model, firms with fibre and cable</w:t>
      </w:r>
      <w:r>
        <w:noBreakHyphen/>
        <w:t xml:space="preserve">based </w:t>
      </w:r>
      <w:r w:rsidRPr="00705B49">
        <w:t>broadband are estimated to have 0.8 per cent higher annual MFP growth than firms using DSL. This model accounts for the age of the firm, time, industry and geography effects. Under a two</w:t>
      </w:r>
      <w:r w:rsidRPr="00705B49">
        <w:noBreakHyphen/>
        <w:t>way fixed-</w:t>
      </w:r>
      <w:r w:rsidRPr="00705B49">
        <w:lastRenderedPageBreak/>
        <w:t>effects model, which controls for firm-specific effects (one</w:t>
      </w:r>
      <w:r w:rsidRPr="00705B49">
        <w:noBreakHyphen/>
        <w:t>way fixed</w:t>
      </w:r>
      <w:r w:rsidR="00FF191D">
        <w:t>-</w:t>
      </w:r>
      <w:r w:rsidRPr="00705B49">
        <w:t>effects) as well as time</w:t>
      </w:r>
      <w:r w:rsidRPr="00705B49">
        <w:noBreakHyphen/>
        <w:t>specific effects, there are no statistically significant results. The pooled OLS regressions suggest there is a small likelihood that businesses with fibre and cable</w:t>
      </w:r>
      <w:r w:rsidRPr="00705B49">
        <w:noBreakHyphen/>
        <w:t>based connections have higher productivity growth when compared with firms on DSL. However, this difference is not observable in the fixed-effects regressions. This suggests that other idiosyncratic factors specific to a firm, which are captured in the variation of fixed-effects regressions, may account for the higher productivity growth found in the pooled OLS model. Another possibility is that the statistical variance of broadband technology type at the firm-level is not large enough to identify a statistically significant relationship.</w:t>
      </w:r>
    </w:p>
    <w:p w14:paraId="4355F18F" w14:textId="77777777" w:rsidR="00494CC3" w:rsidRPr="00705B49" w:rsidRDefault="00494CC3" w:rsidP="00FF191D">
      <w:pPr>
        <w:pStyle w:val="Tablefigureheading"/>
      </w:pPr>
      <w:bookmarkStart w:id="84" w:name="_Ref105490603"/>
      <w:bookmarkStart w:id="85" w:name="_Toc115175388"/>
      <w:bookmarkStart w:id="86" w:name="_Toc129767620"/>
      <w:r w:rsidRPr="00705B49">
        <w:t xml:space="preserve">Table </w:t>
      </w:r>
      <w:fldSimple w:instr=" SEQ Table \* ARABIC ">
        <w:r w:rsidRPr="00705B49">
          <w:rPr>
            <w:noProof/>
          </w:rPr>
          <w:t>5</w:t>
        </w:r>
      </w:fldSimple>
      <w:bookmarkEnd w:id="84"/>
      <w:r w:rsidRPr="00705B49">
        <w:t>. Productivity growth for firms on fibre or cable broadband compared with DSL – Regression results</w:t>
      </w:r>
      <w:bookmarkEnd w:id="85"/>
      <w:bookmarkEnd w:id="86"/>
    </w:p>
    <w:tbl>
      <w:tblPr>
        <w:tblStyle w:val="DefaultTable1"/>
        <w:tblW w:w="8962" w:type="dxa"/>
        <w:tblLook w:val="04A0" w:firstRow="1" w:lastRow="0" w:firstColumn="1" w:lastColumn="0" w:noHBand="0" w:noVBand="1"/>
        <w:tblCaption w:val="Table 5. Productivity growth for firms on fibre or cable broadband compared with DSL – Regression results"/>
      </w:tblPr>
      <w:tblGrid>
        <w:gridCol w:w="2042"/>
        <w:gridCol w:w="1927"/>
        <w:gridCol w:w="2268"/>
        <w:gridCol w:w="1415"/>
        <w:gridCol w:w="1310"/>
      </w:tblGrid>
      <w:tr w:rsidR="00494CC3" w:rsidRPr="00705B49" w14:paraId="04DAE9C8"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Borders>
              <w:bottom w:val="single" w:sz="4" w:space="0" w:color="595959" w:themeColor="text1" w:themeTint="A6"/>
            </w:tcBorders>
            <w:shd w:val="clear" w:color="auto" w:fill="081E3E"/>
          </w:tcPr>
          <w:p w14:paraId="5320C1C1" w14:textId="77777777" w:rsidR="00494CC3" w:rsidRPr="00705B49" w:rsidRDefault="00494CC3" w:rsidP="00494CC3">
            <w:r w:rsidRPr="00705B49">
              <w:t>Productivity measure</w:t>
            </w:r>
          </w:p>
        </w:tc>
        <w:tc>
          <w:tcPr>
            <w:tcW w:w="1927" w:type="dxa"/>
            <w:tcBorders>
              <w:bottom w:val="single" w:sz="4" w:space="0" w:color="595959" w:themeColor="text1" w:themeTint="A6"/>
            </w:tcBorders>
            <w:shd w:val="clear" w:color="auto" w:fill="081E3E"/>
          </w:tcPr>
          <w:p w14:paraId="2AB5FBE8"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Model</w:t>
            </w:r>
          </w:p>
        </w:tc>
        <w:tc>
          <w:tcPr>
            <w:tcW w:w="2268" w:type="dxa"/>
            <w:tcBorders>
              <w:bottom w:val="single" w:sz="4" w:space="0" w:color="595959" w:themeColor="text1" w:themeTint="A6"/>
            </w:tcBorders>
            <w:shd w:val="clear" w:color="auto" w:fill="081E3E"/>
          </w:tcPr>
          <w:p w14:paraId="228DB140"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Annual productivity growth of Fibre/cable (compared with DSL)</w:t>
            </w:r>
          </w:p>
        </w:tc>
        <w:tc>
          <w:tcPr>
            <w:tcW w:w="1415" w:type="dxa"/>
            <w:tcBorders>
              <w:bottom w:val="single" w:sz="4" w:space="0" w:color="595959" w:themeColor="text1" w:themeTint="A6"/>
            </w:tcBorders>
            <w:shd w:val="clear" w:color="auto" w:fill="081E3E"/>
          </w:tcPr>
          <w:p w14:paraId="30D5A00B"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P-value</w:t>
            </w:r>
          </w:p>
        </w:tc>
        <w:tc>
          <w:tcPr>
            <w:tcW w:w="1310" w:type="dxa"/>
            <w:tcBorders>
              <w:bottom w:val="single" w:sz="4" w:space="0" w:color="595959" w:themeColor="text1" w:themeTint="A6"/>
            </w:tcBorders>
            <w:shd w:val="clear" w:color="auto" w:fill="081E3E"/>
          </w:tcPr>
          <w:p w14:paraId="0E699DE4"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Statistical significance</w:t>
            </w:r>
          </w:p>
        </w:tc>
      </w:tr>
      <w:tr w:rsidR="00494CC3" w:rsidRPr="00705B49" w14:paraId="3255C3F6" w14:textId="77777777" w:rsidTr="00747265">
        <w:tc>
          <w:tcPr>
            <w:cnfStyle w:val="001000000000" w:firstRow="0" w:lastRow="0" w:firstColumn="1" w:lastColumn="0" w:oddVBand="0" w:evenVBand="0" w:oddHBand="0" w:evenHBand="0" w:firstRowFirstColumn="0" w:firstRowLastColumn="0" w:lastRowFirstColumn="0" w:lastRowLastColumn="0"/>
            <w:tcW w:w="2042" w:type="dxa"/>
            <w:tcBorders>
              <w:bottom w:val="single" w:sz="4" w:space="0" w:color="4BB3B5"/>
            </w:tcBorders>
          </w:tcPr>
          <w:p w14:paraId="5D4748BD" w14:textId="77777777" w:rsidR="00494CC3" w:rsidRPr="00705B49" w:rsidRDefault="00494CC3" w:rsidP="00494CC3">
            <w:r w:rsidRPr="00705B49">
              <w:t>MFP growth</w:t>
            </w:r>
          </w:p>
        </w:tc>
        <w:tc>
          <w:tcPr>
            <w:tcW w:w="1927" w:type="dxa"/>
            <w:tcBorders>
              <w:bottom w:val="single" w:sz="4" w:space="0" w:color="4BB3B5"/>
            </w:tcBorders>
          </w:tcPr>
          <w:p w14:paraId="12BE6583"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Pooled OLS</w:t>
            </w:r>
          </w:p>
        </w:tc>
        <w:tc>
          <w:tcPr>
            <w:tcW w:w="2268" w:type="dxa"/>
            <w:tcBorders>
              <w:bottom w:val="single" w:sz="4" w:space="0" w:color="4BB3B5"/>
            </w:tcBorders>
          </w:tcPr>
          <w:p w14:paraId="2D4906D1"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0.8%</w:t>
            </w:r>
          </w:p>
        </w:tc>
        <w:tc>
          <w:tcPr>
            <w:tcW w:w="1415" w:type="dxa"/>
            <w:tcBorders>
              <w:bottom w:val="single" w:sz="4" w:space="0" w:color="4BB3B5"/>
            </w:tcBorders>
          </w:tcPr>
          <w:p w14:paraId="65974A8D"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0.077</w:t>
            </w:r>
          </w:p>
        </w:tc>
        <w:tc>
          <w:tcPr>
            <w:tcW w:w="1310" w:type="dxa"/>
            <w:tcBorders>
              <w:bottom w:val="single" w:sz="4" w:space="0" w:color="4BB3B5"/>
            </w:tcBorders>
          </w:tcPr>
          <w:p w14:paraId="78140020"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Weak significance</w:t>
            </w:r>
          </w:p>
        </w:tc>
      </w:tr>
      <w:tr w:rsidR="00494CC3" w:rsidRPr="00705B49" w14:paraId="363DE58B"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Borders>
              <w:top w:val="single" w:sz="4" w:space="0" w:color="4BB3B5"/>
              <w:bottom w:val="single" w:sz="4" w:space="0" w:color="4BB3B5"/>
            </w:tcBorders>
          </w:tcPr>
          <w:p w14:paraId="1F4B836B" w14:textId="77777777" w:rsidR="00494CC3" w:rsidRPr="00705B49" w:rsidRDefault="00494CC3" w:rsidP="00494CC3">
            <w:pPr>
              <w:rPr>
                <w:b w:val="0"/>
              </w:rPr>
            </w:pPr>
            <w:r w:rsidRPr="00705B49">
              <w:rPr>
                <w:b w:val="0"/>
              </w:rPr>
              <w:t>MFP growth</w:t>
            </w:r>
          </w:p>
        </w:tc>
        <w:tc>
          <w:tcPr>
            <w:tcW w:w="1927" w:type="dxa"/>
            <w:tcBorders>
              <w:top w:val="single" w:sz="4" w:space="0" w:color="4BB3B5"/>
              <w:bottom w:val="single" w:sz="4" w:space="0" w:color="4BB3B5"/>
            </w:tcBorders>
          </w:tcPr>
          <w:p w14:paraId="2EFD6B8D"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Two-way fixed-effects</w:t>
            </w:r>
          </w:p>
        </w:tc>
        <w:tc>
          <w:tcPr>
            <w:tcW w:w="2268" w:type="dxa"/>
            <w:tcBorders>
              <w:top w:val="single" w:sz="4" w:space="0" w:color="4BB3B5"/>
              <w:bottom w:val="single" w:sz="4" w:space="0" w:color="4BB3B5"/>
            </w:tcBorders>
          </w:tcPr>
          <w:p w14:paraId="4B13C53B"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0.8%</w:t>
            </w:r>
          </w:p>
        </w:tc>
        <w:tc>
          <w:tcPr>
            <w:tcW w:w="1415" w:type="dxa"/>
            <w:tcBorders>
              <w:top w:val="single" w:sz="4" w:space="0" w:color="4BB3B5"/>
              <w:bottom w:val="single" w:sz="4" w:space="0" w:color="4BB3B5"/>
            </w:tcBorders>
          </w:tcPr>
          <w:p w14:paraId="50824D70"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0.228</w:t>
            </w:r>
          </w:p>
        </w:tc>
        <w:tc>
          <w:tcPr>
            <w:tcW w:w="1310" w:type="dxa"/>
            <w:tcBorders>
              <w:top w:val="single" w:sz="4" w:space="0" w:color="4BB3B5"/>
              <w:bottom w:val="single" w:sz="4" w:space="0" w:color="4BB3B5"/>
            </w:tcBorders>
          </w:tcPr>
          <w:p w14:paraId="31E195D5"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No significance</w:t>
            </w:r>
          </w:p>
        </w:tc>
      </w:tr>
      <w:tr w:rsidR="00494CC3" w:rsidRPr="00705B49" w14:paraId="2A494253" w14:textId="77777777" w:rsidTr="00747265">
        <w:tc>
          <w:tcPr>
            <w:cnfStyle w:val="001000000000" w:firstRow="0" w:lastRow="0" w:firstColumn="1" w:lastColumn="0" w:oddVBand="0" w:evenVBand="0" w:oddHBand="0" w:evenHBand="0" w:firstRowFirstColumn="0" w:firstRowLastColumn="0" w:lastRowFirstColumn="0" w:lastRowLastColumn="0"/>
            <w:tcW w:w="2042" w:type="dxa"/>
            <w:tcBorders>
              <w:top w:val="single" w:sz="4" w:space="0" w:color="4BB3B5"/>
              <w:bottom w:val="single" w:sz="4" w:space="0" w:color="4BB3B5"/>
            </w:tcBorders>
          </w:tcPr>
          <w:p w14:paraId="7F9BE52D" w14:textId="77777777" w:rsidR="00494CC3" w:rsidRPr="00705B49" w:rsidRDefault="00494CC3" w:rsidP="00494CC3">
            <w:pPr>
              <w:rPr>
                <w:b w:val="0"/>
              </w:rPr>
            </w:pPr>
            <w:r w:rsidRPr="00705B49">
              <w:rPr>
                <w:b w:val="0"/>
              </w:rPr>
              <w:t>LP growth</w:t>
            </w:r>
          </w:p>
        </w:tc>
        <w:tc>
          <w:tcPr>
            <w:tcW w:w="1927" w:type="dxa"/>
            <w:tcBorders>
              <w:top w:val="single" w:sz="4" w:space="0" w:color="4BB3B5"/>
              <w:bottom w:val="single" w:sz="4" w:space="0" w:color="4BB3B5"/>
            </w:tcBorders>
          </w:tcPr>
          <w:p w14:paraId="1AB3EDD4"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Pooled OLS</w:t>
            </w:r>
          </w:p>
        </w:tc>
        <w:tc>
          <w:tcPr>
            <w:tcW w:w="2268" w:type="dxa"/>
            <w:tcBorders>
              <w:top w:val="single" w:sz="4" w:space="0" w:color="4BB3B5"/>
              <w:bottom w:val="single" w:sz="4" w:space="0" w:color="4BB3B5"/>
            </w:tcBorders>
          </w:tcPr>
          <w:p w14:paraId="03B7A8DF"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0.7%</w:t>
            </w:r>
          </w:p>
        </w:tc>
        <w:tc>
          <w:tcPr>
            <w:tcW w:w="1415" w:type="dxa"/>
            <w:tcBorders>
              <w:top w:val="single" w:sz="4" w:space="0" w:color="4BB3B5"/>
              <w:bottom w:val="single" w:sz="4" w:space="0" w:color="4BB3B5"/>
            </w:tcBorders>
          </w:tcPr>
          <w:p w14:paraId="37D63819"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705B49">
              <w:t>0.621</w:t>
            </w:r>
          </w:p>
        </w:tc>
        <w:tc>
          <w:tcPr>
            <w:tcW w:w="1310" w:type="dxa"/>
            <w:tcBorders>
              <w:top w:val="single" w:sz="4" w:space="0" w:color="4BB3B5"/>
              <w:bottom w:val="single" w:sz="4" w:space="0" w:color="4BB3B5"/>
            </w:tcBorders>
          </w:tcPr>
          <w:p w14:paraId="3032DCB1"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No significance</w:t>
            </w:r>
          </w:p>
        </w:tc>
      </w:tr>
      <w:tr w:rsidR="00494CC3" w:rsidRPr="00705B49" w14:paraId="1DEE6388"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Borders>
              <w:top w:val="single" w:sz="4" w:space="0" w:color="4BB3B5"/>
              <w:bottom w:val="single" w:sz="4" w:space="0" w:color="4BB3B5"/>
            </w:tcBorders>
          </w:tcPr>
          <w:p w14:paraId="578243B1" w14:textId="77777777" w:rsidR="00494CC3" w:rsidRPr="00705B49" w:rsidRDefault="00494CC3" w:rsidP="00494CC3">
            <w:pPr>
              <w:rPr>
                <w:b w:val="0"/>
              </w:rPr>
            </w:pPr>
            <w:r w:rsidRPr="00705B49">
              <w:rPr>
                <w:b w:val="0"/>
              </w:rPr>
              <w:t>LP growth</w:t>
            </w:r>
          </w:p>
        </w:tc>
        <w:tc>
          <w:tcPr>
            <w:tcW w:w="1927" w:type="dxa"/>
            <w:tcBorders>
              <w:top w:val="single" w:sz="4" w:space="0" w:color="4BB3B5"/>
              <w:bottom w:val="single" w:sz="4" w:space="0" w:color="4BB3B5"/>
            </w:tcBorders>
          </w:tcPr>
          <w:p w14:paraId="3B6BB977"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Two-way fixed-effects</w:t>
            </w:r>
          </w:p>
        </w:tc>
        <w:tc>
          <w:tcPr>
            <w:tcW w:w="2268" w:type="dxa"/>
            <w:tcBorders>
              <w:top w:val="single" w:sz="4" w:space="0" w:color="4BB3B5"/>
              <w:bottom w:val="single" w:sz="4" w:space="0" w:color="4BB3B5"/>
            </w:tcBorders>
          </w:tcPr>
          <w:p w14:paraId="2EB6CDBE"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2.4%</w:t>
            </w:r>
          </w:p>
        </w:tc>
        <w:tc>
          <w:tcPr>
            <w:tcW w:w="1415" w:type="dxa"/>
            <w:tcBorders>
              <w:top w:val="single" w:sz="4" w:space="0" w:color="4BB3B5"/>
              <w:bottom w:val="single" w:sz="4" w:space="0" w:color="4BB3B5"/>
            </w:tcBorders>
          </w:tcPr>
          <w:p w14:paraId="35FFBEC0"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0.240</w:t>
            </w:r>
          </w:p>
        </w:tc>
        <w:tc>
          <w:tcPr>
            <w:tcW w:w="1310" w:type="dxa"/>
            <w:tcBorders>
              <w:top w:val="single" w:sz="4" w:space="0" w:color="4BB3B5"/>
              <w:bottom w:val="single" w:sz="4" w:space="0" w:color="4BB3B5"/>
            </w:tcBorders>
          </w:tcPr>
          <w:p w14:paraId="2F45A597"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No significance</w:t>
            </w:r>
          </w:p>
        </w:tc>
      </w:tr>
    </w:tbl>
    <w:p w14:paraId="5D6D0B6E" w14:textId="77777777" w:rsidR="00494CC3" w:rsidRPr="00705B49" w:rsidRDefault="00494CC3" w:rsidP="008C3EB2">
      <w:pPr>
        <w:pStyle w:val="Sourcenotes"/>
      </w:pPr>
      <w:r w:rsidRPr="00705B49">
        <w:t xml:space="preserve">Source: BCARR analysis of BLADE data from </w:t>
      </w:r>
      <w:r w:rsidRPr="00705B49">
        <w:rPr>
          <w:noProof/>
        </w:rPr>
        <w:t>2009–10 to 2018–19</w:t>
      </w:r>
      <w:r w:rsidRPr="00705B49">
        <w:rPr>
          <w:noProof/>
          <w:lang w:val="en-US"/>
        </w:rPr>
        <w:t>.</w:t>
      </w:r>
      <w:r w:rsidRPr="00705B49">
        <w:t xml:space="preserve"> For full regression results, see </w:t>
      </w:r>
      <w:r w:rsidRPr="00705B49">
        <w:fldChar w:fldCharType="begin"/>
      </w:r>
      <w:r w:rsidRPr="00705B49">
        <w:instrText xml:space="preserve"> REF _Ref109891089 \h  \* MERGEFORMAT </w:instrText>
      </w:r>
      <w:r w:rsidRPr="00705B49">
        <w:fldChar w:fldCharType="separate"/>
      </w:r>
      <w:r w:rsidRPr="00705B49">
        <w:t>Appendix D: Broadband technology and productivity growth relationship</w:t>
      </w:r>
      <w:r w:rsidRPr="00705B49">
        <w:fldChar w:fldCharType="end"/>
      </w:r>
      <w:r w:rsidRPr="00705B49">
        <w:t>. High significance is indicated by p ≤ 0.05, weak significance is indicated by 0.05 &lt; p ≤ 0.10. For Pooled OLS, controls were based on firm industry, year, geography, firm size and firm age.</w:t>
      </w:r>
    </w:p>
    <w:p w14:paraId="3B5C6F8D" w14:textId="5E938A70" w:rsidR="00494CC3" w:rsidRPr="00705B49" w:rsidRDefault="00494CC3" w:rsidP="00494CC3">
      <w:r w:rsidRPr="00705B49">
        <w:t xml:space="preserve">There is also some evidence that firms without a broadband connection have lower labour productivity growth when compared with firms on DSL. </w:t>
      </w:r>
      <w:r w:rsidRPr="00705B49">
        <w:fldChar w:fldCharType="begin"/>
      </w:r>
      <w:r w:rsidRPr="00705B49">
        <w:instrText xml:space="preserve"> REF _Ref105158764 \h  \* MERGEFORMAT </w:instrText>
      </w:r>
      <w:r w:rsidRPr="00705B49">
        <w:fldChar w:fldCharType="separate"/>
      </w:r>
      <w:r w:rsidRPr="00705B49">
        <w:t xml:space="preserve">Table </w:t>
      </w:r>
      <w:r w:rsidRPr="00705B49">
        <w:rPr>
          <w:noProof/>
        </w:rPr>
        <w:t>6</w:t>
      </w:r>
      <w:r w:rsidRPr="00705B49">
        <w:fldChar w:fldCharType="end"/>
      </w:r>
      <w:r w:rsidRPr="00705B49">
        <w:t xml:space="preserve"> shows under a pooled OLS model, firms with no broadband are estimated to have 1.5 per cent lower annual LP growth. This estimate is highly statistically significant. Despite this finding, no significant relationship is observed for LP growth under a </w:t>
      </w:r>
      <w:r w:rsidR="00FF191D">
        <w:t>two</w:t>
      </w:r>
      <w:r w:rsidRPr="00705B49">
        <w:noBreakHyphen/>
        <w:t>way fixed-effects model, nor for MFP growth under either pooled OLS or fixed-effects models. The lack of a relationship with MFP growth could mean that the significance of LP growth is driven by firm choices to invest in capital inputs (which are not captured by the metric for LP growth).</w:t>
      </w:r>
    </w:p>
    <w:p w14:paraId="64303FF9" w14:textId="77777777" w:rsidR="005518D8" w:rsidRDefault="005518D8">
      <w:pPr>
        <w:spacing w:line="259" w:lineRule="auto"/>
        <w:rPr>
          <w:b/>
        </w:rPr>
      </w:pPr>
      <w:bookmarkStart w:id="87" w:name="_Ref105158764"/>
      <w:bookmarkStart w:id="88" w:name="_Toc115175389"/>
      <w:bookmarkStart w:id="89" w:name="_Toc129767621"/>
      <w:r>
        <w:br w:type="page"/>
      </w:r>
    </w:p>
    <w:p w14:paraId="2A1325CD" w14:textId="77777777" w:rsidR="00494CC3" w:rsidRPr="00705B49" w:rsidRDefault="00494CC3" w:rsidP="00FF191D">
      <w:pPr>
        <w:pStyle w:val="Tablefigureheading"/>
      </w:pPr>
      <w:r w:rsidRPr="00705B49">
        <w:lastRenderedPageBreak/>
        <w:t xml:space="preserve">Table </w:t>
      </w:r>
      <w:fldSimple w:instr=" SEQ Table \* ARABIC ">
        <w:r w:rsidRPr="00705B49">
          <w:rPr>
            <w:noProof/>
          </w:rPr>
          <w:t>6</w:t>
        </w:r>
      </w:fldSimple>
      <w:bookmarkEnd w:id="87"/>
      <w:r w:rsidRPr="00705B49">
        <w:t>. Productivity growth for firms without broadband, compared with DSL – Regression results</w:t>
      </w:r>
      <w:bookmarkEnd w:id="88"/>
      <w:bookmarkEnd w:id="89"/>
      <w:r w:rsidRPr="00705B49">
        <w:t xml:space="preserve"> </w:t>
      </w:r>
    </w:p>
    <w:tbl>
      <w:tblPr>
        <w:tblStyle w:val="DefaultTable1"/>
        <w:tblW w:w="9779" w:type="dxa"/>
        <w:tblLook w:val="04A0" w:firstRow="1" w:lastRow="0" w:firstColumn="1" w:lastColumn="0" w:noHBand="0" w:noVBand="1"/>
        <w:tblCaption w:val="Table 6. Productivity growth for firms without broadband, compared with DSL – Regression results "/>
      </w:tblPr>
      <w:tblGrid>
        <w:gridCol w:w="1726"/>
        <w:gridCol w:w="2509"/>
        <w:gridCol w:w="2823"/>
        <w:gridCol w:w="1412"/>
        <w:gridCol w:w="1309"/>
      </w:tblGrid>
      <w:tr w:rsidR="00494CC3" w:rsidRPr="00705B49" w14:paraId="727A872C"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595959" w:themeColor="text1" w:themeTint="A6"/>
            </w:tcBorders>
            <w:shd w:val="clear" w:color="auto" w:fill="081E3E"/>
          </w:tcPr>
          <w:p w14:paraId="3B9DE3FE" w14:textId="77777777" w:rsidR="00494CC3" w:rsidRPr="00705B49" w:rsidRDefault="00494CC3" w:rsidP="00494CC3">
            <w:r w:rsidRPr="00705B49">
              <w:t>Productivity measure</w:t>
            </w:r>
          </w:p>
        </w:tc>
        <w:tc>
          <w:tcPr>
            <w:tcW w:w="2268" w:type="dxa"/>
            <w:tcBorders>
              <w:bottom w:val="single" w:sz="4" w:space="0" w:color="595959" w:themeColor="text1" w:themeTint="A6"/>
            </w:tcBorders>
            <w:shd w:val="clear" w:color="auto" w:fill="081E3E"/>
          </w:tcPr>
          <w:p w14:paraId="33405BCB"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Model</w:t>
            </w:r>
          </w:p>
        </w:tc>
        <w:tc>
          <w:tcPr>
            <w:tcW w:w="2551" w:type="dxa"/>
            <w:tcBorders>
              <w:bottom w:val="single" w:sz="4" w:space="0" w:color="595959" w:themeColor="text1" w:themeTint="A6"/>
            </w:tcBorders>
            <w:shd w:val="clear" w:color="auto" w:fill="081E3E"/>
          </w:tcPr>
          <w:p w14:paraId="470E5064"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Annual productivity growth of No broadband (compared with DSL)</w:t>
            </w:r>
          </w:p>
        </w:tc>
        <w:tc>
          <w:tcPr>
            <w:tcW w:w="1276" w:type="dxa"/>
            <w:tcBorders>
              <w:bottom w:val="single" w:sz="4" w:space="0" w:color="595959" w:themeColor="text1" w:themeTint="A6"/>
            </w:tcBorders>
            <w:shd w:val="clear" w:color="auto" w:fill="081E3E"/>
          </w:tcPr>
          <w:p w14:paraId="0B2ED769"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P-value</w:t>
            </w:r>
          </w:p>
        </w:tc>
        <w:tc>
          <w:tcPr>
            <w:tcW w:w="0" w:type="dxa"/>
            <w:tcBorders>
              <w:bottom w:val="single" w:sz="4" w:space="0" w:color="595959" w:themeColor="text1" w:themeTint="A6"/>
            </w:tcBorders>
            <w:shd w:val="clear" w:color="auto" w:fill="081E3E"/>
          </w:tcPr>
          <w:p w14:paraId="1F0A8AC6"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Statistical significance</w:t>
            </w:r>
          </w:p>
        </w:tc>
      </w:tr>
      <w:tr w:rsidR="00494CC3" w:rsidRPr="00705B49" w14:paraId="09D4CEAB" w14:textId="77777777" w:rsidTr="00747265">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4BB3B5"/>
            </w:tcBorders>
          </w:tcPr>
          <w:p w14:paraId="61A09A7E" w14:textId="77777777" w:rsidR="00494CC3" w:rsidRPr="00705B49" w:rsidRDefault="00494CC3" w:rsidP="00494CC3">
            <w:pPr>
              <w:rPr>
                <w:b w:val="0"/>
              </w:rPr>
            </w:pPr>
            <w:r w:rsidRPr="00705B49">
              <w:rPr>
                <w:b w:val="0"/>
              </w:rPr>
              <w:t>MFP growth</w:t>
            </w:r>
          </w:p>
        </w:tc>
        <w:tc>
          <w:tcPr>
            <w:tcW w:w="2268" w:type="dxa"/>
            <w:tcBorders>
              <w:bottom w:val="single" w:sz="4" w:space="0" w:color="4BB3B5"/>
            </w:tcBorders>
          </w:tcPr>
          <w:p w14:paraId="6953C92F"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Pooled OLS</w:t>
            </w:r>
          </w:p>
        </w:tc>
        <w:tc>
          <w:tcPr>
            <w:tcW w:w="2551" w:type="dxa"/>
            <w:tcBorders>
              <w:bottom w:val="single" w:sz="4" w:space="0" w:color="4BB3B5"/>
            </w:tcBorders>
          </w:tcPr>
          <w:p w14:paraId="4E5A021D"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-0.9%</w:t>
            </w:r>
          </w:p>
        </w:tc>
        <w:tc>
          <w:tcPr>
            <w:tcW w:w="1276" w:type="dxa"/>
            <w:tcBorders>
              <w:bottom w:val="single" w:sz="4" w:space="0" w:color="4BB3B5"/>
            </w:tcBorders>
          </w:tcPr>
          <w:p w14:paraId="6E0FFDE8"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0.252</w:t>
            </w:r>
          </w:p>
        </w:tc>
        <w:tc>
          <w:tcPr>
            <w:tcW w:w="0" w:type="dxa"/>
            <w:tcBorders>
              <w:bottom w:val="single" w:sz="4" w:space="0" w:color="4BB3B5"/>
            </w:tcBorders>
          </w:tcPr>
          <w:p w14:paraId="768C9248"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No significance</w:t>
            </w:r>
          </w:p>
        </w:tc>
      </w:tr>
      <w:tr w:rsidR="00494CC3" w:rsidRPr="00705B49" w14:paraId="702FBC65"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4BB3B5"/>
              <w:bottom w:val="single" w:sz="4" w:space="0" w:color="4BB3B5"/>
            </w:tcBorders>
          </w:tcPr>
          <w:p w14:paraId="440928FF" w14:textId="77777777" w:rsidR="00494CC3" w:rsidRPr="00705B49" w:rsidRDefault="00494CC3" w:rsidP="00494CC3">
            <w:pPr>
              <w:rPr>
                <w:b w:val="0"/>
              </w:rPr>
            </w:pPr>
            <w:r w:rsidRPr="00705B49">
              <w:rPr>
                <w:b w:val="0"/>
              </w:rPr>
              <w:t>MFP growth</w:t>
            </w:r>
          </w:p>
        </w:tc>
        <w:tc>
          <w:tcPr>
            <w:tcW w:w="2268" w:type="dxa"/>
            <w:tcBorders>
              <w:top w:val="single" w:sz="4" w:space="0" w:color="4BB3B5"/>
              <w:bottom w:val="single" w:sz="4" w:space="0" w:color="4BB3B5"/>
            </w:tcBorders>
          </w:tcPr>
          <w:p w14:paraId="2E76A54A"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Two-way fixed-effects</w:t>
            </w:r>
          </w:p>
        </w:tc>
        <w:tc>
          <w:tcPr>
            <w:tcW w:w="2551" w:type="dxa"/>
            <w:tcBorders>
              <w:top w:val="single" w:sz="4" w:space="0" w:color="4BB3B5"/>
              <w:bottom w:val="single" w:sz="4" w:space="0" w:color="4BB3B5"/>
            </w:tcBorders>
          </w:tcPr>
          <w:p w14:paraId="18AFDBE1"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-1.7%</w:t>
            </w:r>
          </w:p>
        </w:tc>
        <w:tc>
          <w:tcPr>
            <w:tcW w:w="1276" w:type="dxa"/>
            <w:tcBorders>
              <w:top w:val="single" w:sz="4" w:space="0" w:color="4BB3B5"/>
              <w:bottom w:val="single" w:sz="4" w:space="0" w:color="4BB3B5"/>
            </w:tcBorders>
          </w:tcPr>
          <w:p w14:paraId="2D9311F8"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0.265</w:t>
            </w:r>
          </w:p>
        </w:tc>
        <w:tc>
          <w:tcPr>
            <w:tcW w:w="0" w:type="dxa"/>
            <w:tcBorders>
              <w:top w:val="single" w:sz="4" w:space="0" w:color="4BB3B5"/>
              <w:bottom w:val="single" w:sz="4" w:space="0" w:color="4BB3B5"/>
            </w:tcBorders>
          </w:tcPr>
          <w:p w14:paraId="7E2518A7"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No significance</w:t>
            </w:r>
          </w:p>
        </w:tc>
      </w:tr>
      <w:tr w:rsidR="00494CC3" w:rsidRPr="00705B49" w14:paraId="0679C450" w14:textId="77777777" w:rsidTr="00747265">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4BB3B5"/>
              <w:bottom w:val="single" w:sz="4" w:space="0" w:color="4BB3B5"/>
            </w:tcBorders>
          </w:tcPr>
          <w:p w14:paraId="725B6719" w14:textId="77777777" w:rsidR="00494CC3" w:rsidRPr="00705B49" w:rsidRDefault="00494CC3" w:rsidP="00494CC3">
            <w:r w:rsidRPr="00705B49">
              <w:t>LP growth</w:t>
            </w:r>
          </w:p>
        </w:tc>
        <w:tc>
          <w:tcPr>
            <w:tcW w:w="2268" w:type="dxa"/>
            <w:tcBorders>
              <w:top w:val="single" w:sz="4" w:space="0" w:color="4BB3B5"/>
              <w:bottom w:val="single" w:sz="4" w:space="0" w:color="4BB3B5"/>
            </w:tcBorders>
          </w:tcPr>
          <w:p w14:paraId="378F2664"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Pooled OLS</w:t>
            </w:r>
          </w:p>
        </w:tc>
        <w:tc>
          <w:tcPr>
            <w:tcW w:w="2551" w:type="dxa"/>
            <w:tcBorders>
              <w:top w:val="single" w:sz="4" w:space="0" w:color="4BB3B5"/>
              <w:bottom w:val="single" w:sz="4" w:space="0" w:color="4BB3B5"/>
            </w:tcBorders>
          </w:tcPr>
          <w:p w14:paraId="09C08AFF"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-1.5%</w:t>
            </w:r>
          </w:p>
        </w:tc>
        <w:tc>
          <w:tcPr>
            <w:tcW w:w="1276" w:type="dxa"/>
            <w:tcBorders>
              <w:top w:val="single" w:sz="4" w:space="0" w:color="4BB3B5"/>
              <w:bottom w:val="single" w:sz="4" w:space="0" w:color="4BB3B5"/>
            </w:tcBorders>
          </w:tcPr>
          <w:p w14:paraId="3AA102BF"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&lt; 0.001</w:t>
            </w:r>
          </w:p>
        </w:tc>
        <w:tc>
          <w:tcPr>
            <w:tcW w:w="0" w:type="dxa"/>
            <w:tcBorders>
              <w:top w:val="single" w:sz="4" w:space="0" w:color="4BB3B5"/>
              <w:bottom w:val="single" w:sz="4" w:space="0" w:color="4BB3B5"/>
            </w:tcBorders>
          </w:tcPr>
          <w:p w14:paraId="4DF3365F"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High significance</w:t>
            </w:r>
          </w:p>
        </w:tc>
      </w:tr>
      <w:tr w:rsidR="00494CC3" w:rsidRPr="00705B49" w14:paraId="0344A5F0"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4BB3B5"/>
              <w:bottom w:val="single" w:sz="4" w:space="0" w:color="4BB3B5"/>
            </w:tcBorders>
          </w:tcPr>
          <w:p w14:paraId="086CF6D3" w14:textId="77777777" w:rsidR="00494CC3" w:rsidRPr="00705B49" w:rsidRDefault="00494CC3" w:rsidP="00494CC3">
            <w:pPr>
              <w:rPr>
                <w:b w:val="0"/>
              </w:rPr>
            </w:pPr>
            <w:r w:rsidRPr="00705B49">
              <w:rPr>
                <w:b w:val="0"/>
              </w:rPr>
              <w:t>LP growth</w:t>
            </w:r>
          </w:p>
        </w:tc>
        <w:tc>
          <w:tcPr>
            <w:tcW w:w="2268" w:type="dxa"/>
            <w:tcBorders>
              <w:top w:val="single" w:sz="4" w:space="0" w:color="4BB3B5"/>
              <w:bottom w:val="single" w:sz="4" w:space="0" w:color="4BB3B5"/>
            </w:tcBorders>
          </w:tcPr>
          <w:p w14:paraId="5745B43F"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Two-way fixed-effects</w:t>
            </w:r>
          </w:p>
        </w:tc>
        <w:tc>
          <w:tcPr>
            <w:tcW w:w="2551" w:type="dxa"/>
            <w:tcBorders>
              <w:top w:val="single" w:sz="4" w:space="0" w:color="4BB3B5"/>
              <w:bottom w:val="single" w:sz="4" w:space="0" w:color="4BB3B5"/>
            </w:tcBorders>
          </w:tcPr>
          <w:p w14:paraId="2820CC8D"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5.5%</w:t>
            </w:r>
          </w:p>
        </w:tc>
        <w:tc>
          <w:tcPr>
            <w:tcW w:w="1276" w:type="dxa"/>
            <w:tcBorders>
              <w:top w:val="single" w:sz="4" w:space="0" w:color="4BB3B5"/>
              <w:bottom w:val="single" w:sz="4" w:space="0" w:color="4BB3B5"/>
            </w:tcBorders>
          </w:tcPr>
          <w:p w14:paraId="0D53F3C6"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0.217</w:t>
            </w:r>
          </w:p>
        </w:tc>
        <w:tc>
          <w:tcPr>
            <w:tcW w:w="0" w:type="dxa"/>
            <w:tcBorders>
              <w:top w:val="single" w:sz="4" w:space="0" w:color="4BB3B5"/>
              <w:bottom w:val="single" w:sz="4" w:space="0" w:color="4BB3B5"/>
            </w:tcBorders>
          </w:tcPr>
          <w:p w14:paraId="68BBAF65"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No significance</w:t>
            </w:r>
          </w:p>
        </w:tc>
      </w:tr>
    </w:tbl>
    <w:p w14:paraId="7B9E9F68" w14:textId="77777777" w:rsidR="00494CC3" w:rsidRPr="00705B49" w:rsidRDefault="00494CC3" w:rsidP="007D0784">
      <w:pPr>
        <w:pStyle w:val="Sourcenotes"/>
      </w:pPr>
      <w:r w:rsidRPr="00705B49">
        <w:t xml:space="preserve">Source: BCARR analysis of BLADE data from </w:t>
      </w:r>
      <w:r w:rsidRPr="00705B49">
        <w:rPr>
          <w:noProof/>
        </w:rPr>
        <w:t>2009–10 to 2018–19</w:t>
      </w:r>
      <w:r w:rsidRPr="00705B49">
        <w:rPr>
          <w:noProof/>
          <w:lang w:val="en-US"/>
        </w:rPr>
        <w:t xml:space="preserve">. </w:t>
      </w:r>
      <w:r w:rsidRPr="00705B49">
        <w:t xml:space="preserve">For full regression results, see </w:t>
      </w:r>
      <w:r w:rsidRPr="00705B49">
        <w:fldChar w:fldCharType="begin"/>
      </w:r>
      <w:r w:rsidRPr="00705B49">
        <w:instrText xml:space="preserve"> REF _Ref109891089 \h  \* MERGEFORMAT </w:instrText>
      </w:r>
      <w:r w:rsidRPr="00705B49">
        <w:fldChar w:fldCharType="separate"/>
      </w:r>
      <w:r w:rsidRPr="00705B49">
        <w:t>Appendix D: Broadband technology and productivity growth relationship</w:t>
      </w:r>
      <w:r w:rsidRPr="00705B49">
        <w:fldChar w:fldCharType="end"/>
      </w:r>
      <w:r w:rsidRPr="00705B49">
        <w:t>. High significance is indicated by p ≤ 0.05, weak significance is indicated by 0.05 &lt; p ≤ 0.10. For Pooled OLS, controls were based on firm industry, year, geography, firm size and firm age.</w:t>
      </w:r>
    </w:p>
    <w:p w14:paraId="0F5653F8" w14:textId="77777777" w:rsidR="00494CC3" w:rsidRPr="00705B49" w:rsidRDefault="00494CC3" w:rsidP="00494CC3">
      <w:pPr>
        <w:rPr>
          <w:lang w:val="en-US"/>
        </w:rPr>
      </w:pPr>
      <w:bookmarkStart w:id="90" w:name="_Hlk116310009"/>
      <w:r w:rsidRPr="00705B49">
        <w:t>Regression analysis indicates that firms with satellite broadband have higher MFP growth than when on DSL. This relationship is not evident in the pooled OLS model but is significant in the fixed-effects model. The observed benefits for satellite broadband are high, with firms that adopt satellite broadband with 5.6 per cent higher annual MFP growth over DSL. These results suggest that firms that adopt satellite is associated with increasing MFP within that firm. Despite the statistical significance, caution must be taken when interpreting the results for satellite broadband due to the small number of firms in the BCS with satellite-based connections (around 180 firms annually).</w:t>
      </w:r>
      <w:r w:rsidRPr="00705B49">
        <w:rPr>
          <w:rStyle w:val="EndnoteReference"/>
        </w:rPr>
        <w:endnoteReference w:id="16"/>
      </w:r>
    </w:p>
    <w:p w14:paraId="7DE00CF5" w14:textId="77777777" w:rsidR="00494CC3" w:rsidRPr="00705B49" w:rsidRDefault="00494CC3" w:rsidP="00FF191D">
      <w:pPr>
        <w:pStyle w:val="Tablefigureheading"/>
      </w:pPr>
      <w:bookmarkStart w:id="91" w:name="_Ref111807232"/>
      <w:bookmarkStart w:id="92" w:name="_Toc115175390"/>
      <w:bookmarkStart w:id="93" w:name="_Toc129767622"/>
      <w:bookmarkEnd w:id="90"/>
      <w:r w:rsidRPr="00705B49">
        <w:t xml:space="preserve">Table </w:t>
      </w:r>
      <w:fldSimple w:instr=" SEQ Table \* ARABIC ">
        <w:r w:rsidRPr="00705B49">
          <w:rPr>
            <w:noProof/>
          </w:rPr>
          <w:t>7</w:t>
        </w:r>
      </w:fldSimple>
      <w:bookmarkEnd w:id="91"/>
      <w:r w:rsidRPr="00705B49">
        <w:t>. Productivity growth for firms on satellite broadband, compared with DSL – Regression results</w:t>
      </w:r>
      <w:bookmarkEnd w:id="92"/>
      <w:bookmarkEnd w:id="93"/>
    </w:p>
    <w:tbl>
      <w:tblPr>
        <w:tblStyle w:val="DefaultTable1"/>
        <w:tblW w:w="8965" w:type="dxa"/>
        <w:tblLook w:val="04A0" w:firstRow="1" w:lastRow="0" w:firstColumn="1" w:lastColumn="0" w:noHBand="0" w:noVBand="1"/>
        <w:tblCaption w:val="Table 7. Productivity growth for firms on satellite broadband, compared with DSL – Regression results "/>
      </w:tblPr>
      <w:tblGrid>
        <w:gridCol w:w="1727"/>
        <w:gridCol w:w="2101"/>
        <w:gridCol w:w="2455"/>
        <w:gridCol w:w="1372"/>
        <w:gridCol w:w="1310"/>
      </w:tblGrid>
      <w:tr w:rsidR="00494CC3" w:rsidRPr="00705B49" w14:paraId="1899DA8B"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bottom w:val="single" w:sz="4" w:space="0" w:color="595959" w:themeColor="text1" w:themeTint="A6"/>
            </w:tcBorders>
            <w:shd w:val="clear" w:color="auto" w:fill="081E3E"/>
          </w:tcPr>
          <w:p w14:paraId="175E183B" w14:textId="77777777" w:rsidR="00494CC3" w:rsidRPr="00705B49" w:rsidRDefault="00494CC3" w:rsidP="00494CC3">
            <w:r w:rsidRPr="00705B49">
              <w:t>Productivity measure</w:t>
            </w:r>
          </w:p>
        </w:tc>
        <w:tc>
          <w:tcPr>
            <w:tcW w:w="2101" w:type="dxa"/>
            <w:tcBorders>
              <w:bottom w:val="single" w:sz="4" w:space="0" w:color="595959" w:themeColor="text1" w:themeTint="A6"/>
            </w:tcBorders>
            <w:shd w:val="clear" w:color="auto" w:fill="081E3E"/>
          </w:tcPr>
          <w:p w14:paraId="0FD4416A"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Model</w:t>
            </w:r>
          </w:p>
        </w:tc>
        <w:tc>
          <w:tcPr>
            <w:tcW w:w="2455" w:type="dxa"/>
            <w:tcBorders>
              <w:bottom w:val="single" w:sz="4" w:space="0" w:color="595959" w:themeColor="text1" w:themeTint="A6"/>
            </w:tcBorders>
            <w:shd w:val="clear" w:color="auto" w:fill="081E3E"/>
          </w:tcPr>
          <w:p w14:paraId="5CDE38E7"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Annual productivity growth of Satellite (compared with DSL)</w:t>
            </w:r>
          </w:p>
        </w:tc>
        <w:tc>
          <w:tcPr>
            <w:tcW w:w="1372" w:type="dxa"/>
            <w:tcBorders>
              <w:bottom w:val="single" w:sz="4" w:space="0" w:color="595959" w:themeColor="text1" w:themeTint="A6"/>
            </w:tcBorders>
            <w:shd w:val="clear" w:color="auto" w:fill="081E3E"/>
          </w:tcPr>
          <w:p w14:paraId="5439D500"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P-value</w:t>
            </w:r>
          </w:p>
        </w:tc>
        <w:tc>
          <w:tcPr>
            <w:tcW w:w="1310" w:type="dxa"/>
            <w:tcBorders>
              <w:bottom w:val="single" w:sz="4" w:space="0" w:color="595959" w:themeColor="text1" w:themeTint="A6"/>
            </w:tcBorders>
            <w:shd w:val="clear" w:color="auto" w:fill="081E3E"/>
          </w:tcPr>
          <w:p w14:paraId="49AD4E18"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Statistical significance</w:t>
            </w:r>
          </w:p>
        </w:tc>
      </w:tr>
      <w:tr w:rsidR="00494CC3" w:rsidRPr="00705B49" w14:paraId="0F8AF349" w14:textId="77777777" w:rsidTr="00747265">
        <w:tc>
          <w:tcPr>
            <w:cnfStyle w:val="001000000000" w:firstRow="0" w:lastRow="0" w:firstColumn="1" w:lastColumn="0" w:oddVBand="0" w:evenVBand="0" w:oddHBand="0" w:evenHBand="0" w:firstRowFirstColumn="0" w:firstRowLastColumn="0" w:lastRowFirstColumn="0" w:lastRowLastColumn="0"/>
            <w:tcW w:w="1727" w:type="dxa"/>
            <w:tcBorders>
              <w:bottom w:val="single" w:sz="4" w:space="0" w:color="4BB3B5"/>
            </w:tcBorders>
          </w:tcPr>
          <w:p w14:paraId="6161C895" w14:textId="77777777" w:rsidR="00494CC3" w:rsidRPr="00705B49" w:rsidRDefault="00494CC3" w:rsidP="00494CC3">
            <w:pPr>
              <w:rPr>
                <w:b w:val="0"/>
              </w:rPr>
            </w:pPr>
            <w:r w:rsidRPr="00705B49">
              <w:rPr>
                <w:b w:val="0"/>
              </w:rPr>
              <w:t>MFP growth</w:t>
            </w:r>
          </w:p>
        </w:tc>
        <w:tc>
          <w:tcPr>
            <w:tcW w:w="2101" w:type="dxa"/>
            <w:tcBorders>
              <w:bottom w:val="single" w:sz="4" w:space="0" w:color="4BB3B5"/>
            </w:tcBorders>
          </w:tcPr>
          <w:p w14:paraId="7F58DDE8"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Pooled OLS</w:t>
            </w:r>
          </w:p>
        </w:tc>
        <w:tc>
          <w:tcPr>
            <w:tcW w:w="2455" w:type="dxa"/>
            <w:tcBorders>
              <w:bottom w:val="single" w:sz="4" w:space="0" w:color="4BB3B5"/>
            </w:tcBorders>
          </w:tcPr>
          <w:p w14:paraId="0F460F0F"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0.7%</w:t>
            </w:r>
          </w:p>
        </w:tc>
        <w:tc>
          <w:tcPr>
            <w:tcW w:w="1372" w:type="dxa"/>
            <w:tcBorders>
              <w:bottom w:val="single" w:sz="4" w:space="0" w:color="4BB3B5"/>
            </w:tcBorders>
          </w:tcPr>
          <w:p w14:paraId="0DBC7D02"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0.57</w:t>
            </w:r>
          </w:p>
        </w:tc>
        <w:tc>
          <w:tcPr>
            <w:tcW w:w="1310" w:type="dxa"/>
            <w:tcBorders>
              <w:bottom w:val="single" w:sz="4" w:space="0" w:color="4BB3B5"/>
            </w:tcBorders>
          </w:tcPr>
          <w:p w14:paraId="13145EF1"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No significance</w:t>
            </w:r>
          </w:p>
        </w:tc>
      </w:tr>
      <w:tr w:rsidR="00494CC3" w:rsidRPr="00705B49" w14:paraId="79B33026"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4BB3B5"/>
              <w:bottom w:val="single" w:sz="4" w:space="0" w:color="4BB3B5"/>
            </w:tcBorders>
          </w:tcPr>
          <w:p w14:paraId="60A3DFAE" w14:textId="77777777" w:rsidR="00494CC3" w:rsidRPr="00705B49" w:rsidRDefault="00494CC3" w:rsidP="00494CC3">
            <w:r w:rsidRPr="00705B49">
              <w:t>MFP growth</w:t>
            </w:r>
          </w:p>
        </w:tc>
        <w:tc>
          <w:tcPr>
            <w:tcW w:w="2101" w:type="dxa"/>
            <w:tcBorders>
              <w:top w:val="single" w:sz="4" w:space="0" w:color="4BB3B5"/>
              <w:bottom w:val="single" w:sz="4" w:space="0" w:color="4BB3B5"/>
            </w:tcBorders>
          </w:tcPr>
          <w:p w14:paraId="09C8FDD7"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Two-way fixed-effects</w:t>
            </w:r>
          </w:p>
        </w:tc>
        <w:tc>
          <w:tcPr>
            <w:tcW w:w="2455" w:type="dxa"/>
            <w:tcBorders>
              <w:top w:val="single" w:sz="4" w:space="0" w:color="4BB3B5"/>
              <w:bottom w:val="single" w:sz="4" w:space="0" w:color="4BB3B5"/>
            </w:tcBorders>
          </w:tcPr>
          <w:p w14:paraId="7EBEDC98"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5.6%</w:t>
            </w:r>
          </w:p>
        </w:tc>
        <w:tc>
          <w:tcPr>
            <w:tcW w:w="1372" w:type="dxa"/>
            <w:tcBorders>
              <w:top w:val="single" w:sz="4" w:space="0" w:color="4BB3B5"/>
              <w:bottom w:val="single" w:sz="4" w:space="0" w:color="4BB3B5"/>
            </w:tcBorders>
          </w:tcPr>
          <w:p w14:paraId="7B21BBF6"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0.02</w:t>
            </w:r>
          </w:p>
        </w:tc>
        <w:tc>
          <w:tcPr>
            <w:tcW w:w="1310" w:type="dxa"/>
            <w:tcBorders>
              <w:top w:val="single" w:sz="4" w:space="0" w:color="4BB3B5"/>
              <w:bottom w:val="single" w:sz="4" w:space="0" w:color="4BB3B5"/>
            </w:tcBorders>
          </w:tcPr>
          <w:p w14:paraId="5834B93D"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High significance</w:t>
            </w:r>
          </w:p>
        </w:tc>
      </w:tr>
      <w:tr w:rsidR="00494CC3" w:rsidRPr="00705B49" w14:paraId="61AE7D60" w14:textId="77777777" w:rsidTr="00747265">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4BB3B5"/>
              <w:bottom w:val="single" w:sz="4" w:space="0" w:color="4BB3B5"/>
            </w:tcBorders>
          </w:tcPr>
          <w:p w14:paraId="6A4B1D95" w14:textId="77777777" w:rsidR="00494CC3" w:rsidRPr="00705B49" w:rsidRDefault="00494CC3" w:rsidP="00494CC3">
            <w:pPr>
              <w:rPr>
                <w:b w:val="0"/>
              </w:rPr>
            </w:pPr>
            <w:r w:rsidRPr="00705B49">
              <w:rPr>
                <w:b w:val="0"/>
              </w:rPr>
              <w:t>LP growth</w:t>
            </w:r>
          </w:p>
        </w:tc>
        <w:tc>
          <w:tcPr>
            <w:tcW w:w="2101" w:type="dxa"/>
            <w:tcBorders>
              <w:top w:val="single" w:sz="4" w:space="0" w:color="4BB3B5"/>
              <w:bottom w:val="single" w:sz="4" w:space="0" w:color="4BB3B5"/>
            </w:tcBorders>
          </w:tcPr>
          <w:p w14:paraId="5EBAE007"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Pooled OLS</w:t>
            </w:r>
          </w:p>
        </w:tc>
        <w:tc>
          <w:tcPr>
            <w:tcW w:w="2455" w:type="dxa"/>
            <w:tcBorders>
              <w:top w:val="single" w:sz="4" w:space="0" w:color="4BB3B5"/>
              <w:bottom w:val="single" w:sz="4" w:space="0" w:color="4BB3B5"/>
            </w:tcBorders>
          </w:tcPr>
          <w:p w14:paraId="423152E5"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-5.2%</w:t>
            </w:r>
          </w:p>
        </w:tc>
        <w:tc>
          <w:tcPr>
            <w:tcW w:w="1372" w:type="dxa"/>
            <w:tcBorders>
              <w:top w:val="single" w:sz="4" w:space="0" w:color="4BB3B5"/>
              <w:bottom w:val="single" w:sz="4" w:space="0" w:color="4BB3B5"/>
            </w:tcBorders>
          </w:tcPr>
          <w:p w14:paraId="7945F9AC"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0.17</w:t>
            </w:r>
          </w:p>
        </w:tc>
        <w:tc>
          <w:tcPr>
            <w:tcW w:w="1310" w:type="dxa"/>
            <w:tcBorders>
              <w:top w:val="single" w:sz="4" w:space="0" w:color="4BB3B5"/>
              <w:bottom w:val="single" w:sz="4" w:space="0" w:color="4BB3B5"/>
            </w:tcBorders>
          </w:tcPr>
          <w:p w14:paraId="0C883D90"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No significance</w:t>
            </w:r>
          </w:p>
        </w:tc>
      </w:tr>
      <w:tr w:rsidR="00494CC3" w:rsidRPr="00705B49" w14:paraId="4B5C9620"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4BB3B5"/>
              <w:bottom w:val="single" w:sz="4" w:space="0" w:color="4BB3B5"/>
            </w:tcBorders>
          </w:tcPr>
          <w:p w14:paraId="7E0CB153" w14:textId="77777777" w:rsidR="00494CC3" w:rsidRPr="00705B49" w:rsidRDefault="00494CC3" w:rsidP="00494CC3">
            <w:pPr>
              <w:rPr>
                <w:b w:val="0"/>
              </w:rPr>
            </w:pPr>
            <w:r w:rsidRPr="00705B49">
              <w:rPr>
                <w:b w:val="0"/>
              </w:rPr>
              <w:t>LP growth</w:t>
            </w:r>
          </w:p>
        </w:tc>
        <w:tc>
          <w:tcPr>
            <w:tcW w:w="2101" w:type="dxa"/>
            <w:tcBorders>
              <w:top w:val="single" w:sz="4" w:space="0" w:color="4BB3B5"/>
              <w:bottom w:val="single" w:sz="4" w:space="0" w:color="4BB3B5"/>
            </w:tcBorders>
          </w:tcPr>
          <w:p w14:paraId="47FBBB1B"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Two-way fixed-effects</w:t>
            </w:r>
          </w:p>
        </w:tc>
        <w:tc>
          <w:tcPr>
            <w:tcW w:w="2455" w:type="dxa"/>
            <w:tcBorders>
              <w:top w:val="single" w:sz="4" w:space="0" w:color="4BB3B5"/>
              <w:bottom w:val="single" w:sz="4" w:space="0" w:color="4BB3B5"/>
            </w:tcBorders>
          </w:tcPr>
          <w:p w14:paraId="1F45E1B0"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7.1%</w:t>
            </w:r>
          </w:p>
        </w:tc>
        <w:tc>
          <w:tcPr>
            <w:tcW w:w="1372" w:type="dxa"/>
            <w:tcBorders>
              <w:top w:val="single" w:sz="4" w:space="0" w:color="4BB3B5"/>
              <w:bottom w:val="single" w:sz="4" w:space="0" w:color="4BB3B5"/>
            </w:tcBorders>
          </w:tcPr>
          <w:p w14:paraId="56EFDF79"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0.32</w:t>
            </w:r>
          </w:p>
        </w:tc>
        <w:tc>
          <w:tcPr>
            <w:tcW w:w="1310" w:type="dxa"/>
            <w:tcBorders>
              <w:top w:val="single" w:sz="4" w:space="0" w:color="4BB3B5"/>
              <w:bottom w:val="single" w:sz="4" w:space="0" w:color="4BB3B5"/>
            </w:tcBorders>
          </w:tcPr>
          <w:p w14:paraId="4B5D0A2F"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No significance</w:t>
            </w:r>
          </w:p>
        </w:tc>
      </w:tr>
    </w:tbl>
    <w:p w14:paraId="39F8166D" w14:textId="77777777" w:rsidR="00494CC3" w:rsidRPr="00705B49" w:rsidRDefault="00494CC3" w:rsidP="007D0784">
      <w:pPr>
        <w:pStyle w:val="Sourcenotes"/>
      </w:pPr>
      <w:r w:rsidRPr="00705B49">
        <w:t xml:space="preserve">Source: BCARR analysis of BLADE data from </w:t>
      </w:r>
      <w:r w:rsidRPr="00705B49">
        <w:rPr>
          <w:noProof/>
        </w:rPr>
        <w:t>2009–10 to 2018–19</w:t>
      </w:r>
      <w:r w:rsidRPr="00705B49">
        <w:rPr>
          <w:noProof/>
          <w:lang w:val="en-US"/>
        </w:rPr>
        <w:t xml:space="preserve">. </w:t>
      </w:r>
      <w:r w:rsidRPr="00705B49">
        <w:t xml:space="preserve">For full regression results, see </w:t>
      </w:r>
      <w:r w:rsidRPr="00705B49">
        <w:fldChar w:fldCharType="begin"/>
      </w:r>
      <w:r w:rsidRPr="00705B49">
        <w:instrText xml:space="preserve"> REF _Ref109891089 \h  \* MERGEFORMAT </w:instrText>
      </w:r>
      <w:r w:rsidRPr="00705B49">
        <w:fldChar w:fldCharType="separate"/>
      </w:r>
      <w:r w:rsidRPr="00705B49">
        <w:t>Appendix D: Broadband technology and productivity growth relationship</w:t>
      </w:r>
      <w:r w:rsidRPr="00705B49">
        <w:fldChar w:fldCharType="end"/>
      </w:r>
      <w:r w:rsidRPr="00705B49">
        <w:t>. High significance is indicated by p ≤ 0.05, weak significance is indicated by 0.05 &lt; p ≤ 0.10. For Pooled OLS, controls were based on firm industry, year, geography, firm size and firm age.</w:t>
      </w:r>
    </w:p>
    <w:p w14:paraId="7D813467" w14:textId="77777777" w:rsidR="00494CC3" w:rsidRPr="00705B49" w:rsidRDefault="00494CC3" w:rsidP="00494CC3">
      <w:r w:rsidRPr="00705B49">
        <w:t xml:space="preserve">The above regression results provide some support for the hypothesis that better broadband leads to higher productivity growth. High-speed broadband technologies appear to have higher productivity growth than lower speed technologies, while firms without broadband do worst of all. The results are also in line with the median productivity growth levels by different broadband technologies, presented in </w:t>
      </w:r>
      <w:r w:rsidRPr="00705B49">
        <w:fldChar w:fldCharType="begin"/>
      </w:r>
      <w:r w:rsidRPr="00705B49">
        <w:instrText xml:space="preserve"> REF _Ref105406728 \h  \* MERGEFORMAT </w:instrText>
      </w:r>
      <w:r w:rsidRPr="00705B49">
        <w:fldChar w:fldCharType="separate"/>
      </w:r>
      <w:r w:rsidRPr="00705B49">
        <w:t xml:space="preserve">Table </w:t>
      </w:r>
      <w:r w:rsidRPr="00705B49">
        <w:rPr>
          <w:noProof/>
        </w:rPr>
        <w:t>4</w:t>
      </w:r>
      <w:r w:rsidRPr="00705B49">
        <w:fldChar w:fldCharType="end"/>
      </w:r>
      <w:r w:rsidRPr="00705B49">
        <w:t>.</w:t>
      </w:r>
    </w:p>
    <w:p w14:paraId="60C44755" w14:textId="77777777" w:rsidR="00494CC3" w:rsidRPr="00705B49" w:rsidRDefault="00494CC3" w:rsidP="007D0784">
      <w:pPr>
        <w:pStyle w:val="Heading3"/>
      </w:pPr>
      <w:bookmarkStart w:id="94" w:name="_Toc127374084"/>
      <w:bookmarkStart w:id="95" w:name="_Toc129777687"/>
      <w:r>
        <w:lastRenderedPageBreak/>
        <w:t>Improved b</w:t>
      </w:r>
      <w:r w:rsidRPr="00705B49">
        <w:t xml:space="preserve">roadband has a positive </w:t>
      </w:r>
      <w:r>
        <w:t>impact</w:t>
      </w:r>
      <w:r w:rsidRPr="00705B49">
        <w:t xml:space="preserve"> on productivity growth</w:t>
      </w:r>
      <w:bookmarkEnd w:id="94"/>
      <w:bookmarkEnd w:id="95"/>
    </w:p>
    <w:p w14:paraId="64F161B7" w14:textId="77777777" w:rsidR="00494CC3" w:rsidRPr="00705B49" w:rsidRDefault="00494CC3" w:rsidP="00494CC3">
      <w:r w:rsidRPr="00705B49">
        <w:t>Limiting the sample only to firms that switch from DSL to fibre or cable-based broadband is a way of implementing experimental design without having to conduct a randomised controlled trial. This allows for the estimation of a firm’s productivity growth based on their adoption of better broadband, which more likely reflects the impact of a change in broadband technology.</w:t>
      </w:r>
    </w:p>
    <w:p w14:paraId="1B3EA185" w14:textId="77777777" w:rsidR="00494CC3" w:rsidRPr="00705B49" w:rsidRDefault="00494CC3" w:rsidP="00494CC3">
      <w:r w:rsidRPr="00705B49">
        <w:t xml:space="preserve">There is stronger evidence that firms switching from DSL to fibre or cable-based broadband experience higher productivity growth after switching. This relationship is strongest in the year immediately following adoption, with no observable effect of continual growth in future years. Multiple models shown in </w:t>
      </w:r>
      <w:r w:rsidRPr="00705B49">
        <w:fldChar w:fldCharType="begin"/>
      </w:r>
      <w:r w:rsidRPr="00705B49">
        <w:instrText xml:space="preserve"> REF _Ref105761359 \h  \* MERGEFORMAT </w:instrText>
      </w:r>
      <w:r w:rsidRPr="00705B49">
        <w:fldChar w:fldCharType="separate"/>
      </w:r>
      <w:r w:rsidRPr="00705B49">
        <w:t xml:space="preserve">Table </w:t>
      </w:r>
      <w:r w:rsidRPr="00705B49">
        <w:rPr>
          <w:noProof/>
        </w:rPr>
        <w:t>8</w:t>
      </w:r>
      <w:r w:rsidRPr="00705B49">
        <w:fldChar w:fldCharType="end"/>
      </w:r>
      <w:r w:rsidRPr="00705B49">
        <w:t xml:space="preserve"> suggest a positive impact on productivity growth when firms switch from DSL to fibre or cable-based broadband.</w:t>
      </w:r>
    </w:p>
    <w:p w14:paraId="4CC71E58" w14:textId="77777777" w:rsidR="00494CC3" w:rsidRPr="00705B49" w:rsidRDefault="00494CC3" w:rsidP="00494CC3">
      <w:r w:rsidRPr="00705B49">
        <w:t xml:space="preserve">Under a pooled OLS regression, the effect of switching from DSL to fibre or cable-based broadband is an increase in </w:t>
      </w:r>
      <w:r w:rsidR="000F0B8C" w:rsidRPr="00705B49">
        <w:t>annual MFP growth</w:t>
      </w:r>
      <w:r w:rsidR="000F0B8C">
        <w:t xml:space="preserve"> of </w:t>
      </w:r>
      <w:r w:rsidRPr="00705B49">
        <w:t>4.2 per cent in the immediate year following switching. In a separate estimation</w:t>
      </w:r>
      <w:r>
        <w:t xml:space="preserve"> using fixed</w:t>
      </w:r>
      <w:r>
        <w:noBreakHyphen/>
        <w:t>effects regression</w:t>
      </w:r>
      <w:r w:rsidRPr="00705B49">
        <w:t xml:space="preserve">, the effect of switching from DSL to fibre or cable-based broadband is a 13.5 per cent increase in LP growth. The significance and consistency of these results indicates that there is some positive productivity growth effect of broadband, even once controlling for industry, time, geography and business size characteristics. However, differences in MFP growth are no longer observable when a fixed-effects model is estimated. </w:t>
      </w:r>
    </w:p>
    <w:p w14:paraId="0DE3E433" w14:textId="77777777" w:rsidR="00494CC3" w:rsidRPr="00705B49" w:rsidRDefault="00494CC3" w:rsidP="00FF191D">
      <w:pPr>
        <w:pStyle w:val="Tablefigureheading"/>
      </w:pPr>
      <w:bookmarkStart w:id="96" w:name="_Ref105761359"/>
      <w:bookmarkStart w:id="97" w:name="_Ref111807146"/>
      <w:bookmarkStart w:id="98" w:name="_Toc115175391"/>
      <w:bookmarkStart w:id="99" w:name="_Toc129767623"/>
      <w:bookmarkStart w:id="100" w:name="_Hlk116313830"/>
      <w:r w:rsidRPr="00705B49">
        <w:t xml:space="preserve">Table </w:t>
      </w:r>
      <w:fldSimple w:instr=" SEQ Table \* ARABIC ">
        <w:r w:rsidRPr="00705B49">
          <w:rPr>
            <w:noProof/>
          </w:rPr>
          <w:t>8</w:t>
        </w:r>
      </w:fldSimple>
      <w:bookmarkEnd w:id="96"/>
      <w:r w:rsidRPr="00705B49">
        <w:t xml:space="preserve">. </w:t>
      </w:r>
      <w:bookmarkEnd w:id="97"/>
      <w:bookmarkEnd w:id="98"/>
      <w:r w:rsidRPr="00705B49">
        <w:t>Productivity growth for firms that switch from DSL to fibre or cable broadband – Regression results</w:t>
      </w:r>
      <w:bookmarkEnd w:id="99"/>
    </w:p>
    <w:tbl>
      <w:tblPr>
        <w:tblStyle w:val="DefaultTable1"/>
        <w:tblW w:w="8935" w:type="dxa"/>
        <w:tblLook w:val="04A0" w:firstRow="1" w:lastRow="0" w:firstColumn="1" w:lastColumn="0" w:noHBand="0" w:noVBand="1"/>
        <w:tblCaption w:val="Table 8. Productivity growth for firms that switch from DSL to fibre or cable broadband – Regression results"/>
      </w:tblPr>
      <w:tblGrid>
        <w:gridCol w:w="1566"/>
        <w:gridCol w:w="1978"/>
        <w:gridCol w:w="3119"/>
        <w:gridCol w:w="965"/>
        <w:gridCol w:w="1307"/>
      </w:tblGrid>
      <w:tr w:rsidR="00494CC3" w:rsidRPr="00705B49" w14:paraId="4580EC00"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dxa"/>
            <w:tcBorders>
              <w:bottom w:val="single" w:sz="4" w:space="0" w:color="595959" w:themeColor="text1" w:themeTint="A6"/>
            </w:tcBorders>
            <w:shd w:val="clear" w:color="auto" w:fill="081E3E"/>
          </w:tcPr>
          <w:p w14:paraId="7AB61DEA" w14:textId="77777777" w:rsidR="00494CC3" w:rsidRPr="00705B49" w:rsidRDefault="00494CC3" w:rsidP="00494CC3">
            <w:r w:rsidRPr="00705B49">
              <w:t>Productivity measure</w:t>
            </w:r>
          </w:p>
        </w:tc>
        <w:tc>
          <w:tcPr>
            <w:tcW w:w="1978" w:type="dxa"/>
            <w:tcBorders>
              <w:bottom w:val="single" w:sz="4" w:space="0" w:color="595959" w:themeColor="text1" w:themeTint="A6"/>
            </w:tcBorders>
            <w:shd w:val="clear" w:color="auto" w:fill="081E3E"/>
          </w:tcPr>
          <w:p w14:paraId="37A68C59"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Model</w:t>
            </w:r>
          </w:p>
        </w:tc>
        <w:tc>
          <w:tcPr>
            <w:tcW w:w="3119" w:type="dxa"/>
            <w:tcBorders>
              <w:bottom w:val="single" w:sz="4" w:space="0" w:color="595959" w:themeColor="text1" w:themeTint="A6"/>
            </w:tcBorders>
            <w:shd w:val="clear" w:color="auto" w:fill="081E3E"/>
          </w:tcPr>
          <w:p w14:paraId="0B63135E"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Annual productivity growth switching from DSL to Fibre/cable</w:t>
            </w:r>
          </w:p>
        </w:tc>
        <w:tc>
          <w:tcPr>
            <w:tcW w:w="965" w:type="dxa"/>
            <w:tcBorders>
              <w:bottom w:val="single" w:sz="4" w:space="0" w:color="595959" w:themeColor="text1" w:themeTint="A6"/>
            </w:tcBorders>
            <w:shd w:val="clear" w:color="auto" w:fill="081E3E"/>
          </w:tcPr>
          <w:p w14:paraId="72EAB93D"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P-value</w:t>
            </w:r>
          </w:p>
        </w:tc>
        <w:tc>
          <w:tcPr>
            <w:tcW w:w="1307" w:type="dxa"/>
            <w:tcBorders>
              <w:bottom w:val="single" w:sz="4" w:space="0" w:color="595959" w:themeColor="text1" w:themeTint="A6"/>
            </w:tcBorders>
            <w:shd w:val="clear" w:color="auto" w:fill="081E3E"/>
          </w:tcPr>
          <w:p w14:paraId="31D14CED"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Statistical significance</w:t>
            </w:r>
          </w:p>
        </w:tc>
      </w:tr>
      <w:tr w:rsidR="00494CC3" w:rsidRPr="00705B49" w14:paraId="70672427" w14:textId="77777777" w:rsidTr="00747265">
        <w:tc>
          <w:tcPr>
            <w:cnfStyle w:val="001000000000" w:firstRow="0" w:lastRow="0" w:firstColumn="1" w:lastColumn="0" w:oddVBand="0" w:evenVBand="0" w:oddHBand="0" w:evenHBand="0" w:firstRowFirstColumn="0" w:firstRowLastColumn="0" w:lastRowFirstColumn="0" w:lastRowLastColumn="0"/>
            <w:tcW w:w="1566" w:type="dxa"/>
            <w:tcBorders>
              <w:bottom w:val="single" w:sz="4" w:space="0" w:color="4BB3B5"/>
            </w:tcBorders>
          </w:tcPr>
          <w:p w14:paraId="7DEA95E9" w14:textId="77777777" w:rsidR="00494CC3" w:rsidRPr="00705B49" w:rsidRDefault="00494CC3" w:rsidP="00494CC3">
            <w:r w:rsidRPr="00705B49">
              <w:t>MFP growth</w:t>
            </w:r>
          </w:p>
        </w:tc>
        <w:tc>
          <w:tcPr>
            <w:tcW w:w="1978" w:type="dxa"/>
            <w:tcBorders>
              <w:bottom w:val="single" w:sz="4" w:space="0" w:color="4BB3B5"/>
            </w:tcBorders>
          </w:tcPr>
          <w:p w14:paraId="2B860AA6"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Pooled OLS</w:t>
            </w:r>
          </w:p>
        </w:tc>
        <w:tc>
          <w:tcPr>
            <w:tcW w:w="3119" w:type="dxa"/>
            <w:tcBorders>
              <w:bottom w:val="single" w:sz="4" w:space="0" w:color="4BB3B5"/>
            </w:tcBorders>
          </w:tcPr>
          <w:p w14:paraId="505357A6"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4.2%</w:t>
            </w:r>
          </w:p>
        </w:tc>
        <w:tc>
          <w:tcPr>
            <w:tcW w:w="965" w:type="dxa"/>
            <w:tcBorders>
              <w:bottom w:val="single" w:sz="4" w:space="0" w:color="4BB3B5"/>
            </w:tcBorders>
          </w:tcPr>
          <w:p w14:paraId="285650E0" w14:textId="77777777" w:rsidR="00494CC3" w:rsidRPr="00705B49" w:rsidRDefault="00494CC3" w:rsidP="00494CC3">
            <w:pPr>
              <w:tabs>
                <w:tab w:val="left" w:pos="1014"/>
              </w:tabs>
              <w:jc w:val="center"/>
              <w:cnfStyle w:val="000000000000" w:firstRow="0" w:lastRow="0" w:firstColumn="0" w:lastColumn="0" w:oddVBand="0" w:evenVBand="0" w:oddHBand="0" w:evenHBand="0" w:firstRowFirstColumn="0" w:firstRowLastColumn="0" w:lastRowFirstColumn="0" w:lastRowLastColumn="0"/>
              <w:rPr>
                <w:b/>
              </w:rPr>
            </w:pPr>
            <w:r w:rsidRPr="00705B49">
              <w:rPr>
                <w:b/>
              </w:rPr>
              <w:t>0.008</w:t>
            </w:r>
          </w:p>
        </w:tc>
        <w:tc>
          <w:tcPr>
            <w:tcW w:w="1307" w:type="dxa"/>
            <w:tcBorders>
              <w:bottom w:val="single" w:sz="4" w:space="0" w:color="4BB3B5"/>
            </w:tcBorders>
          </w:tcPr>
          <w:p w14:paraId="1269657D"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High significance</w:t>
            </w:r>
          </w:p>
        </w:tc>
      </w:tr>
      <w:tr w:rsidR="00494CC3" w:rsidRPr="00705B49" w14:paraId="55241CC2"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4BB3B5"/>
              <w:bottom w:val="single" w:sz="4" w:space="0" w:color="4BB3B5"/>
            </w:tcBorders>
          </w:tcPr>
          <w:p w14:paraId="3FE2F1C4" w14:textId="77777777" w:rsidR="00494CC3" w:rsidRPr="00705B49" w:rsidRDefault="00494CC3" w:rsidP="00494CC3">
            <w:pPr>
              <w:rPr>
                <w:b w:val="0"/>
              </w:rPr>
            </w:pPr>
            <w:r w:rsidRPr="00705B49">
              <w:rPr>
                <w:b w:val="0"/>
              </w:rPr>
              <w:t>MFP growth</w:t>
            </w:r>
          </w:p>
        </w:tc>
        <w:tc>
          <w:tcPr>
            <w:tcW w:w="1978" w:type="dxa"/>
            <w:tcBorders>
              <w:top w:val="single" w:sz="4" w:space="0" w:color="4BB3B5"/>
              <w:bottom w:val="single" w:sz="4" w:space="0" w:color="4BB3B5"/>
            </w:tcBorders>
          </w:tcPr>
          <w:p w14:paraId="0061C0F4"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One</w:t>
            </w:r>
            <w:r w:rsidRPr="00705B49">
              <w:noBreakHyphen/>
              <w:t>way fixed-effects</w:t>
            </w:r>
          </w:p>
        </w:tc>
        <w:tc>
          <w:tcPr>
            <w:tcW w:w="3119" w:type="dxa"/>
            <w:tcBorders>
              <w:top w:val="single" w:sz="4" w:space="0" w:color="4BB3B5"/>
              <w:bottom w:val="single" w:sz="4" w:space="0" w:color="4BB3B5"/>
            </w:tcBorders>
          </w:tcPr>
          <w:p w14:paraId="4133EE76"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3.2%</w:t>
            </w:r>
          </w:p>
        </w:tc>
        <w:tc>
          <w:tcPr>
            <w:tcW w:w="965" w:type="dxa"/>
            <w:tcBorders>
              <w:top w:val="single" w:sz="4" w:space="0" w:color="4BB3B5"/>
              <w:bottom w:val="single" w:sz="4" w:space="0" w:color="4BB3B5"/>
            </w:tcBorders>
          </w:tcPr>
          <w:p w14:paraId="005009F3"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0.21</w:t>
            </w:r>
          </w:p>
        </w:tc>
        <w:tc>
          <w:tcPr>
            <w:tcW w:w="1307" w:type="dxa"/>
            <w:tcBorders>
              <w:top w:val="single" w:sz="4" w:space="0" w:color="4BB3B5"/>
              <w:bottom w:val="single" w:sz="4" w:space="0" w:color="4BB3B5"/>
            </w:tcBorders>
          </w:tcPr>
          <w:p w14:paraId="199A726A"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pPr>
            <w:r w:rsidRPr="00705B49">
              <w:t>No significance</w:t>
            </w:r>
          </w:p>
        </w:tc>
      </w:tr>
      <w:tr w:rsidR="00494CC3" w:rsidRPr="00705B49" w14:paraId="65A0D651" w14:textId="77777777" w:rsidTr="00747265">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4BB3B5"/>
              <w:bottom w:val="single" w:sz="4" w:space="0" w:color="4BB3B5"/>
            </w:tcBorders>
          </w:tcPr>
          <w:p w14:paraId="657014EC" w14:textId="77777777" w:rsidR="00494CC3" w:rsidRPr="00705B49" w:rsidRDefault="00494CC3" w:rsidP="00494CC3">
            <w:r w:rsidRPr="00705B49">
              <w:t>LP growth</w:t>
            </w:r>
          </w:p>
        </w:tc>
        <w:tc>
          <w:tcPr>
            <w:tcW w:w="1978" w:type="dxa"/>
            <w:tcBorders>
              <w:top w:val="single" w:sz="4" w:space="0" w:color="4BB3B5"/>
              <w:bottom w:val="single" w:sz="4" w:space="0" w:color="4BB3B5"/>
            </w:tcBorders>
          </w:tcPr>
          <w:p w14:paraId="17DF9AF9"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Pooled OLS</w:t>
            </w:r>
          </w:p>
        </w:tc>
        <w:tc>
          <w:tcPr>
            <w:tcW w:w="3119" w:type="dxa"/>
            <w:tcBorders>
              <w:top w:val="single" w:sz="4" w:space="0" w:color="4BB3B5"/>
              <w:bottom w:val="single" w:sz="4" w:space="0" w:color="4BB3B5"/>
            </w:tcBorders>
          </w:tcPr>
          <w:p w14:paraId="7848F1E2"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14.8%</w:t>
            </w:r>
          </w:p>
        </w:tc>
        <w:tc>
          <w:tcPr>
            <w:tcW w:w="965" w:type="dxa"/>
            <w:tcBorders>
              <w:top w:val="single" w:sz="4" w:space="0" w:color="4BB3B5"/>
              <w:bottom w:val="single" w:sz="4" w:space="0" w:color="4BB3B5"/>
            </w:tcBorders>
          </w:tcPr>
          <w:p w14:paraId="21746A7B"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0.002</w:t>
            </w:r>
          </w:p>
        </w:tc>
        <w:tc>
          <w:tcPr>
            <w:tcW w:w="1307" w:type="dxa"/>
            <w:tcBorders>
              <w:top w:val="single" w:sz="4" w:space="0" w:color="4BB3B5"/>
              <w:bottom w:val="single" w:sz="4" w:space="0" w:color="4BB3B5"/>
            </w:tcBorders>
          </w:tcPr>
          <w:p w14:paraId="0A25C26F"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High significance</w:t>
            </w:r>
          </w:p>
        </w:tc>
      </w:tr>
      <w:tr w:rsidR="00494CC3" w:rsidRPr="00705B49" w14:paraId="66F1F071"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4BB3B5"/>
              <w:bottom w:val="single" w:sz="4" w:space="0" w:color="4BB3B5"/>
            </w:tcBorders>
          </w:tcPr>
          <w:p w14:paraId="664AD1E4" w14:textId="77777777" w:rsidR="00494CC3" w:rsidRPr="00705B49" w:rsidRDefault="00494CC3" w:rsidP="00494CC3">
            <w:r w:rsidRPr="00705B49">
              <w:t>LP growth</w:t>
            </w:r>
          </w:p>
        </w:tc>
        <w:tc>
          <w:tcPr>
            <w:tcW w:w="1978" w:type="dxa"/>
            <w:tcBorders>
              <w:top w:val="single" w:sz="4" w:space="0" w:color="4BB3B5"/>
              <w:bottom w:val="single" w:sz="4" w:space="0" w:color="4BB3B5"/>
            </w:tcBorders>
          </w:tcPr>
          <w:p w14:paraId="5F630A51"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One</w:t>
            </w:r>
            <w:r w:rsidRPr="00705B49">
              <w:rPr>
                <w:b/>
              </w:rPr>
              <w:noBreakHyphen/>
              <w:t>way fixed-effects</w:t>
            </w:r>
          </w:p>
        </w:tc>
        <w:tc>
          <w:tcPr>
            <w:tcW w:w="3119" w:type="dxa"/>
            <w:tcBorders>
              <w:top w:val="single" w:sz="4" w:space="0" w:color="4BB3B5"/>
              <w:bottom w:val="single" w:sz="4" w:space="0" w:color="4BB3B5"/>
            </w:tcBorders>
          </w:tcPr>
          <w:p w14:paraId="758FB43E"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13.5%</w:t>
            </w:r>
          </w:p>
        </w:tc>
        <w:tc>
          <w:tcPr>
            <w:tcW w:w="965" w:type="dxa"/>
            <w:tcBorders>
              <w:top w:val="single" w:sz="4" w:space="0" w:color="4BB3B5"/>
              <w:bottom w:val="single" w:sz="4" w:space="0" w:color="4BB3B5"/>
            </w:tcBorders>
          </w:tcPr>
          <w:p w14:paraId="2502A12A"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0.037</w:t>
            </w:r>
          </w:p>
        </w:tc>
        <w:tc>
          <w:tcPr>
            <w:tcW w:w="1307" w:type="dxa"/>
            <w:tcBorders>
              <w:top w:val="single" w:sz="4" w:space="0" w:color="4BB3B5"/>
              <w:bottom w:val="single" w:sz="4" w:space="0" w:color="4BB3B5"/>
            </w:tcBorders>
          </w:tcPr>
          <w:p w14:paraId="70ED9ECC"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High significance</w:t>
            </w:r>
          </w:p>
        </w:tc>
      </w:tr>
    </w:tbl>
    <w:p w14:paraId="6AA21476" w14:textId="77777777" w:rsidR="00494CC3" w:rsidRPr="00705B49" w:rsidRDefault="00494CC3" w:rsidP="007D0784">
      <w:pPr>
        <w:pStyle w:val="Sourcenotes"/>
      </w:pPr>
      <w:r w:rsidRPr="00705B49">
        <w:t xml:space="preserve">Source: BCARR analysis of BLADE data from </w:t>
      </w:r>
      <w:r w:rsidRPr="00705B49">
        <w:rPr>
          <w:noProof/>
        </w:rPr>
        <w:t>2009–10 to 2018–19</w:t>
      </w:r>
      <w:r w:rsidRPr="00705B49">
        <w:rPr>
          <w:noProof/>
          <w:lang w:val="en-US"/>
        </w:rPr>
        <w:t xml:space="preserve">. </w:t>
      </w:r>
      <w:r w:rsidRPr="00705B49">
        <w:t xml:space="preserve">For full regression results, see </w:t>
      </w:r>
      <w:r w:rsidRPr="00705B49">
        <w:fldChar w:fldCharType="begin"/>
      </w:r>
      <w:r w:rsidRPr="00705B49">
        <w:instrText xml:space="preserve"> REF _Ref109891089 \h  \* MERGEFORMAT </w:instrText>
      </w:r>
      <w:r w:rsidRPr="00705B49">
        <w:fldChar w:fldCharType="separate"/>
      </w:r>
      <w:r w:rsidRPr="00705B49">
        <w:t>Appendix D: Broadband technology and productivity growth relationship</w:t>
      </w:r>
      <w:r w:rsidRPr="00705B49">
        <w:fldChar w:fldCharType="end"/>
      </w:r>
      <w:r w:rsidRPr="00705B49">
        <w:t xml:space="preserve">. High significance is indicated by p ≤ 0.05, weak significance is indicated by 0.05 &lt; p ≤ 0.10. For Pooled OLS, controls were based on firm industry, year, geography, firm size and firm age. </w:t>
      </w:r>
    </w:p>
    <w:bookmarkEnd w:id="100"/>
    <w:p w14:paraId="66F7E4E8" w14:textId="77777777" w:rsidR="00494CC3" w:rsidRPr="00705B49" w:rsidRDefault="00494CC3" w:rsidP="00494CC3">
      <w:r w:rsidRPr="00705B49">
        <w:t>Lagged productivity growth benefits were tested and found to be insignificant (</w:t>
      </w:r>
      <w:r w:rsidRPr="00E84AA0">
        <w:fldChar w:fldCharType="begin"/>
      </w:r>
      <w:r w:rsidRPr="00E84AA0">
        <w:instrText xml:space="preserve"> REF _Ref107384387 \h  \* MERGEFORMAT </w:instrText>
      </w:r>
      <w:r w:rsidRPr="00E84AA0">
        <w:fldChar w:fldCharType="separate"/>
      </w:r>
      <w:r w:rsidRPr="00E84AA0">
        <w:t>Appendix D: Broadband technology and productivity growth relationship</w:t>
      </w:r>
      <w:r w:rsidRPr="00E84AA0">
        <w:fldChar w:fldCharType="end"/>
      </w:r>
      <w:r w:rsidRPr="00705B49">
        <w:t xml:space="preserve">). These results suggest that any improvements in productivity growth from broadband are absorbed by firms in the immediate year of adoption and no lagged benefits are observable. </w:t>
      </w:r>
    </w:p>
    <w:p w14:paraId="4F1583A7" w14:textId="77777777" w:rsidR="00494CC3" w:rsidRPr="00705B49" w:rsidRDefault="00494CC3" w:rsidP="00494CC3">
      <w:r w:rsidRPr="00705B49">
        <w:t xml:space="preserve">While productivity growth does not show significant additional benefits in the years beyond the immediate year of broadband adoption, there is some evidence to suggest that fibre or cable-based broadband does have a longer lasting impact on productivity growth. </w:t>
      </w:r>
      <w:r w:rsidRPr="00705B49">
        <w:fldChar w:fldCharType="begin"/>
      </w:r>
      <w:r w:rsidRPr="00705B49">
        <w:instrText xml:space="preserve"> REF _Ref105761375 \h  \* MERGEFORMAT </w:instrText>
      </w:r>
      <w:r w:rsidRPr="00705B49">
        <w:fldChar w:fldCharType="separate"/>
      </w:r>
      <w:r w:rsidRPr="00705B49">
        <w:t xml:space="preserve">Table </w:t>
      </w:r>
      <w:r w:rsidRPr="00705B49">
        <w:rPr>
          <w:noProof/>
        </w:rPr>
        <w:t>9</w:t>
      </w:r>
      <w:r w:rsidRPr="00705B49">
        <w:fldChar w:fldCharType="end"/>
      </w:r>
      <w:r w:rsidRPr="00705B49">
        <w:t xml:space="preserve">  compar</w:t>
      </w:r>
      <w:r w:rsidR="000F0B8C">
        <w:t>es</w:t>
      </w:r>
      <w:r w:rsidRPr="00705B49">
        <w:t xml:space="preserve"> multiple years-worth of data before and after the adoption of fibre or cable</w:t>
      </w:r>
      <w:r w:rsidRPr="00705B49">
        <w:noBreakHyphen/>
        <w:t>based broadband</w:t>
      </w:r>
      <w:r w:rsidR="000F0B8C">
        <w:t>. It shows that the adoption of fibre or cable-based broadband</w:t>
      </w:r>
      <w:r w:rsidRPr="00705B49">
        <w:t xml:space="preserve"> result</w:t>
      </w:r>
      <w:r w:rsidR="000F0B8C">
        <w:t>s</w:t>
      </w:r>
      <w:r w:rsidRPr="00705B49">
        <w:t xml:space="preserve"> in an observable difference in productivity growth. This is in contrast to single year lags, which examine productivity in comparison to a single pre-broadband baseline year and single post-broadband year.</w:t>
      </w:r>
    </w:p>
    <w:p w14:paraId="076882AD" w14:textId="77777777" w:rsidR="00494CC3" w:rsidRPr="00705B49" w:rsidRDefault="00494CC3" w:rsidP="00FF191D">
      <w:pPr>
        <w:pStyle w:val="Tablefigureheading"/>
      </w:pPr>
      <w:bookmarkStart w:id="101" w:name="_Ref105761375"/>
      <w:bookmarkStart w:id="102" w:name="_Toc115175392"/>
      <w:bookmarkStart w:id="103" w:name="_Toc129767624"/>
      <w:bookmarkStart w:id="104" w:name="_Hlk116314988"/>
      <w:r w:rsidRPr="00705B49">
        <w:lastRenderedPageBreak/>
        <w:t xml:space="preserve">Table </w:t>
      </w:r>
      <w:fldSimple w:instr=" SEQ Table \* ARABIC ">
        <w:r w:rsidRPr="00705B49">
          <w:rPr>
            <w:noProof/>
          </w:rPr>
          <w:t>9</w:t>
        </w:r>
      </w:fldSimple>
      <w:bookmarkEnd w:id="101"/>
      <w:r w:rsidRPr="00705B49">
        <w:t>. Sustained annual productivity growth for firms that switch from DSL to fibre or cable broadband - regression results</w:t>
      </w:r>
      <w:bookmarkEnd w:id="102"/>
      <w:bookmarkEnd w:id="103"/>
    </w:p>
    <w:tbl>
      <w:tblPr>
        <w:tblStyle w:val="DefaultTable1"/>
        <w:tblW w:w="9214" w:type="dxa"/>
        <w:tblLook w:val="04A0" w:firstRow="1" w:lastRow="0" w:firstColumn="1" w:lastColumn="0" w:noHBand="0" w:noVBand="1"/>
        <w:tblCaption w:val="Table 9. Sustained annual productivity growth for firms that switch from DSL to fibre or cable broadband - regression results"/>
      </w:tblPr>
      <w:tblGrid>
        <w:gridCol w:w="1418"/>
        <w:gridCol w:w="2126"/>
        <w:gridCol w:w="2835"/>
        <w:gridCol w:w="993"/>
        <w:gridCol w:w="1842"/>
      </w:tblGrid>
      <w:tr w:rsidR="00494CC3" w:rsidRPr="00705B49" w14:paraId="17BE2B08"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595959" w:themeColor="text1" w:themeTint="A6"/>
            </w:tcBorders>
            <w:shd w:val="clear" w:color="auto" w:fill="081E3E"/>
          </w:tcPr>
          <w:p w14:paraId="4F69D4A1" w14:textId="77777777" w:rsidR="00494CC3" w:rsidRPr="00705B49" w:rsidRDefault="00494CC3" w:rsidP="00494CC3">
            <w:r w:rsidRPr="00705B49">
              <w:t>Productivity measure</w:t>
            </w:r>
          </w:p>
        </w:tc>
        <w:tc>
          <w:tcPr>
            <w:tcW w:w="2126" w:type="dxa"/>
            <w:tcBorders>
              <w:bottom w:val="single" w:sz="4" w:space="0" w:color="595959" w:themeColor="text1" w:themeTint="A6"/>
            </w:tcBorders>
            <w:shd w:val="clear" w:color="auto" w:fill="081E3E"/>
          </w:tcPr>
          <w:p w14:paraId="2A0EFDA8"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Model</w:t>
            </w:r>
          </w:p>
        </w:tc>
        <w:tc>
          <w:tcPr>
            <w:tcW w:w="2835" w:type="dxa"/>
            <w:tcBorders>
              <w:bottom w:val="single" w:sz="4" w:space="0" w:color="595959" w:themeColor="text1" w:themeTint="A6"/>
            </w:tcBorders>
            <w:shd w:val="clear" w:color="auto" w:fill="081E3E"/>
          </w:tcPr>
          <w:p w14:paraId="1C25CF5B"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Sustained annual productivity growth switching from DSL to Fibre/cable</w:t>
            </w:r>
          </w:p>
        </w:tc>
        <w:tc>
          <w:tcPr>
            <w:tcW w:w="993" w:type="dxa"/>
            <w:tcBorders>
              <w:bottom w:val="single" w:sz="4" w:space="0" w:color="595959" w:themeColor="text1" w:themeTint="A6"/>
            </w:tcBorders>
            <w:shd w:val="clear" w:color="auto" w:fill="081E3E"/>
          </w:tcPr>
          <w:p w14:paraId="719087CF"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P-value</w:t>
            </w:r>
          </w:p>
        </w:tc>
        <w:tc>
          <w:tcPr>
            <w:tcW w:w="1842" w:type="dxa"/>
            <w:tcBorders>
              <w:bottom w:val="single" w:sz="4" w:space="0" w:color="595959" w:themeColor="text1" w:themeTint="A6"/>
            </w:tcBorders>
            <w:shd w:val="clear" w:color="auto" w:fill="081E3E"/>
          </w:tcPr>
          <w:p w14:paraId="50B7016A"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Statistical significance</w:t>
            </w:r>
          </w:p>
        </w:tc>
      </w:tr>
      <w:tr w:rsidR="00494CC3" w:rsidRPr="00705B49" w14:paraId="03A64698" w14:textId="77777777" w:rsidTr="00747265">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4BB3B5"/>
            </w:tcBorders>
          </w:tcPr>
          <w:p w14:paraId="75859E7B" w14:textId="77777777" w:rsidR="00494CC3" w:rsidRPr="00705B49" w:rsidRDefault="00494CC3" w:rsidP="00494CC3">
            <w:pPr>
              <w:rPr>
                <w:b w:val="0"/>
              </w:rPr>
            </w:pPr>
            <w:r w:rsidRPr="00705B49">
              <w:rPr>
                <w:b w:val="0"/>
              </w:rPr>
              <w:t>MFP growth</w:t>
            </w:r>
          </w:p>
        </w:tc>
        <w:tc>
          <w:tcPr>
            <w:tcW w:w="2126" w:type="dxa"/>
            <w:tcBorders>
              <w:bottom w:val="single" w:sz="4" w:space="0" w:color="4BB3B5"/>
            </w:tcBorders>
          </w:tcPr>
          <w:p w14:paraId="221DC6F4"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Pooled OLS</w:t>
            </w:r>
          </w:p>
        </w:tc>
        <w:tc>
          <w:tcPr>
            <w:tcW w:w="2835" w:type="dxa"/>
            <w:tcBorders>
              <w:bottom w:val="single" w:sz="4" w:space="0" w:color="4BB3B5"/>
            </w:tcBorders>
          </w:tcPr>
          <w:p w14:paraId="6B663244"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2.1%</w:t>
            </w:r>
          </w:p>
        </w:tc>
        <w:tc>
          <w:tcPr>
            <w:tcW w:w="993" w:type="dxa"/>
            <w:tcBorders>
              <w:bottom w:val="single" w:sz="4" w:space="0" w:color="4BB3B5"/>
            </w:tcBorders>
          </w:tcPr>
          <w:p w14:paraId="4AA33A50" w14:textId="77777777" w:rsidR="00494CC3" w:rsidRPr="00705B49" w:rsidRDefault="00494CC3" w:rsidP="00494CC3">
            <w:pPr>
              <w:tabs>
                <w:tab w:val="left" w:pos="1014"/>
              </w:tabs>
              <w:jc w:val="center"/>
              <w:cnfStyle w:val="000000000000" w:firstRow="0" w:lastRow="0" w:firstColumn="0" w:lastColumn="0" w:oddVBand="0" w:evenVBand="0" w:oddHBand="0" w:evenHBand="0" w:firstRowFirstColumn="0" w:firstRowLastColumn="0" w:lastRowFirstColumn="0" w:lastRowLastColumn="0"/>
            </w:pPr>
            <w:r w:rsidRPr="00705B49">
              <w:t>0.102</w:t>
            </w:r>
          </w:p>
        </w:tc>
        <w:tc>
          <w:tcPr>
            <w:tcW w:w="1842" w:type="dxa"/>
            <w:tcBorders>
              <w:bottom w:val="single" w:sz="4" w:space="0" w:color="4BB3B5"/>
            </w:tcBorders>
          </w:tcPr>
          <w:p w14:paraId="7300E035"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pPr>
            <w:r w:rsidRPr="00705B49">
              <w:t>No significance</w:t>
            </w:r>
          </w:p>
        </w:tc>
      </w:tr>
      <w:tr w:rsidR="00494CC3" w:rsidRPr="00705B49" w14:paraId="1114BC17"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4BB3B5"/>
              <w:bottom w:val="single" w:sz="4" w:space="0" w:color="4BB3B5"/>
            </w:tcBorders>
          </w:tcPr>
          <w:p w14:paraId="1CEEFA15" w14:textId="77777777" w:rsidR="00494CC3" w:rsidRPr="00705B49" w:rsidRDefault="00494CC3" w:rsidP="00494CC3">
            <w:r w:rsidRPr="00705B49">
              <w:t>MFP growth</w:t>
            </w:r>
          </w:p>
        </w:tc>
        <w:tc>
          <w:tcPr>
            <w:tcW w:w="2126" w:type="dxa"/>
            <w:tcBorders>
              <w:top w:val="single" w:sz="4" w:space="0" w:color="4BB3B5"/>
              <w:bottom w:val="single" w:sz="4" w:space="0" w:color="4BB3B5"/>
            </w:tcBorders>
          </w:tcPr>
          <w:p w14:paraId="16FCA856"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Two-way fixed-effects</w:t>
            </w:r>
          </w:p>
        </w:tc>
        <w:tc>
          <w:tcPr>
            <w:tcW w:w="2835" w:type="dxa"/>
            <w:tcBorders>
              <w:top w:val="single" w:sz="4" w:space="0" w:color="4BB3B5"/>
              <w:bottom w:val="single" w:sz="4" w:space="0" w:color="4BB3B5"/>
            </w:tcBorders>
          </w:tcPr>
          <w:p w14:paraId="75D2A143"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5.1%</w:t>
            </w:r>
          </w:p>
        </w:tc>
        <w:tc>
          <w:tcPr>
            <w:tcW w:w="993" w:type="dxa"/>
            <w:tcBorders>
              <w:top w:val="single" w:sz="4" w:space="0" w:color="4BB3B5"/>
              <w:bottom w:val="single" w:sz="4" w:space="0" w:color="4BB3B5"/>
            </w:tcBorders>
          </w:tcPr>
          <w:p w14:paraId="2C81861F"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0.008</w:t>
            </w:r>
          </w:p>
        </w:tc>
        <w:tc>
          <w:tcPr>
            <w:tcW w:w="1842" w:type="dxa"/>
            <w:tcBorders>
              <w:top w:val="single" w:sz="4" w:space="0" w:color="4BB3B5"/>
              <w:bottom w:val="single" w:sz="4" w:space="0" w:color="4BB3B5"/>
            </w:tcBorders>
          </w:tcPr>
          <w:p w14:paraId="000313A1"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High significance</w:t>
            </w:r>
          </w:p>
        </w:tc>
      </w:tr>
      <w:tr w:rsidR="00494CC3" w:rsidRPr="00705B49" w14:paraId="63DD9C5D" w14:textId="77777777" w:rsidTr="00747265">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4BB3B5"/>
              <w:bottom w:val="single" w:sz="4" w:space="0" w:color="4BB3B5"/>
            </w:tcBorders>
          </w:tcPr>
          <w:p w14:paraId="63808576" w14:textId="77777777" w:rsidR="00494CC3" w:rsidRPr="00705B49" w:rsidRDefault="00494CC3" w:rsidP="00494CC3">
            <w:r w:rsidRPr="00705B49">
              <w:t>LP growth</w:t>
            </w:r>
          </w:p>
        </w:tc>
        <w:tc>
          <w:tcPr>
            <w:tcW w:w="2126" w:type="dxa"/>
            <w:tcBorders>
              <w:top w:val="single" w:sz="4" w:space="0" w:color="4BB3B5"/>
              <w:bottom w:val="single" w:sz="4" w:space="0" w:color="4BB3B5"/>
            </w:tcBorders>
          </w:tcPr>
          <w:p w14:paraId="548CF5FE"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Pooled OLS</w:t>
            </w:r>
          </w:p>
        </w:tc>
        <w:tc>
          <w:tcPr>
            <w:tcW w:w="2835" w:type="dxa"/>
            <w:tcBorders>
              <w:top w:val="single" w:sz="4" w:space="0" w:color="4BB3B5"/>
              <w:bottom w:val="single" w:sz="4" w:space="0" w:color="4BB3B5"/>
            </w:tcBorders>
          </w:tcPr>
          <w:p w14:paraId="3EC5E5A5"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11%</w:t>
            </w:r>
          </w:p>
        </w:tc>
        <w:tc>
          <w:tcPr>
            <w:tcW w:w="993" w:type="dxa"/>
            <w:tcBorders>
              <w:top w:val="single" w:sz="4" w:space="0" w:color="4BB3B5"/>
              <w:bottom w:val="single" w:sz="4" w:space="0" w:color="4BB3B5"/>
            </w:tcBorders>
          </w:tcPr>
          <w:p w14:paraId="4907B2A6"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0.002</w:t>
            </w:r>
          </w:p>
        </w:tc>
        <w:tc>
          <w:tcPr>
            <w:tcW w:w="1842" w:type="dxa"/>
            <w:tcBorders>
              <w:top w:val="single" w:sz="4" w:space="0" w:color="4BB3B5"/>
              <w:bottom w:val="single" w:sz="4" w:space="0" w:color="4BB3B5"/>
            </w:tcBorders>
          </w:tcPr>
          <w:p w14:paraId="475D5DA0" w14:textId="77777777" w:rsidR="00494CC3" w:rsidRPr="00705B49" w:rsidRDefault="00494CC3" w:rsidP="00494CC3">
            <w:pPr>
              <w:jc w:val="center"/>
              <w:cnfStyle w:val="000000000000" w:firstRow="0" w:lastRow="0" w:firstColumn="0" w:lastColumn="0" w:oddVBand="0" w:evenVBand="0" w:oddHBand="0" w:evenHBand="0" w:firstRowFirstColumn="0" w:firstRowLastColumn="0" w:lastRowFirstColumn="0" w:lastRowLastColumn="0"/>
              <w:rPr>
                <w:b/>
              </w:rPr>
            </w:pPr>
            <w:r w:rsidRPr="00705B49">
              <w:rPr>
                <w:b/>
              </w:rPr>
              <w:t>High significance</w:t>
            </w:r>
          </w:p>
        </w:tc>
      </w:tr>
      <w:tr w:rsidR="00494CC3" w:rsidRPr="00705B49" w14:paraId="03AD0B23"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4BB3B5"/>
              <w:bottom w:val="single" w:sz="4" w:space="0" w:color="4BB3B5"/>
            </w:tcBorders>
          </w:tcPr>
          <w:p w14:paraId="47C48270" w14:textId="77777777" w:rsidR="00494CC3" w:rsidRPr="00705B49" w:rsidRDefault="00494CC3" w:rsidP="00494CC3">
            <w:r w:rsidRPr="00705B49">
              <w:t>LP growth</w:t>
            </w:r>
          </w:p>
        </w:tc>
        <w:tc>
          <w:tcPr>
            <w:tcW w:w="2126" w:type="dxa"/>
            <w:tcBorders>
              <w:top w:val="single" w:sz="4" w:space="0" w:color="4BB3B5"/>
              <w:bottom w:val="single" w:sz="4" w:space="0" w:color="4BB3B5"/>
            </w:tcBorders>
          </w:tcPr>
          <w:p w14:paraId="58CCD6AE"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Two-way fixed-effects</w:t>
            </w:r>
          </w:p>
        </w:tc>
        <w:tc>
          <w:tcPr>
            <w:tcW w:w="2835" w:type="dxa"/>
            <w:tcBorders>
              <w:top w:val="single" w:sz="4" w:space="0" w:color="4BB3B5"/>
              <w:bottom w:val="single" w:sz="4" w:space="0" w:color="4BB3B5"/>
            </w:tcBorders>
          </w:tcPr>
          <w:p w14:paraId="4554C2CD"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9.1%</w:t>
            </w:r>
          </w:p>
        </w:tc>
        <w:tc>
          <w:tcPr>
            <w:tcW w:w="993" w:type="dxa"/>
            <w:tcBorders>
              <w:top w:val="single" w:sz="4" w:space="0" w:color="4BB3B5"/>
              <w:bottom w:val="single" w:sz="4" w:space="0" w:color="4BB3B5"/>
            </w:tcBorders>
          </w:tcPr>
          <w:p w14:paraId="5FC21A66"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0.042</w:t>
            </w:r>
          </w:p>
        </w:tc>
        <w:tc>
          <w:tcPr>
            <w:tcW w:w="1842" w:type="dxa"/>
            <w:tcBorders>
              <w:top w:val="single" w:sz="4" w:space="0" w:color="4BB3B5"/>
              <w:bottom w:val="single" w:sz="4" w:space="0" w:color="4BB3B5"/>
            </w:tcBorders>
          </w:tcPr>
          <w:p w14:paraId="347B926C" w14:textId="77777777" w:rsidR="00494CC3" w:rsidRPr="00705B49" w:rsidRDefault="00494CC3" w:rsidP="00494CC3">
            <w:pPr>
              <w:jc w:val="center"/>
              <w:cnfStyle w:val="000000010000" w:firstRow="0" w:lastRow="0" w:firstColumn="0" w:lastColumn="0" w:oddVBand="0" w:evenVBand="0" w:oddHBand="0" w:evenHBand="1" w:firstRowFirstColumn="0" w:firstRowLastColumn="0" w:lastRowFirstColumn="0" w:lastRowLastColumn="0"/>
              <w:rPr>
                <w:b/>
              </w:rPr>
            </w:pPr>
            <w:r w:rsidRPr="00705B49">
              <w:rPr>
                <w:b/>
              </w:rPr>
              <w:t>High significance</w:t>
            </w:r>
          </w:p>
        </w:tc>
      </w:tr>
    </w:tbl>
    <w:p w14:paraId="2090DF49" w14:textId="77777777" w:rsidR="00494CC3" w:rsidRPr="00705B49" w:rsidRDefault="00494CC3" w:rsidP="007D0784">
      <w:pPr>
        <w:pStyle w:val="Sourcenotes"/>
      </w:pPr>
      <w:r w:rsidRPr="00705B49">
        <w:t xml:space="preserve">Source: BCARR analysis of BLADE data from </w:t>
      </w:r>
      <w:r w:rsidRPr="00705B49">
        <w:rPr>
          <w:noProof/>
        </w:rPr>
        <w:t>2009–10 to 2018–19</w:t>
      </w:r>
      <w:r w:rsidRPr="00705B49">
        <w:rPr>
          <w:noProof/>
          <w:lang w:val="en-US"/>
        </w:rPr>
        <w:t>.</w:t>
      </w:r>
      <w:r w:rsidRPr="00705B49">
        <w:t xml:space="preserve"> For full regression results, see </w:t>
      </w:r>
      <w:r w:rsidRPr="00705B49">
        <w:fldChar w:fldCharType="begin"/>
      </w:r>
      <w:r w:rsidRPr="00705B49">
        <w:instrText xml:space="preserve"> REF _Ref109891089 \h  \* MERGEFORMAT </w:instrText>
      </w:r>
      <w:r w:rsidRPr="00705B49">
        <w:fldChar w:fldCharType="separate"/>
      </w:r>
      <w:r w:rsidRPr="00705B49">
        <w:t>Appendix D: Broadband technology and productivity growth relationship</w:t>
      </w:r>
      <w:r w:rsidRPr="00705B49">
        <w:fldChar w:fldCharType="end"/>
      </w:r>
      <w:r w:rsidRPr="00705B49">
        <w:t>. High significance is indicated by p</w:t>
      </w:r>
      <w:r w:rsidRPr="00705B49">
        <w:rPr>
          <w:lang w:val="en-US"/>
        </w:rPr>
        <w:t> </w:t>
      </w:r>
      <w:r w:rsidRPr="00705B49">
        <w:t>≤</w:t>
      </w:r>
      <w:r w:rsidRPr="00705B49">
        <w:rPr>
          <w:lang w:val="en-US"/>
        </w:rPr>
        <w:t> </w:t>
      </w:r>
      <w:r w:rsidRPr="00705B49">
        <w:t>0.05, weak significance is indicated by 0.05 &lt; p ≤ 0.10. For Pooled OLS, controls were based on firm industry, year, geography, firm size and firm age.</w:t>
      </w:r>
    </w:p>
    <w:bookmarkEnd w:id="104"/>
    <w:p w14:paraId="70D2B561" w14:textId="77777777" w:rsidR="00494CC3" w:rsidRPr="00705B49" w:rsidRDefault="00494CC3" w:rsidP="00494CC3">
      <w:r w:rsidRPr="00705B49">
        <w:t>A similar model was also developed</w:t>
      </w:r>
      <w:r w:rsidR="00FF191D">
        <w:t xml:space="preserve"> to examine longer term effects</w:t>
      </w:r>
      <w:r w:rsidRPr="00705B49">
        <w:t xml:space="preserve">, which constructed </w:t>
      </w:r>
      <w:r>
        <w:t>2</w:t>
      </w:r>
      <w:r w:rsidRPr="00705B49">
        <w:t xml:space="preserve"> groups of firms that stayed on DSL for the full analysis period of 2010–11 to 2018–19 against firms that switched to fibre/cable-based broadband. Once controlling for other factors using pooled OLS, the results indicate a positive relationship for firms in the group that switched, compared to those that remained on DSL. </w:t>
      </w:r>
      <w:r>
        <w:t>T</w:t>
      </w:r>
      <w:r w:rsidRPr="00705B49">
        <w:t>his relationship was only weakly significant for MFP growth, and not significant under various lags</w:t>
      </w:r>
      <w:r w:rsidRPr="00E84AA0">
        <w:t xml:space="preserve">. </w:t>
      </w:r>
      <w:r w:rsidRPr="00E84AA0">
        <w:fldChar w:fldCharType="begin"/>
      </w:r>
      <w:r w:rsidRPr="00E84AA0">
        <w:instrText xml:space="preserve"> REF _Ref107384387 \h  \* MERGEFORMAT </w:instrText>
      </w:r>
      <w:r w:rsidRPr="00E84AA0">
        <w:fldChar w:fldCharType="separate"/>
      </w:r>
      <w:r w:rsidRPr="00E84AA0">
        <w:t>Appendix D: Broadband technology and productivity growth relationship</w:t>
      </w:r>
      <w:r w:rsidRPr="00E84AA0">
        <w:fldChar w:fldCharType="end"/>
      </w:r>
      <w:r w:rsidRPr="00E84AA0">
        <w:t xml:space="preserve"> provides details of the full regression outputs</w:t>
      </w:r>
      <w:r w:rsidRPr="00705B49">
        <w:t>.</w:t>
      </w:r>
    </w:p>
    <w:p w14:paraId="5E853D7A" w14:textId="77777777" w:rsidR="00494CC3" w:rsidRPr="00705B49" w:rsidRDefault="00494CC3" w:rsidP="00494CC3">
      <w:r w:rsidRPr="00705B49">
        <w:t>As is common for estimates of firm</w:t>
      </w:r>
      <w:r w:rsidRPr="00705B49">
        <w:noBreakHyphen/>
        <w:t xml:space="preserve">level productivity growth analysis, overall model fit for the regressions was generally quite poor. Studies show that the </w:t>
      </w:r>
      <w:r w:rsidRPr="00705B49">
        <w:rPr>
          <w:lang w:val="en-US"/>
        </w:rPr>
        <w:t>link between positive (or negative) variance in productivity growth and changes in broadband technology can be tenuous</w:t>
      </w:r>
      <w:r w:rsidRPr="00705B49">
        <w:rPr>
          <w:rStyle w:val="EndnoteReference"/>
        </w:rPr>
        <w:endnoteReference w:id="17"/>
      </w:r>
      <w:r w:rsidRPr="00705B49">
        <w:t xml:space="preserve"> and can be driven by the high randomness, unpredictability and noise of data at the firm-level, when compared with aggregate macroeconomic data. This creates high variance in productivity growth estimates and affects the precision of predicting firm-level productivity growth. Despite these limitations, there appears to be a positive and statistically</w:t>
      </w:r>
      <w:r w:rsidRPr="00705B49">
        <w:noBreakHyphen/>
        <w:t>significant relationship between broadband and firm</w:t>
      </w:r>
      <w:r w:rsidRPr="00705B49">
        <w:noBreakHyphen/>
        <w:t>level productivity in many of the regression models estimated.</w:t>
      </w:r>
    </w:p>
    <w:p w14:paraId="3894593F" w14:textId="77777777" w:rsidR="00494CC3" w:rsidRPr="00705B49" w:rsidRDefault="00494CC3" w:rsidP="007D0784">
      <w:pPr>
        <w:pStyle w:val="Heading2"/>
      </w:pPr>
      <w:bookmarkStart w:id="105" w:name="_Toc127374085"/>
      <w:bookmarkStart w:id="106" w:name="_Toc129777688"/>
      <w:r w:rsidRPr="00705B49">
        <w:lastRenderedPageBreak/>
        <w:t>Conclusion</w:t>
      </w:r>
      <w:bookmarkEnd w:id="105"/>
      <w:bookmarkEnd w:id="106"/>
    </w:p>
    <w:p w14:paraId="2E309D41" w14:textId="77777777" w:rsidR="00494CC3" w:rsidRPr="00705B49" w:rsidRDefault="00494CC3" w:rsidP="00494CC3">
      <w:pPr>
        <w:rPr>
          <w:lang w:val="en-US"/>
        </w:rPr>
      </w:pPr>
      <w:bookmarkStart w:id="107" w:name="_Hlk124167801"/>
      <w:r w:rsidRPr="00705B49">
        <w:rPr>
          <w:lang w:val="en-US"/>
        </w:rPr>
        <w:t xml:space="preserve">The analysis generally finds a positive relationship between the adoption of </w:t>
      </w:r>
      <w:proofErr w:type="spellStart"/>
      <w:r w:rsidRPr="00705B49">
        <w:rPr>
          <w:lang w:val="en-US"/>
        </w:rPr>
        <w:t>fibre</w:t>
      </w:r>
      <w:proofErr w:type="spellEnd"/>
      <w:r w:rsidRPr="00705B49">
        <w:rPr>
          <w:lang w:val="en-US"/>
        </w:rPr>
        <w:t xml:space="preserve"> and cable</w:t>
      </w:r>
      <w:r w:rsidRPr="00705B49">
        <w:rPr>
          <w:lang w:val="en-US"/>
        </w:rPr>
        <w:noBreakHyphen/>
        <w:t>based broadband and firm</w:t>
      </w:r>
      <w:r w:rsidRPr="00705B49">
        <w:rPr>
          <w:lang w:val="en-US"/>
        </w:rPr>
        <w:noBreakHyphen/>
        <w:t>level productivity growth. This relationship is strongest immediately after the adoption of broadband technology. Additionally, the prevalence of broadband varies based on size, geography and industry which can also influence firm</w:t>
      </w:r>
      <w:r w:rsidRPr="00705B49">
        <w:rPr>
          <w:lang w:val="en-US"/>
        </w:rPr>
        <w:softHyphen/>
      </w:r>
      <w:r w:rsidRPr="00705B49">
        <w:rPr>
          <w:lang w:val="en-US"/>
        </w:rPr>
        <w:noBreakHyphen/>
        <w:t xml:space="preserve">level productivity growth. </w:t>
      </w:r>
      <w:r w:rsidRPr="00881179">
        <w:rPr>
          <w:lang w:val="en-US"/>
        </w:rPr>
        <w:t>This experimental analysis also found some signs of a positive relationship between firms on satellite broadband and productivity growth, however the small sample of firms with satellite connections limited the robustness of these estimates.</w:t>
      </w:r>
    </w:p>
    <w:p w14:paraId="1A0D9883" w14:textId="77777777" w:rsidR="00494CC3" w:rsidRPr="00705B49" w:rsidRDefault="00494CC3" w:rsidP="00494CC3">
      <w:r w:rsidRPr="00705B49">
        <w:rPr>
          <w:lang w:val="en-US"/>
        </w:rPr>
        <w:t xml:space="preserve">The findings in this paper establish a foundation to progress research on the relationship between broadband and firm-level productivity growth within Australia. However, data limitations constrain this analysis. While </w:t>
      </w:r>
      <w:r w:rsidRPr="00705B49">
        <w:t>the emergence of administrative datasets such as BLADE can be used to construct estimates of firm-level productivity growth,</w:t>
      </w:r>
      <w:r w:rsidRPr="00705B49">
        <w:rPr>
          <w:lang w:val="en-US"/>
        </w:rPr>
        <w:t xml:space="preserve"> limited data is available on broadband connections or </w:t>
      </w:r>
      <w:r w:rsidRPr="00705B49">
        <w:t>the speeds attainable by businesses (Appendix F: Limitations to the analysis)</w:t>
      </w:r>
      <w:r w:rsidRPr="00705B49">
        <w:rPr>
          <w:lang w:val="en-US"/>
        </w:rPr>
        <w:t>. Where businesses are able to provide more robust datasets that can be combined with BLADE to address these limitations, the analysis and subsequent findings in this paper may be enhanced.</w:t>
      </w:r>
      <w:r w:rsidRPr="00705B49">
        <w:br w:type="page"/>
      </w:r>
    </w:p>
    <w:p w14:paraId="16A0A186" w14:textId="77777777" w:rsidR="00494CC3" w:rsidRPr="00705B49" w:rsidRDefault="00494CC3" w:rsidP="007D0784">
      <w:pPr>
        <w:pStyle w:val="Heading2"/>
      </w:pPr>
      <w:bookmarkStart w:id="108" w:name="_Toc97652757"/>
      <w:bookmarkStart w:id="109" w:name="_Toc127374086"/>
      <w:bookmarkStart w:id="110" w:name="_Toc129777689"/>
      <w:bookmarkEnd w:id="107"/>
      <w:r w:rsidRPr="00705B49">
        <w:lastRenderedPageBreak/>
        <w:t>Appendix A: Data sources and preparation</w:t>
      </w:r>
      <w:bookmarkEnd w:id="108"/>
      <w:bookmarkEnd w:id="109"/>
      <w:bookmarkEnd w:id="110"/>
    </w:p>
    <w:p w14:paraId="2B61538B" w14:textId="77777777" w:rsidR="00494CC3" w:rsidRPr="00705B49" w:rsidRDefault="00494CC3" w:rsidP="00494CC3">
      <w:r w:rsidRPr="00705B49">
        <w:t>Data was obtained from BLADE, a longitudinal dataset provided by the ABS that links firm-level tax data, ABS survey information, and administrative data collected by various government agencies. BLADE was supplemented with</w:t>
      </w:r>
      <w:r w:rsidR="000F0B8C">
        <w:t xml:space="preserve"> public</w:t>
      </w:r>
      <w:r w:rsidRPr="00705B49">
        <w:t xml:space="preserve"> ABS datasets for deflation and depreciation purposes.</w:t>
      </w:r>
    </w:p>
    <w:p w14:paraId="4FCEC85F" w14:textId="77777777" w:rsidR="00494CC3" w:rsidRPr="00705B49" w:rsidRDefault="00494CC3" w:rsidP="00494CC3">
      <w:r w:rsidRPr="00705B49">
        <w:t>The key datasets and variables used for estimating firm-level productivity growth and broadband usage were:</w:t>
      </w:r>
    </w:p>
    <w:p w14:paraId="4AE9CC49" w14:textId="00EC323C" w:rsidR="00494CC3" w:rsidRPr="00705B49" w:rsidRDefault="00494CC3" w:rsidP="007D0784">
      <w:pPr>
        <w:pStyle w:val="Listparagraphbullets"/>
      </w:pPr>
      <w:r w:rsidRPr="00705B49">
        <w:rPr>
          <w:b/>
        </w:rPr>
        <w:t xml:space="preserve">Business </w:t>
      </w:r>
      <w:r w:rsidR="00FF191D">
        <w:rPr>
          <w:b/>
        </w:rPr>
        <w:t>A</w:t>
      </w:r>
      <w:r w:rsidRPr="00705B49">
        <w:rPr>
          <w:b/>
        </w:rPr>
        <w:t xml:space="preserve">ctivity </w:t>
      </w:r>
      <w:r w:rsidR="00FF191D">
        <w:rPr>
          <w:b/>
        </w:rPr>
        <w:t>S</w:t>
      </w:r>
      <w:r w:rsidRPr="00705B49">
        <w:rPr>
          <w:b/>
        </w:rPr>
        <w:t>tatements (BAS):</w:t>
      </w:r>
      <w:r w:rsidRPr="00705B49">
        <w:t xml:space="preserve"> output (turnover), wages, capital and operating expenditure data for businesses registered for GST purposes. Around 2.5 million businesses report each year.</w:t>
      </w:r>
      <w:r w:rsidRPr="00705B49">
        <w:rPr>
          <w:rStyle w:val="EndnoteReference"/>
        </w:rPr>
        <w:endnoteReference w:id="18"/>
      </w:r>
      <w:r w:rsidRPr="00705B49">
        <w:t xml:space="preserve"> </w:t>
      </w:r>
    </w:p>
    <w:p w14:paraId="064EFC51" w14:textId="77777777" w:rsidR="00494CC3" w:rsidRPr="00705B49" w:rsidRDefault="00494CC3" w:rsidP="007D0784">
      <w:pPr>
        <w:pStyle w:val="Listparagraphbullets"/>
      </w:pPr>
      <w:r w:rsidRPr="00705B49">
        <w:rPr>
          <w:b/>
        </w:rPr>
        <w:t>Business Income Tax (BIT)</w:t>
      </w:r>
      <w:r w:rsidRPr="00705B49">
        <w:t>: assets, liabilities and expenditure data reported for income taxation purposes. Around 2.5 million businesses report each year.</w:t>
      </w:r>
      <w:r w:rsidRPr="00705B49">
        <w:rPr>
          <w:rStyle w:val="EndnoteReference"/>
        </w:rPr>
        <w:endnoteReference w:id="19"/>
      </w:r>
    </w:p>
    <w:p w14:paraId="1F326334" w14:textId="77777777" w:rsidR="00494CC3" w:rsidRPr="00705B49" w:rsidRDefault="00494CC3" w:rsidP="007D0784">
      <w:pPr>
        <w:pStyle w:val="Listparagraphbullets"/>
      </w:pPr>
      <w:r w:rsidRPr="00705B49">
        <w:rPr>
          <w:b/>
        </w:rPr>
        <w:t>Pay As You Go (PAYG)</w:t>
      </w:r>
      <w:r w:rsidRPr="00705B49">
        <w:t>: employment levels data, collected for employee taxation purposes. Around 700,000 businesses report each year.</w:t>
      </w:r>
      <w:r w:rsidRPr="00705B49">
        <w:rPr>
          <w:rStyle w:val="EndnoteReference"/>
        </w:rPr>
        <w:endnoteReference w:id="20"/>
      </w:r>
    </w:p>
    <w:p w14:paraId="6B148912" w14:textId="77777777" w:rsidR="00494CC3" w:rsidRPr="00705B49" w:rsidRDefault="00494CC3" w:rsidP="007D0784">
      <w:pPr>
        <w:pStyle w:val="Listparagraphbullets"/>
      </w:pPr>
      <w:r w:rsidRPr="00705B49">
        <w:rPr>
          <w:b/>
        </w:rPr>
        <w:t>Business Characteristics Survey (BCS)</w:t>
      </w:r>
      <w:r w:rsidRPr="00705B49">
        <w:t>: data on business use of IT, innovation, internet and broadband usage. Around 7,000 businesses respond per year.</w:t>
      </w:r>
      <w:r w:rsidRPr="00705B49">
        <w:rPr>
          <w:rStyle w:val="EndnoteReference"/>
        </w:rPr>
        <w:endnoteReference w:id="21"/>
      </w:r>
    </w:p>
    <w:p w14:paraId="0DDB66D0" w14:textId="77777777" w:rsidR="00494CC3" w:rsidRPr="00705B49" w:rsidRDefault="00494CC3" w:rsidP="007D0784">
      <w:pPr>
        <w:pStyle w:val="Listparagraphbullets"/>
      </w:pPr>
      <w:r w:rsidRPr="00705B49">
        <w:rPr>
          <w:b/>
        </w:rPr>
        <w:t>Experimental BLADE locations data</w:t>
      </w:r>
      <w:r w:rsidRPr="00705B49">
        <w:t>: location information on BLADE businesses for the 2018–19 financial year including Statistical Area levels.</w:t>
      </w:r>
    </w:p>
    <w:p w14:paraId="3503E300" w14:textId="004FD9A1" w:rsidR="00494CC3" w:rsidRPr="00705B49" w:rsidRDefault="00494CC3" w:rsidP="00494CC3">
      <w:r w:rsidRPr="00705B49">
        <w:t>Data treatment steps were taken before analysing productivity growth. All financial values were converted into real (inflation-adjusted) terms before analysis using 2002 (the starting year of BLADE) as the base year. Implicit price deflators were constructed to deflate output and intermediate inputs, using industry-based economic activity</w:t>
      </w:r>
      <w:r w:rsidR="000F0B8C">
        <w:t>.</w:t>
      </w:r>
      <w:r w:rsidRPr="00705B49">
        <w:t xml:space="preserve"> </w:t>
      </w:r>
      <w:r w:rsidR="000F0B8C">
        <w:t>C</w:t>
      </w:r>
      <w:r w:rsidRPr="00705B49">
        <w:t>ost-shares data were used to deflate output indexes.</w:t>
      </w:r>
      <w:r w:rsidRPr="00705B49">
        <w:rPr>
          <w:rStyle w:val="EndnoteReference"/>
        </w:rPr>
        <w:endnoteReference w:id="22"/>
      </w:r>
      <w:r w:rsidRPr="00705B49">
        <w:t xml:space="preserve"> Capital expenditure was deflated using the deflator for national accounts industry-based gross fixed capital formation,</w:t>
      </w:r>
      <w:r w:rsidRPr="00705B49">
        <w:rPr>
          <w:rStyle w:val="EndnoteReference"/>
        </w:rPr>
        <w:endnoteReference w:id="23"/>
      </w:r>
      <w:r w:rsidRPr="00705B49">
        <w:t xml:space="preserve"> while wages were deflated using CPI data.</w:t>
      </w:r>
      <w:r w:rsidRPr="00705B49">
        <w:rPr>
          <w:rStyle w:val="EndnoteReference"/>
        </w:rPr>
        <w:endnoteReference w:id="24"/>
      </w:r>
      <w:r w:rsidRPr="00705B49">
        <w:t xml:space="preserve"> Next, GST in capital and operational expenditure data was factored out to avoid inconsistent tax treatment across different years of BLADE. Finally, asset disposals were subtracted from turnover and capital stock data to ensure the sale of large assets was not influencing MFP results. Outlier firms with extremely high or low levels of productivity growth were treated by removing observations beyond the</w:t>
      </w:r>
      <w:r>
        <w:t xml:space="preserve"> first</w:t>
      </w:r>
      <w:r w:rsidRPr="00705B49">
        <w:t xml:space="preserve"> and 99</w:t>
      </w:r>
      <w:r w:rsidRPr="00705B49">
        <w:rPr>
          <w:vertAlign w:val="superscript"/>
        </w:rPr>
        <w:t>th</w:t>
      </w:r>
      <w:r w:rsidRPr="00705B49">
        <w:t xml:space="preserve"> percentile. This treatment was applied separately to MFP growth and LP growth variables.</w:t>
      </w:r>
    </w:p>
    <w:p w14:paraId="71283BA2" w14:textId="77777777" w:rsidR="00494CC3" w:rsidRPr="00705B49" w:rsidRDefault="00494CC3" w:rsidP="007D0784">
      <w:pPr>
        <w:pStyle w:val="Heading3"/>
      </w:pPr>
      <w:bookmarkStart w:id="111" w:name="_Toc97652756"/>
      <w:bookmarkStart w:id="112" w:name="_Toc127374087"/>
      <w:bookmarkStart w:id="113" w:name="_Toc129777690"/>
      <w:r w:rsidRPr="00705B49">
        <w:lastRenderedPageBreak/>
        <w:t xml:space="preserve">Methodology </w:t>
      </w:r>
      <w:bookmarkEnd w:id="111"/>
      <w:r w:rsidRPr="00705B49">
        <w:t>summary</w:t>
      </w:r>
      <w:bookmarkEnd w:id="112"/>
      <w:bookmarkEnd w:id="113"/>
    </w:p>
    <w:p w14:paraId="2F849E61" w14:textId="77777777" w:rsidR="00494CC3" w:rsidRDefault="00494CC3" w:rsidP="00FF191D">
      <w:pPr>
        <w:pStyle w:val="Tablefigureheading"/>
      </w:pPr>
      <w:bookmarkStart w:id="114" w:name="_Toc97652728"/>
      <w:bookmarkStart w:id="115" w:name="_Toc115175393"/>
      <w:bookmarkStart w:id="116" w:name="_Toc129767625"/>
      <w:r w:rsidRPr="00705B49">
        <w:t xml:space="preserve">Figure </w:t>
      </w:r>
      <w:fldSimple w:instr=" SEQ Figure \* ARABIC ">
        <w:r w:rsidRPr="00705B49">
          <w:rPr>
            <w:noProof/>
          </w:rPr>
          <w:t>7</w:t>
        </w:r>
      </w:fldSimple>
      <w:r w:rsidRPr="00705B49">
        <w:t>. Estimating firm-level productivity</w:t>
      </w:r>
      <w:bookmarkEnd w:id="114"/>
      <w:bookmarkEnd w:id="115"/>
      <w:r w:rsidRPr="00705B49">
        <w:t xml:space="preserve"> growth</w:t>
      </w:r>
      <w:bookmarkEnd w:id="116"/>
    </w:p>
    <w:p w14:paraId="0DBCB1B4" w14:textId="77777777" w:rsidR="007D0784" w:rsidRDefault="007D0784" w:rsidP="007D0784">
      <w:r>
        <w:rPr>
          <w:noProof/>
        </w:rPr>
        <w:drawing>
          <wp:inline distT="0" distB="0" distL="0" distR="0" wp14:anchorId="411A44F5" wp14:editId="27D450FC">
            <wp:extent cx="6016625" cy="4702810"/>
            <wp:effectExtent l="0" t="0" r="3175" b="2540"/>
            <wp:docPr id="12" name="Picture 12" descr="BLADE data collection and cleaning&#10; Extract and process administrative and survey data for the past decade&#10;Impute missing administrative data&#10; Use machine learning to derive missing information required for productivity estimates&#10;Calculate necessary variables to derive productivity growth estimates&#10; Develop capital estimates for firms and estimate price-adjusted variables&#10;Calculate productivity growth estimates at the firm level&#10; Develop productivity growth indexes&#10;Estimate the relationship between productivity growth and broadband&#10; Using detailed survey data from around 7,000 firms per ye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16625" cy="4702810"/>
                    </a:xfrm>
                    <a:prstGeom prst="rect">
                      <a:avLst/>
                    </a:prstGeom>
                  </pic:spPr>
                </pic:pic>
              </a:graphicData>
            </a:graphic>
          </wp:inline>
        </w:drawing>
      </w:r>
    </w:p>
    <w:p w14:paraId="1AF9FE4A" w14:textId="77777777" w:rsidR="00494CC3" w:rsidRPr="00B2759C" w:rsidRDefault="00494CC3" w:rsidP="00FF191D">
      <w:pPr>
        <w:pStyle w:val="Tablefigureheading"/>
      </w:pPr>
      <w:bookmarkStart w:id="117" w:name="_Toc97652729"/>
      <w:bookmarkStart w:id="118" w:name="_Toc115175394"/>
      <w:bookmarkStart w:id="119" w:name="_Toc129767626"/>
      <w:r w:rsidRPr="00B2759C">
        <w:t xml:space="preserve">Figure </w:t>
      </w:r>
      <w:fldSimple w:instr=" SEQ Figure \* ARABIC ">
        <w:r w:rsidRPr="00B2759C">
          <w:rPr>
            <w:noProof/>
          </w:rPr>
          <w:t>8</w:t>
        </w:r>
      </w:fldSimple>
      <w:r w:rsidRPr="00B2759C">
        <w:t>. Estimating the relationship between productivity growth and broadband</w:t>
      </w:r>
      <w:bookmarkEnd w:id="117"/>
      <w:bookmarkEnd w:id="118"/>
      <w:bookmarkEnd w:id="119"/>
    </w:p>
    <w:p w14:paraId="039D23B2" w14:textId="77777777" w:rsidR="00494CC3" w:rsidRPr="00705B49" w:rsidRDefault="007D0784" w:rsidP="00494CC3">
      <w:bookmarkStart w:id="120" w:name="_Toc90041205"/>
      <w:bookmarkStart w:id="121" w:name="_Toc97652758"/>
      <w:bookmarkStart w:id="122" w:name="_Toc68180527"/>
      <w:bookmarkStart w:id="123" w:name="_Toc68186222"/>
      <w:bookmarkStart w:id="124" w:name="_Toc68186843"/>
      <w:bookmarkStart w:id="125" w:name="_Toc68592519"/>
      <w:r w:rsidRPr="00B2759C">
        <w:rPr>
          <w:noProof/>
        </w:rPr>
        <w:drawing>
          <wp:inline distT="0" distB="0" distL="0" distR="0" wp14:anchorId="17338F31" wp14:editId="35CBDFBE">
            <wp:extent cx="6016625" cy="842645"/>
            <wp:effectExtent l="0" t="0" r="3175" b="0"/>
            <wp:docPr id="13" name="Picture 13" descr="Figure 8 - estimating the relationship between productivity growth and broadband.&#10;&#10;This diagram shows the process involved for developing an estimate of  broadband impacts on productivity growth. It shows that the steps start with survey data, and step through analysis of productivity growth by broadband technology type, performance of regressions controlling for other factors, and finally performance of analysis of broadband switches between technology typ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16625" cy="842645"/>
                    </a:xfrm>
                    <a:prstGeom prst="rect">
                      <a:avLst/>
                    </a:prstGeom>
                  </pic:spPr>
                </pic:pic>
              </a:graphicData>
            </a:graphic>
          </wp:inline>
        </w:drawing>
      </w:r>
    </w:p>
    <w:p w14:paraId="3E6F09BA" w14:textId="77777777" w:rsidR="00494CC3" w:rsidRPr="00705B49" w:rsidRDefault="00494CC3" w:rsidP="00494CC3">
      <w:r w:rsidRPr="00705B49">
        <w:br w:type="page"/>
      </w:r>
    </w:p>
    <w:p w14:paraId="44D508E6" w14:textId="77777777" w:rsidR="00494CC3" w:rsidRPr="00705B49" w:rsidRDefault="00494CC3" w:rsidP="007D0784">
      <w:pPr>
        <w:pStyle w:val="Heading2"/>
      </w:pPr>
      <w:bookmarkStart w:id="126" w:name="_Ref109932140"/>
      <w:bookmarkStart w:id="127" w:name="_Toc127374088"/>
      <w:bookmarkStart w:id="128" w:name="_Toc129777691"/>
      <w:r w:rsidRPr="00705B49">
        <w:lastRenderedPageBreak/>
        <w:t xml:space="preserve">Appendix B: Firm-level </w:t>
      </w:r>
      <w:bookmarkEnd w:id="120"/>
      <w:r w:rsidRPr="00705B49">
        <w:t>productivity growth measures</w:t>
      </w:r>
      <w:bookmarkEnd w:id="121"/>
      <w:bookmarkEnd w:id="126"/>
      <w:bookmarkEnd w:id="127"/>
      <w:bookmarkEnd w:id="128"/>
    </w:p>
    <w:p w14:paraId="3BC341B6" w14:textId="77777777" w:rsidR="00494CC3" w:rsidRPr="00705B49" w:rsidRDefault="00494CC3" w:rsidP="00494CC3">
      <w:bookmarkStart w:id="129" w:name="_Hlk118132233"/>
      <w:r w:rsidRPr="00705B49">
        <w:t>Productivity growth can be quantified in s</w:t>
      </w:r>
      <w:bookmarkEnd w:id="122"/>
      <w:bookmarkEnd w:id="123"/>
      <w:bookmarkEnd w:id="124"/>
      <w:bookmarkEnd w:id="125"/>
      <w:r w:rsidRPr="00705B49">
        <w:t>everal ways.</w:t>
      </w:r>
      <w:r w:rsidRPr="00705B49">
        <w:rPr>
          <w:rStyle w:val="EndnoteReference"/>
        </w:rPr>
        <w:endnoteReference w:id="25"/>
      </w:r>
      <w:r w:rsidRPr="00705B49">
        <w:t xml:space="preserve"> This analysis focuses on </w:t>
      </w:r>
      <w:r>
        <w:t>2</w:t>
      </w:r>
      <w:r w:rsidRPr="00705B49">
        <w:t xml:space="preserve"> key productivity measures: </w:t>
      </w:r>
    </w:p>
    <w:p w14:paraId="4CBCBB02" w14:textId="77777777" w:rsidR="00494CC3" w:rsidRPr="00705B49" w:rsidRDefault="00494CC3" w:rsidP="007D0784">
      <w:pPr>
        <w:pStyle w:val="Listparagraphbullets"/>
      </w:pPr>
      <w:r w:rsidRPr="00705B49">
        <w:t>Labour productivity growth (LP growth): the ratio of output growth to the growth in labour usage</w:t>
      </w:r>
    </w:p>
    <w:p w14:paraId="7F5F1809" w14:textId="77777777" w:rsidR="00494CC3" w:rsidRPr="00705B49" w:rsidRDefault="00494CC3" w:rsidP="007D0784">
      <w:pPr>
        <w:pStyle w:val="Listparagraphbullets"/>
      </w:pPr>
      <w:r w:rsidRPr="00705B49">
        <w:t xml:space="preserve">Multifactor productivity growth (MFP growth): the ratio of output growth to the growth in labour, capital and intermediate inputs.  </w:t>
      </w:r>
    </w:p>
    <w:p w14:paraId="7E2A0914" w14:textId="77777777" w:rsidR="00494CC3" w:rsidRPr="00705B49" w:rsidRDefault="00494CC3" w:rsidP="00494CC3">
      <w:bookmarkStart w:id="130" w:name="_Toc97652759"/>
      <w:r w:rsidRPr="00705B49">
        <w:t xml:space="preserve">Each measure was calculated at the firm level using an index-numbers approach. Due to the challenging nature of creating a firm-level capital stock index, a proxy approach was used that is in line with the Organisation for Economic Co-operation and Development (OECD) recommendations. To determine a firm’s MFP growth, its labour inputs, capital inputs and intermediate inputs were aggregated using a bilateral </w:t>
      </w:r>
      <w:proofErr w:type="spellStart"/>
      <w:r w:rsidRPr="00705B49">
        <w:t>Törnqvist</w:t>
      </w:r>
      <w:proofErr w:type="spellEnd"/>
      <w:r w:rsidRPr="00705B49">
        <w:t xml:space="preserve"> quantity index (a weighted geometric average of input components, where the weights are the arithmetic average of the expenditure shares in the </w:t>
      </w:r>
      <w:r>
        <w:t>2</w:t>
      </w:r>
      <w:r w:rsidRPr="00705B49">
        <w:t xml:space="preserve"> periods being compared).</w:t>
      </w:r>
      <w:r w:rsidRPr="00705B49">
        <w:rPr>
          <w:rStyle w:val="EndnoteReference"/>
        </w:rPr>
        <w:endnoteReference w:id="26"/>
      </w:r>
      <w:r w:rsidRPr="00705B49">
        <w:t xml:space="preserve"> This is the same index formula that is used by the Australian Bureau of Statistics in calculating estimates of industry MFP.</w:t>
      </w:r>
      <w:r w:rsidRPr="00705B49">
        <w:rPr>
          <w:rStyle w:val="EndnoteReference"/>
        </w:rPr>
        <w:endnoteReference w:id="27"/>
      </w:r>
      <w:r w:rsidRPr="00705B49">
        <w:t xml:space="preserve"> To make the best use of the breadth of data in BLADE, missing output and input data was imputed using machine-learning methods.</w:t>
      </w:r>
    </w:p>
    <w:p w14:paraId="2DAB2F31" w14:textId="77777777" w:rsidR="00494CC3" w:rsidRPr="00705B49" w:rsidRDefault="00494CC3" w:rsidP="007D0784">
      <w:pPr>
        <w:pStyle w:val="Heading3"/>
      </w:pPr>
      <w:bookmarkStart w:id="131" w:name="_Toc127374089"/>
      <w:bookmarkStart w:id="132" w:name="_Toc129777692"/>
      <w:bookmarkEnd w:id="129"/>
      <w:r w:rsidRPr="00705B49">
        <w:t>Deriving productivity growth using index numbers</w:t>
      </w:r>
      <w:bookmarkEnd w:id="130"/>
      <w:bookmarkEnd w:id="131"/>
      <w:bookmarkEnd w:id="132"/>
    </w:p>
    <w:p w14:paraId="1B3E2612" w14:textId="77777777" w:rsidR="00494CC3" w:rsidRPr="00705B49" w:rsidRDefault="00494CC3" w:rsidP="00494CC3">
      <w:pPr>
        <w:pStyle w:val="CommentText"/>
      </w:pPr>
      <w:r w:rsidRPr="00705B49">
        <w:t>BCARR’s productivity growth measures were estimated using an index</w:t>
      </w:r>
      <w:r w:rsidRPr="00705B49">
        <w:noBreakHyphen/>
        <w:t>numbers approach.</w:t>
      </w:r>
      <w:r w:rsidRPr="00705B49">
        <w:rPr>
          <w:rStyle w:val="EndnoteReference"/>
        </w:rPr>
        <w:endnoteReference w:id="28"/>
      </w:r>
      <w:r w:rsidRPr="00705B49">
        <w:t xml:space="preserve"> This approach creates an index for the change in each firm’s inputs and outputs. Productivity growth can be measured by chaining changes in the ratio of output and input indexes over time. At the firm level, MFP and LP growth was measured using the following formula:</w:t>
      </w:r>
    </w:p>
    <w:p w14:paraId="3A474E04" w14:textId="77777777" w:rsidR="00494CC3" w:rsidRPr="00705B49" w:rsidRDefault="005562AF" w:rsidP="00494CC3">
      <w:pPr>
        <w:rPr>
          <w:rFonts w:eastAsiaTheme="minorEastAsia" w:cstheme="minorHAnsi"/>
        </w:rPr>
      </w:pPr>
      <m:oMathPara>
        <m:oMath>
          <m:sSub>
            <m:sSubPr>
              <m:ctrlPr>
                <w:rPr>
                  <w:rFonts w:ascii="Cambria Math" w:hAnsi="Cambria Math" w:cstheme="minorHAnsi"/>
                </w:rPr>
              </m:ctrlPr>
            </m:sSubPr>
            <m:e>
              <m:r>
                <m:rPr>
                  <m:sty m:val="p"/>
                </m:rPr>
                <w:rPr>
                  <w:rFonts w:ascii="Cambria Math" w:hAnsi="Cambria Math" w:cstheme="minorHAnsi"/>
                </w:rPr>
                <m:t>MFP growth</m:t>
              </m:r>
            </m:e>
            <m:sub>
              <m:r>
                <w:rPr>
                  <w:rFonts w:ascii="Cambria Math" w:hAnsi="Cambria Math" w:cstheme="minorHAnsi"/>
                </w:rPr>
                <m:t>it</m:t>
              </m:r>
            </m:sub>
          </m:sSub>
          <m:r>
            <m:rPr>
              <m:sty m:val="p"/>
            </m:rPr>
            <w:rPr>
              <w:rFonts w:ascii="Cambria Math" w:hAnsi="Cambria Math" w:cstheme="minorHAnsi"/>
            </w:rPr>
            <m:t xml:space="preserve">=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Output growth</m:t>
                  </m:r>
                </m:e>
                <m:sub>
                  <m:r>
                    <w:rPr>
                      <w:rFonts w:ascii="Cambria Math" w:hAnsi="Cambria Math" w:cstheme="minorHAnsi"/>
                    </w:rPr>
                    <m:t>it</m:t>
                  </m:r>
                </m:sub>
              </m:sSub>
            </m:num>
            <m:den>
              <m:sSub>
                <m:sSubPr>
                  <m:ctrlPr>
                    <w:rPr>
                      <w:rFonts w:ascii="Cambria Math" w:hAnsi="Cambria Math" w:cstheme="minorHAnsi"/>
                    </w:rPr>
                  </m:ctrlPr>
                </m:sSubPr>
                <m:e>
                  <m:r>
                    <m:rPr>
                      <m:sty m:val="p"/>
                    </m:rPr>
                    <w:rPr>
                      <w:rFonts w:ascii="Cambria Math" w:hAnsi="Cambria Math" w:cstheme="minorHAnsi"/>
                    </w:rPr>
                    <m:t>Input growth</m:t>
                  </m:r>
                </m:e>
                <m:sub>
                  <m:r>
                    <w:rPr>
                      <w:rFonts w:ascii="Cambria Math" w:hAnsi="Cambria Math" w:cstheme="minorHAnsi"/>
                    </w:rPr>
                    <m:t>it</m:t>
                  </m:r>
                </m:sub>
              </m:sSub>
            </m:den>
          </m:f>
          <m: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Y growth</m:t>
                  </m:r>
                </m:e>
                <m:sub>
                  <m:r>
                    <w:rPr>
                      <w:rFonts w:ascii="Cambria Math" w:hAnsi="Cambria Math" w:cstheme="minorHAnsi"/>
                    </w:rPr>
                    <m:t>it</m:t>
                  </m:r>
                </m:sub>
              </m:sSub>
            </m:num>
            <m:den>
              <m:sSub>
                <m:sSubPr>
                  <m:ctrlPr>
                    <w:rPr>
                      <w:rFonts w:ascii="Cambria Math" w:hAnsi="Cambria Math" w:cstheme="minorHAnsi"/>
                    </w:rPr>
                  </m:ctrlPr>
                </m:sSubPr>
                <m:e>
                  <m:r>
                    <w:rPr>
                      <w:rFonts w:ascii="Cambria Math" w:hAnsi="Cambria Math" w:cstheme="minorHAnsi"/>
                    </w:rPr>
                    <m:t>L, K, I growth</m:t>
                  </m:r>
                </m:e>
                <m:sub>
                  <m:r>
                    <w:rPr>
                      <w:rFonts w:ascii="Cambria Math" w:hAnsi="Cambria Math" w:cstheme="minorHAnsi"/>
                    </w:rPr>
                    <m:t>it</m:t>
                  </m:r>
                </m:sub>
              </m:sSub>
            </m:den>
          </m:f>
          <m:r>
            <w:rPr>
              <w:rFonts w:ascii="Cambria Math" w:hAnsi="Cambria Math" w:cstheme="minorHAnsi"/>
            </w:rPr>
            <m:t xml:space="preserve"> </m:t>
          </m:r>
        </m:oMath>
      </m:oMathPara>
    </w:p>
    <w:p w14:paraId="5C88C23F" w14:textId="77777777" w:rsidR="00494CC3" w:rsidRPr="00705B49" w:rsidRDefault="005562AF" w:rsidP="00494CC3">
      <w:pPr>
        <w:rPr>
          <w:rFonts w:eastAsiaTheme="minorEastAsia"/>
        </w:rPr>
      </w:pPr>
      <m:oMathPara>
        <m:oMath>
          <m:sSub>
            <m:sSubPr>
              <m:ctrlPr>
                <w:rPr>
                  <w:rFonts w:ascii="Cambria Math" w:hAnsi="Cambria Math"/>
                </w:rPr>
              </m:ctrlPr>
            </m:sSubPr>
            <m:e>
              <m:r>
                <m:rPr>
                  <m:sty m:val="p"/>
                </m:rPr>
                <w:rPr>
                  <w:rFonts w:ascii="Cambria Math" w:hAnsi="Cambria Math"/>
                </w:rPr>
                <m:t>LP growth</m:t>
              </m:r>
            </m:e>
            <m:sub>
              <m:r>
                <w:rPr>
                  <w:rFonts w:ascii="Cambria Math" w:hAnsi="Cambria Math"/>
                </w:rPr>
                <m:t>it</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Output growth</m:t>
                  </m:r>
                </m:e>
                <m:sub>
                  <m:r>
                    <w:rPr>
                      <w:rFonts w:ascii="Cambria Math" w:hAnsi="Cambria Math"/>
                    </w:rPr>
                    <m:t>it</m:t>
                  </m:r>
                </m:sub>
              </m:sSub>
            </m:num>
            <m:den>
              <m:sSub>
                <m:sSubPr>
                  <m:ctrlPr>
                    <w:rPr>
                      <w:rFonts w:ascii="Cambria Math" w:hAnsi="Cambria Math"/>
                    </w:rPr>
                  </m:ctrlPr>
                </m:sSubPr>
                <m:e>
                  <m:r>
                    <m:rPr>
                      <m:sty m:val="p"/>
                    </m:rPr>
                    <w:rPr>
                      <w:rFonts w:ascii="Cambria Math" w:hAnsi="Cambria Math"/>
                    </w:rPr>
                    <m:t>Input growth</m:t>
                  </m:r>
                </m:e>
                <m:sub>
                  <m:r>
                    <w:rPr>
                      <w:rFonts w:ascii="Cambria Math" w:hAnsi="Cambria Math"/>
                    </w:rPr>
                    <m:t>it</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Y growth</m:t>
                  </m:r>
                </m:e>
                <m:sub>
                  <m:r>
                    <w:rPr>
                      <w:rFonts w:ascii="Cambria Math" w:hAnsi="Cambria Math"/>
                    </w:rPr>
                    <m:t>it</m:t>
                  </m:r>
                </m:sub>
              </m:sSub>
            </m:num>
            <m:den>
              <m:sSub>
                <m:sSubPr>
                  <m:ctrlPr>
                    <w:rPr>
                      <w:rFonts w:ascii="Cambria Math" w:hAnsi="Cambria Math"/>
                    </w:rPr>
                  </m:ctrlPr>
                </m:sSubPr>
                <m:e>
                  <m:r>
                    <w:rPr>
                      <w:rFonts w:ascii="Cambria Math" w:hAnsi="Cambria Math"/>
                    </w:rPr>
                    <m:t>L growth</m:t>
                  </m:r>
                </m:e>
                <m:sub>
                  <m:r>
                    <w:rPr>
                      <w:rFonts w:ascii="Cambria Math" w:hAnsi="Cambria Math"/>
                    </w:rPr>
                    <m:t>it</m:t>
                  </m:r>
                </m:sub>
              </m:sSub>
            </m:den>
          </m:f>
          <m:r>
            <w:rPr>
              <w:rFonts w:ascii="Cambria Math" w:hAnsi="Cambria Math"/>
            </w:rPr>
            <m:t xml:space="preserve"> </m:t>
          </m:r>
        </m:oMath>
      </m:oMathPara>
    </w:p>
    <w:p w14:paraId="0590E014" w14:textId="77777777" w:rsidR="00494CC3" w:rsidRPr="00705B49" w:rsidRDefault="00494CC3" w:rsidP="00494CC3">
      <w:r w:rsidRPr="00705B49">
        <w:t xml:space="preserve">where growth refers to the change between year </w:t>
      </w:r>
      <w:r w:rsidRPr="00705B49">
        <w:rPr>
          <w:i/>
        </w:rPr>
        <w:t>t</w:t>
      </w:r>
      <w:r w:rsidRPr="00705B49">
        <w:t xml:space="preserve"> and the previous year </w:t>
      </w:r>
      <w:r w:rsidRPr="00705B49">
        <w:rPr>
          <w:i/>
        </w:rPr>
        <w:t>t-1,</w:t>
      </w:r>
      <w:r w:rsidRPr="00705B49">
        <w:t xml:space="preserve"> for firm </w:t>
      </w:r>
      <w:proofErr w:type="spellStart"/>
      <w:r w:rsidRPr="00705B49">
        <w:rPr>
          <w:i/>
        </w:rPr>
        <w:t>i</w:t>
      </w:r>
      <w:proofErr w:type="spellEnd"/>
      <w:r w:rsidRPr="00705B49">
        <w:t xml:space="preserve"> (where </w:t>
      </w:r>
      <w:proofErr w:type="spellStart"/>
      <w:r w:rsidRPr="00705B49">
        <w:rPr>
          <w:i/>
        </w:rPr>
        <w:t>t</w:t>
      </w:r>
      <w:proofErr w:type="spellEnd"/>
      <w:r w:rsidRPr="00705B49">
        <w:rPr>
          <w:i/>
        </w:rPr>
        <w:t xml:space="preserve"> </w:t>
      </w:r>
      <w:r w:rsidRPr="00705B49">
        <w:t>is between years 2009–10 and 2019–20). For each, the growth rate is the respective formula minus 1. Indexes for output, labour and intermediate inputs are calculated using data readily available in BLADE. For MFP growth, output growth (Y) is measured using deflated business turnover, while input growth is measured using a combination of labour inputs (</w:t>
      </w:r>
      <w:r w:rsidRPr="00705B49">
        <w:rPr>
          <w:i/>
        </w:rPr>
        <w:t>L</w:t>
      </w:r>
      <w:r w:rsidRPr="00705B49">
        <w:t>), deflated capital inputs (</w:t>
      </w:r>
      <w:r w:rsidRPr="00705B49">
        <w:rPr>
          <w:i/>
        </w:rPr>
        <w:t>K</w:t>
      </w:r>
      <w:r w:rsidRPr="00705B49">
        <w:t>) and deflated intermediate inputs (</w:t>
      </w:r>
      <w:r w:rsidRPr="00705B49">
        <w:rPr>
          <w:i/>
        </w:rPr>
        <w:t>I</w:t>
      </w:r>
      <w:r w:rsidRPr="00705B49">
        <w:t>). Real output growth is calculated at the firm level as the yearly growth in deflated total sales; labour growth is the growth in full-time equivalent (FTE) employees; and real intermediate input growth is the growth in deflated operational expenditure. In contrast, a capital index is more difficult to construct as there is no widely available measure of capital stock in BLADE.</w:t>
      </w:r>
      <w:r w:rsidRPr="00705B49">
        <w:rPr>
          <w:rStyle w:val="FootnoteReference"/>
        </w:rPr>
        <w:t xml:space="preserve"> </w:t>
      </w:r>
      <w:r w:rsidRPr="00705B49">
        <w:rPr>
          <w:rStyle w:val="FootnoteReference"/>
        </w:rPr>
        <w:footnoteReference w:id="2"/>
      </w:r>
      <w:r w:rsidRPr="00705B49">
        <w:t xml:space="preserve"> Capital stock levels at the firm level were estimated using a proxy method, shown below.</w:t>
      </w:r>
    </w:p>
    <w:p w14:paraId="21F1160A" w14:textId="77777777" w:rsidR="00494CC3" w:rsidRPr="00705B49" w:rsidRDefault="00494CC3" w:rsidP="00494CC3">
      <w:r w:rsidRPr="00705B49">
        <w:t>These individual input variables cannot be simply added together to find a total input value as they use different units of measurement. Instead, the input variables are weighted by their share of a firm’s total costs. Using this approach, the previous formula can be disaggregated using the following logged form:</w:t>
      </w:r>
    </w:p>
    <w:p w14:paraId="38E74F01" w14:textId="77777777" w:rsidR="00494CC3" w:rsidRPr="00705B49" w:rsidRDefault="005562AF" w:rsidP="00494CC3">
      <m:oMathPara>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MFP</m:t>
                          </m:r>
                          <m:r>
                            <m:rPr>
                              <m:sty m:val="p"/>
                            </m:rPr>
                            <w:rPr>
                              <w:rFonts w:ascii="Cambria Math" w:hAnsi="Cambria Math"/>
                            </w:rPr>
                            <w:softHyphen/>
                          </m:r>
                        </m:e>
                        <m:sub>
                          <m:r>
                            <w:rPr>
                              <w:rFonts w:ascii="Cambria Math" w:hAnsi="Cambria Math"/>
                            </w:rPr>
                            <m:t>it</m:t>
                          </m:r>
                        </m:sub>
                      </m:sSub>
                    </m:num>
                    <m:den>
                      <m:sSub>
                        <m:sSubPr>
                          <m:ctrlPr>
                            <w:rPr>
                              <w:rFonts w:ascii="Cambria Math" w:hAnsi="Cambria Math"/>
                              <w:i/>
                            </w:rPr>
                          </m:ctrlPr>
                        </m:sSubPr>
                        <m:e>
                          <m:r>
                            <w:rPr>
                              <w:rFonts w:ascii="Cambria Math" w:hAnsi="Cambria Math"/>
                            </w:rPr>
                            <m:t>MFP</m:t>
                          </m:r>
                          <m:r>
                            <m:rPr>
                              <m:sty m:val="p"/>
                            </m:rPr>
                            <w:rPr>
                              <w:rFonts w:ascii="Cambria Math" w:hAnsi="Cambria Math"/>
                            </w:rPr>
                            <w:softHyphen/>
                          </m:r>
                        </m:e>
                        <m:sub>
                          <m:r>
                            <w:rPr>
                              <w:rFonts w:ascii="Cambria Math" w:hAnsi="Cambria Math"/>
                            </w:rPr>
                            <m:t>i(t-1)</m:t>
                          </m:r>
                        </m:sub>
                      </m:sSub>
                    </m:den>
                  </m:f>
                </m:e>
              </m:d>
            </m:e>
          </m:func>
          <m:r>
            <w:rPr>
              <w:rFonts w:ascii="Cambria Math" w:eastAsiaTheme="minorEastAsia"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it</m:t>
                          </m:r>
                        </m:sub>
                      </m:sSub>
                    </m:num>
                    <m:den>
                      <m:sSub>
                        <m:sSubPr>
                          <m:ctrlPr>
                            <w:rPr>
                              <w:rFonts w:ascii="Cambria Math" w:hAnsi="Cambria Math"/>
                              <w:i/>
                            </w:rPr>
                          </m:ctrlPr>
                        </m:sSubPr>
                        <m:e>
                          <m:r>
                            <w:rPr>
                              <w:rFonts w:ascii="Cambria Math" w:hAnsi="Cambria Math"/>
                            </w:rPr>
                            <m:t>Y</m:t>
                          </m:r>
                        </m:e>
                        <m:sub>
                          <m:r>
                            <w:rPr>
                              <w:rFonts w:ascii="Cambria Math" w:hAnsi="Cambria Math"/>
                            </w:rPr>
                            <m:t>i(t-1)</m:t>
                          </m:r>
                        </m:sub>
                      </m:sSub>
                    </m:den>
                  </m:f>
                </m:e>
              </m:d>
            </m:e>
          </m:fun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L</m:t>
              </m:r>
            </m:sub>
          </m:sSub>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it</m:t>
                          </m:r>
                        </m:sub>
                      </m:sSub>
                    </m:num>
                    <m:den>
                      <m:sSub>
                        <m:sSubPr>
                          <m:ctrlPr>
                            <w:rPr>
                              <w:rFonts w:ascii="Cambria Math" w:hAnsi="Cambria Math"/>
                              <w:i/>
                            </w:rPr>
                          </m:ctrlPr>
                        </m:sSubPr>
                        <m:e>
                          <m:r>
                            <w:rPr>
                              <w:rFonts w:ascii="Cambria Math" w:hAnsi="Cambria Math"/>
                            </w:rPr>
                            <m:t>L</m:t>
                          </m:r>
                        </m:e>
                        <m:sub>
                          <m:r>
                            <w:rPr>
                              <w:rFonts w:ascii="Cambria Math" w:hAnsi="Cambria Math"/>
                            </w:rPr>
                            <m:t>i(t-1)</m:t>
                          </m:r>
                        </m:sub>
                      </m:sSub>
                    </m:den>
                  </m:f>
                </m:e>
              </m:d>
            </m:e>
          </m:func>
          <m:r>
            <w:rPr>
              <w:rFonts w:ascii="Cambria Math" w:eastAsiaTheme="minorEastAsia" w:hAnsi="Cambria Math"/>
            </w:rPr>
            <m:t>-</m:t>
          </m:r>
          <m:func>
            <m:funcPr>
              <m:ctrlPr>
                <w:rPr>
                  <w:rFonts w:ascii="Cambria Math" w:hAnsi="Cambria Math"/>
                  <w:i/>
                </w:rPr>
              </m:ctrlPr>
            </m:funcPr>
            <m:fNa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K</m:t>
                  </m:r>
                </m:sub>
              </m:sSub>
              <m:r>
                <m:rPr>
                  <m:sty m:val="p"/>
                </m:rPr>
                <w:rPr>
                  <w:rFonts w:ascii="Cambria Math" w:hAnsi="Cambria Math"/>
                </w:rPr>
                <m:t xml:space="preserve"> 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it</m:t>
                          </m:r>
                        </m:sub>
                      </m:sSub>
                    </m:num>
                    <m:den>
                      <m:sSub>
                        <m:sSubPr>
                          <m:ctrlPr>
                            <w:rPr>
                              <w:rFonts w:ascii="Cambria Math" w:hAnsi="Cambria Math"/>
                              <w:i/>
                            </w:rPr>
                          </m:ctrlPr>
                        </m:sSubPr>
                        <m:e>
                          <m:r>
                            <w:rPr>
                              <w:rFonts w:ascii="Cambria Math" w:hAnsi="Cambria Math"/>
                            </w:rPr>
                            <m:t>K</m:t>
                          </m:r>
                        </m:e>
                        <m:sub>
                          <m:r>
                            <w:rPr>
                              <w:rFonts w:ascii="Cambria Math" w:hAnsi="Cambria Math"/>
                            </w:rPr>
                            <m:t>i(t-1)</m:t>
                          </m:r>
                        </m:sub>
                      </m:sSub>
                    </m:den>
                  </m:f>
                </m:e>
              </m:d>
            </m:e>
          </m:fun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it</m:t>
                          </m:r>
                        </m:sub>
                      </m:sSub>
                    </m:num>
                    <m:den>
                      <m:sSub>
                        <m:sSubPr>
                          <m:ctrlPr>
                            <w:rPr>
                              <w:rFonts w:ascii="Cambria Math" w:hAnsi="Cambria Math"/>
                              <w:i/>
                            </w:rPr>
                          </m:ctrlPr>
                        </m:sSubPr>
                        <m:e>
                          <m:r>
                            <w:rPr>
                              <w:rFonts w:ascii="Cambria Math" w:hAnsi="Cambria Math"/>
                            </w:rPr>
                            <m:t>I</m:t>
                          </m:r>
                        </m:e>
                        <m:sub>
                          <m:r>
                            <w:rPr>
                              <w:rFonts w:ascii="Cambria Math" w:hAnsi="Cambria Math"/>
                            </w:rPr>
                            <m:t>i(t-1)</m:t>
                          </m:r>
                        </m:sub>
                      </m:sSub>
                    </m:den>
                  </m:f>
                </m:e>
              </m:d>
            </m:e>
          </m:func>
        </m:oMath>
      </m:oMathPara>
    </w:p>
    <w:p w14:paraId="1CCEBD3F" w14:textId="77777777" w:rsidR="00494CC3" w:rsidRPr="00705B49" w:rsidRDefault="00494CC3" w:rsidP="00494CC3">
      <w:r w:rsidRPr="00705B49">
        <w:t xml:space="preserve">where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L</m:t>
            </m:r>
          </m:sub>
        </m:sSub>
      </m:oMath>
      <w:r w:rsidRPr="00705B4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K</m:t>
            </m:r>
          </m:sub>
        </m:sSub>
      </m:oMath>
      <w:r w:rsidRPr="00705B49">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oMath>
      <w:r w:rsidRPr="00705B49">
        <w:t xml:space="preserve"> are the weights associated with labour, capital and intermediate inputs (see </w:t>
      </w:r>
      <w:r w:rsidRPr="00705B49">
        <w:rPr>
          <w:i/>
        </w:rPr>
        <w:t xml:space="preserve">Input index weighting </w:t>
      </w:r>
      <w:r w:rsidRPr="00705B49">
        <w:t xml:space="preserve">for further information). Firm-level productivity growth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MFP</m:t>
                    </m:r>
                  </m:e>
                  <m:sub>
                    <m:r>
                      <w:rPr>
                        <w:rFonts w:ascii="Cambria Math" w:hAnsi="Cambria Math"/>
                      </w:rPr>
                      <m:t>t</m:t>
                    </m:r>
                  </m:sub>
                </m:sSub>
              </m:num>
              <m:den>
                <m:sSub>
                  <m:sSubPr>
                    <m:ctrlPr>
                      <w:rPr>
                        <w:rFonts w:ascii="Cambria Math" w:hAnsi="Cambria Math"/>
                        <w:i/>
                      </w:rPr>
                    </m:ctrlPr>
                  </m:sSubPr>
                  <m:e>
                    <m:r>
                      <w:rPr>
                        <w:rFonts w:ascii="Cambria Math" w:hAnsi="Cambria Math"/>
                      </w:rPr>
                      <m:t>MFP</m:t>
                    </m:r>
                  </m:e>
                  <m:sub>
                    <m:r>
                      <w:rPr>
                        <w:rFonts w:ascii="Cambria Math" w:hAnsi="Cambria Math"/>
                      </w:rPr>
                      <m:t>t-1</m:t>
                    </m:r>
                  </m:sub>
                </m:sSub>
              </m:den>
            </m:f>
          </m:e>
        </m:d>
      </m:oMath>
      <w:r w:rsidRPr="00705B49">
        <w:t xml:space="preserve"> is estimated by first </w:t>
      </w:r>
      <w:r w:rsidRPr="00705B49">
        <w:lastRenderedPageBreak/>
        <w:t>solving the right-hand side of this formula and then taking the exponent of both sides. Solving the right</w:t>
      </w:r>
      <w:r w:rsidRPr="00705B49">
        <w:noBreakHyphen/>
        <w:t>hand side of this formula requires constructing input and output growth indexes using the data available in BLADE. In summary, this formula shows that MFP growth for a firm is a function of logged output growth less logged input growth.</w:t>
      </w:r>
    </w:p>
    <w:p w14:paraId="423ED23C" w14:textId="77777777" w:rsidR="00494CC3" w:rsidRPr="00705B49" w:rsidRDefault="00494CC3" w:rsidP="007D0784">
      <w:pPr>
        <w:pStyle w:val="Heading4"/>
      </w:pPr>
      <w:bookmarkStart w:id="133" w:name="_Toc90041211"/>
      <w:bookmarkStart w:id="134" w:name="_Toc97652760"/>
      <w:bookmarkStart w:id="135" w:name="_Toc119052285"/>
      <w:bookmarkStart w:id="136" w:name="_Toc119058140"/>
      <w:bookmarkStart w:id="137" w:name="_Toc121932274"/>
      <w:bookmarkStart w:id="138" w:name="_Toc124169147"/>
      <w:bookmarkStart w:id="139" w:name="_Toc127374090"/>
      <w:bookmarkStart w:id="140" w:name="_Toc129777693"/>
      <w:r w:rsidRPr="00705B49">
        <w:t>Creating a capital</w:t>
      </w:r>
      <w:bookmarkEnd w:id="133"/>
      <w:r w:rsidRPr="00705B49">
        <w:t xml:space="preserve"> index</w:t>
      </w:r>
      <w:bookmarkEnd w:id="134"/>
      <w:bookmarkEnd w:id="135"/>
      <w:bookmarkEnd w:id="136"/>
      <w:bookmarkEnd w:id="137"/>
      <w:bookmarkEnd w:id="138"/>
      <w:bookmarkEnd w:id="139"/>
      <w:bookmarkEnd w:id="140"/>
    </w:p>
    <w:p w14:paraId="7F14120C" w14:textId="77777777" w:rsidR="00494CC3" w:rsidRPr="00B2759C" w:rsidRDefault="00494CC3" w:rsidP="00494CC3">
      <w:pPr>
        <w:pStyle w:val="Bullet3"/>
        <w:numPr>
          <w:ilvl w:val="0"/>
          <w:numId w:val="0"/>
        </w:numPr>
        <w:rPr>
          <w:lang w:val="en-AU"/>
        </w:rPr>
      </w:pPr>
      <w:r w:rsidRPr="00B2759C">
        <w:rPr>
          <w:lang w:val="en-AU"/>
        </w:rPr>
        <w:t>Capital stock was constructed using the Perpetual Inventory Method (PIM), which is in line with the methodology favoured by the ABS and the OECD.</w:t>
      </w:r>
      <w:r w:rsidRPr="00B2759C">
        <w:rPr>
          <w:rStyle w:val="EndnoteReference"/>
          <w:lang w:val="en-AU"/>
        </w:rPr>
        <w:endnoteReference w:id="29"/>
      </w:r>
      <w:r w:rsidRPr="00B2759C">
        <w:rPr>
          <w:lang w:val="en-AU"/>
        </w:rPr>
        <w:t xml:space="preserve"> This is expressed by the following formula:</w:t>
      </w:r>
    </w:p>
    <w:p w14:paraId="400556C9" w14:textId="77777777" w:rsidR="00494CC3" w:rsidRPr="00705B49" w:rsidRDefault="00494CC3" w:rsidP="00494CC3">
      <w:pPr>
        <w:pStyle w:val="Bullet3"/>
        <w:numPr>
          <w:ilvl w:val="0"/>
          <w:numId w:val="0"/>
        </w:numPr>
        <w:jc w:val="center"/>
        <w:rPr>
          <w:lang w:val="en-AU"/>
        </w:rPr>
      </w:pPr>
      <w:r w:rsidRPr="00B2759C">
        <w:rPr>
          <w:noProof/>
          <w:lang w:val="en-AU" w:eastAsia="en-AU"/>
        </w:rPr>
        <w:drawing>
          <wp:inline distT="0" distB="0" distL="0" distR="0" wp14:anchorId="676E14AA" wp14:editId="472E4454">
            <wp:extent cx="2305050" cy="261042"/>
            <wp:effectExtent l="0" t="0" r="0" b="5715"/>
            <wp:docPr id="30" name="Picture 30" descr="This is a formula that BCARR has used to construct capital stock, expressed as the capital stock of a firm in a given year = (1-the depreciation rate for the firm in the given year) multiplied by the capital stock in a given year - 1, + the level of capital expenditure by the firm in the given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11172" b="8462"/>
                    <a:stretch/>
                  </pic:blipFill>
                  <pic:spPr bwMode="auto">
                    <a:xfrm>
                      <a:off x="0" y="0"/>
                      <a:ext cx="2611145" cy="295707"/>
                    </a:xfrm>
                    <a:prstGeom prst="rect">
                      <a:avLst/>
                    </a:prstGeom>
                    <a:ln>
                      <a:noFill/>
                    </a:ln>
                    <a:extLst>
                      <a:ext uri="{53640926-AAD7-44D8-BBD7-CCE9431645EC}">
                        <a14:shadowObscured xmlns:a14="http://schemas.microsoft.com/office/drawing/2010/main"/>
                      </a:ext>
                    </a:extLst>
                  </pic:spPr>
                </pic:pic>
              </a:graphicData>
            </a:graphic>
          </wp:inline>
        </w:drawing>
      </w:r>
    </w:p>
    <w:p w14:paraId="27DF43BF" w14:textId="77777777" w:rsidR="00494CC3" w:rsidRPr="00705B49" w:rsidRDefault="00494CC3" w:rsidP="00494CC3">
      <w:r w:rsidRPr="00705B49">
        <w:t xml:space="preserve">where </w:t>
      </w:r>
      <w:r w:rsidRPr="00705B49">
        <w:rPr>
          <w:i/>
        </w:rPr>
        <w:t>K</w:t>
      </w:r>
      <w:r w:rsidRPr="00705B49">
        <w:t xml:space="preserve"> is the capital stock level; </w:t>
      </w:r>
      <w:proofErr w:type="spellStart"/>
      <w:r w:rsidRPr="00705B49">
        <w:rPr>
          <w:i/>
        </w:rPr>
        <w:t>i</w:t>
      </w:r>
      <w:proofErr w:type="spellEnd"/>
      <w:r w:rsidRPr="00705B49">
        <w:t xml:space="preserve"> is the firm; </w:t>
      </w:r>
      <w:r w:rsidRPr="00705B49">
        <w:rPr>
          <w:i/>
        </w:rPr>
        <w:t>t</w:t>
      </w:r>
      <w:r w:rsidRPr="00705B49">
        <w:t xml:space="preserve"> is the year; δ</w:t>
      </w:r>
      <w:r w:rsidRPr="00705B49" w:rsidDel="00131123">
        <w:t xml:space="preserve"> </w:t>
      </w:r>
      <w:r w:rsidRPr="00705B49">
        <w:t>is the industry capital depreciation rate,</w:t>
      </w:r>
      <w:r w:rsidRPr="00705B49">
        <w:rPr>
          <w:rStyle w:val="FootnoteReference"/>
        </w:rPr>
        <w:footnoteReference w:id="3"/>
      </w:r>
      <w:r w:rsidRPr="00705B49">
        <w:t xml:space="preserve"> and </w:t>
      </w:r>
      <w:r w:rsidRPr="00705B49">
        <w:rPr>
          <w:i/>
        </w:rPr>
        <w:t>I</w:t>
      </w:r>
      <w:r w:rsidRPr="00705B49">
        <w:t xml:space="preserve"> is the level of capital expenditure. The intuition behind this formula is that the level of capital stock is based on the previous year’s capital stock level (</w:t>
      </w:r>
      <w:r w:rsidRPr="00705B49">
        <w:rPr>
          <w:i/>
        </w:rPr>
        <w:t>K</w:t>
      </w:r>
      <w:r w:rsidRPr="00705B49">
        <w:rPr>
          <w:i/>
          <w:vertAlign w:val="subscript"/>
        </w:rPr>
        <w:t>it-1</w:t>
      </w:r>
      <w:r w:rsidRPr="00705B49">
        <w:t>) multiplied by some depreciation rate (to represent the diminishing value of assets) with the addition of the current year’s capital investments. Where capital expenditure is missing from BLADE, the average capital expenditure across all years for a given firm is used.</w:t>
      </w:r>
    </w:p>
    <w:p w14:paraId="3B36D15A" w14:textId="77777777" w:rsidR="00494CC3" w:rsidRPr="00B2759C" w:rsidRDefault="00494CC3" w:rsidP="00494CC3">
      <w:r w:rsidRPr="00B2759C">
        <w:t>One problem that arises from the PIM method is that calculating any year’s capital stock requires knowing the initial capital stock level for a business (K</w:t>
      </w:r>
      <w:r w:rsidRPr="00B2759C">
        <w:rPr>
          <w:vertAlign w:val="subscript"/>
        </w:rPr>
        <w:t>0</w:t>
      </w:r>
      <w:r w:rsidRPr="00B2759C">
        <w:t>), which may not be available.</w:t>
      </w:r>
      <w:r w:rsidRPr="00B2759C">
        <w:rPr>
          <w:rStyle w:val="EndnoteReference"/>
        </w:rPr>
        <w:endnoteReference w:id="30"/>
      </w:r>
      <w:r w:rsidRPr="00B2759C">
        <w:t xml:space="preserve"> Even where initial capital stock data is available, this information is not necessarily reliable (e.g. a business could use pre-existing assets owned by a household). Finding a reasonable estimate for K</w:t>
      </w:r>
      <w:r w:rsidRPr="00B2759C">
        <w:rPr>
          <w:vertAlign w:val="subscript"/>
        </w:rPr>
        <w:t>0</w:t>
      </w:r>
      <w:r w:rsidRPr="00B2759C">
        <w:t xml:space="preserve"> is therefore difficult. BCARR has set K</w:t>
      </w:r>
      <w:r w:rsidRPr="00B2759C">
        <w:rPr>
          <w:vertAlign w:val="subscript"/>
        </w:rPr>
        <w:t>0</w:t>
      </w:r>
      <w:r w:rsidRPr="00B2759C">
        <w:t xml:space="preserve"> using the following average investment proxy:</w:t>
      </w:r>
    </w:p>
    <w:p w14:paraId="410A30CD" w14:textId="77777777" w:rsidR="00494CC3" w:rsidRPr="00705B49" w:rsidRDefault="00494CC3" w:rsidP="00494CC3">
      <w:pPr>
        <w:jc w:val="center"/>
      </w:pPr>
      <w:r w:rsidRPr="00B2759C">
        <w:rPr>
          <w:noProof/>
          <w:lang w:eastAsia="en-AU"/>
        </w:rPr>
        <w:drawing>
          <wp:inline distT="0" distB="0" distL="0" distR="0" wp14:anchorId="12F4A7D2" wp14:editId="24BF4253">
            <wp:extent cx="1905000" cy="666899"/>
            <wp:effectExtent l="0" t="0" r="0" b="0"/>
            <wp:docPr id="31" name="Picture 31" descr="This is a formula that BCARR has used as an average investment proxy to estimate the initial capital stock level for a business, comprising the average capital expenditure across all years of operation for a firm, divided by the industry capital depreciation rate plus the industry investment growth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5899"/>
                    <a:stretch/>
                  </pic:blipFill>
                  <pic:spPr bwMode="auto">
                    <a:xfrm>
                      <a:off x="0" y="0"/>
                      <a:ext cx="1976860" cy="692056"/>
                    </a:xfrm>
                    <a:prstGeom prst="rect">
                      <a:avLst/>
                    </a:prstGeom>
                    <a:ln>
                      <a:noFill/>
                    </a:ln>
                    <a:extLst>
                      <a:ext uri="{53640926-AAD7-44D8-BBD7-CCE9431645EC}">
                        <a14:shadowObscured xmlns:a14="http://schemas.microsoft.com/office/drawing/2010/main"/>
                      </a:ext>
                    </a:extLst>
                  </pic:spPr>
                </pic:pic>
              </a:graphicData>
            </a:graphic>
          </wp:inline>
        </w:drawing>
      </w:r>
    </w:p>
    <w:p w14:paraId="3EFF10C6" w14:textId="77777777" w:rsidR="00494CC3" w:rsidRPr="00705B49" w:rsidRDefault="00494CC3" w:rsidP="00494CC3">
      <w:r w:rsidRPr="00705B49">
        <w:t>This represents the average capital expenditure across all years of operation for a firm, divided by the industry capital depreciation rate plus the industry investment growth rate. This approach deviates from OECD recommendations,</w:t>
      </w:r>
      <w:r w:rsidRPr="00705B49">
        <w:rPr>
          <w:rStyle w:val="EndnoteReference"/>
        </w:rPr>
        <w:endnoteReference w:id="31"/>
      </w:r>
      <w:r w:rsidRPr="00705B49">
        <w:t xml:space="preserve"> which simply use average investment divided by capital depreciation rate. However, using the industry investment growth rate is the same approach used by the ABS when producing industry capital stock estimates,</w:t>
      </w:r>
      <w:r w:rsidRPr="00705B49">
        <w:rPr>
          <w:rStyle w:val="EndnoteReference"/>
        </w:rPr>
        <w:endnoteReference w:id="32"/>
      </w:r>
      <w:r w:rsidRPr="00705B49">
        <w:t xml:space="preserve"> and </w:t>
      </w:r>
      <w:proofErr w:type="gramStart"/>
      <w:r w:rsidRPr="00705B49">
        <w:t>other</w:t>
      </w:r>
      <w:proofErr w:type="gramEnd"/>
      <w:r w:rsidRPr="00705B49">
        <w:t xml:space="preserve"> firm-level research using BLADE.</w:t>
      </w:r>
      <w:r w:rsidRPr="00705B49">
        <w:rPr>
          <w:rStyle w:val="EndnoteReference"/>
        </w:rPr>
        <w:endnoteReference w:id="33"/>
      </w:r>
    </w:p>
    <w:p w14:paraId="5A334FC6" w14:textId="77777777" w:rsidR="00494CC3" w:rsidRPr="00705B49" w:rsidRDefault="00494CC3" w:rsidP="007D0784">
      <w:pPr>
        <w:pStyle w:val="Heading4"/>
      </w:pPr>
      <w:bookmarkStart w:id="141" w:name="_Toc90041210"/>
      <w:bookmarkStart w:id="142" w:name="_Toc97652761"/>
      <w:bookmarkStart w:id="143" w:name="_Toc119052286"/>
      <w:bookmarkStart w:id="144" w:name="_Toc119058141"/>
      <w:bookmarkStart w:id="145" w:name="_Toc121932275"/>
      <w:bookmarkStart w:id="146" w:name="_Toc124169148"/>
      <w:bookmarkStart w:id="147" w:name="_Toc127374091"/>
      <w:bookmarkStart w:id="148" w:name="_Toc129777694"/>
      <w:r w:rsidRPr="00705B49">
        <w:t>Input index weight</w:t>
      </w:r>
      <w:bookmarkEnd w:id="141"/>
      <w:r w:rsidRPr="00705B49">
        <w:t>ing</w:t>
      </w:r>
      <w:bookmarkEnd w:id="142"/>
      <w:bookmarkEnd w:id="143"/>
      <w:bookmarkEnd w:id="144"/>
      <w:bookmarkEnd w:id="145"/>
      <w:bookmarkEnd w:id="146"/>
      <w:bookmarkEnd w:id="147"/>
      <w:bookmarkEnd w:id="148"/>
    </w:p>
    <w:p w14:paraId="7D884295" w14:textId="77777777" w:rsidR="00494CC3" w:rsidRPr="00705B49" w:rsidRDefault="00494CC3" w:rsidP="00494CC3">
      <w:r w:rsidRPr="00705B49">
        <w:t xml:space="preserve">Creating an input index </w:t>
      </w:r>
      <w:r w:rsidRPr="00705B49" w:rsidDel="00D72091">
        <w:t xml:space="preserve">for </w:t>
      </w:r>
      <w:r w:rsidRPr="00705B49">
        <w:t xml:space="preserve">a firm requires weighting capital, labour and intermediate inputs based on their respective importance for each firm. This is challenging as the </w:t>
      </w:r>
      <w:r>
        <w:t>3</w:t>
      </w:r>
      <w:r w:rsidRPr="00705B49">
        <w:t xml:space="preserve"> inputs differ in their units of measurement and</w:t>
      </w:r>
      <w:r w:rsidRPr="00705B49" w:rsidDel="006F3F61">
        <w:t xml:space="preserve"> </w:t>
      </w:r>
      <w:r w:rsidRPr="00705B49">
        <w:t>so are not directly comparable. The inputs are a mix of stocks (measured at a specific point in time) and flows (measured over an interval of time) and these are a mix of monetary values and people as units of employment. To address this, a two-step approach is taken:</w:t>
      </w:r>
    </w:p>
    <w:p w14:paraId="6F6F3E4B" w14:textId="77777777" w:rsidR="00494CC3" w:rsidRPr="00705B49" w:rsidRDefault="00494CC3" w:rsidP="007D0784">
      <w:pPr>
        <w:pStyle w:val="Listparagraphbullets"/>
      </w:pPr>
      <w:r w:rsidRPr="00705B49">
        <w:t>financial flow measures are estimated for each input</w:t>
      </w:r>
    </w:p>
    <w:p w14:paraId="19B5C04E" w14:textId="77777777" w:rsidR="00494CC3" w:rsidRPr="00705B49" w:rsidRDefault="00494CC3" w:rsidP="007D0784">
      <w:pPr>
        <w:pStyle w:val="Listparagraphbullets"/>
      </w:pPr>
      <w:r w:rsidRPr="00705B49">
        <w:t>a weight (or input share) is calculated by dividing the value of an input by the total inputs value</w:t>
      </w:r>
      <w:r>
        <w:t>.</w:t>
      </w:r>
    </w:p>
    <w:p w14:paraId="6C9F29F4" w14:textId="77777777" w:rsidR="00494CC3" w:rsidRPr="00705B49" w:rsidRDefault="00494CC3" w:rsidP="00494CC3">
      <w:r w:rsidRPr="00705B49">
        <w:fldChar w:fldCharType="begin"/>
      </w:r>
      <w:r w:rsidRPr="00705B49">
        <w:instrText xml:space="preserve"> REF _Ref97642556 \h  \* MERGEFORMAT </w:instrText>
      </w:r>
      <w:r w:rsidRPr="00705B49">
        <w:fldChar w:fldCharType="separate"/>
      </w:r>
      <w:r w:rsidRPr="00705B49">
        <w:t xml:space="preserve">Table </w:t>
      </w:r>
      <w:r w:rsidRPr="00705B49">
        <w:rPr>
          <w:noProof/>
        </w:rPr>
        <w:t>10</w:t>
      </w:r>
      <w:r w:rsidRPr="00705B49">
        <w:fldChar w:fldCharType="end"/>
      </w:r>
      <w:r w:rsidRPr="00705B49">
        <w:t xml:space="preserve"> shows how different inputs are weighted in the index. Capital input weights are calculated based on the user cost of capital (defined as the yearly cost for a firm to hold its capital stock).</w:t>
      </w:r>
      <w:r w:rsidRPr="00705B49">
        <w:rPr>
          <w:rStyle w:val="EndnoteReference"/>
        </w:rPr>
        <w:endnoteReference w:id="34"/>
      </w:r>
      <w:r w:rsidRPr="00705B49">
        <w:t xml:space="preserve"> Labour input weights are estimated using wage costs from the BAS. Intermediate input weights are directly based on the operational expenditure variable in BAS. As productivity growth represents a change of </w:t>
      </w:r>
      <w:r>
        <w:t>2</w:t>
      </w:r>
      <w:r w:rsidRPr="00705B49">
        <w:t xml:space="preserve"> years (</w:t>
      </w:r>
      <w:r w:rsidRPr="00705B49">
        <w:rPr>
          <w:i/>
        </w:rPr>
        <w:t>t</w:t>
      </w:r>
      <w:r w:rsidRPr="00705B49">
        <w:t xml:space="preserve"> and </w:t>
      </w:r>
      <w:r w:rsidRPr="00705B49">
        <w:rPr>
          <w:i/>
        </w:rPr>
        <w:t>t-1</w:t>
      </w:r>
      <w:r w:rsidRPr="00705B49">
        <w:t xml:space="preserve">), input weights are calculated for a given firm using the average weight shares between years </w:t>
      </w:r>
      <w:r w:rsidRPr="00705B49">
        <w:rPr>
          <w:i/>
        </w:rPr>
        <w:t xml:space="preserve">t </w:t>
      </w:r>
      <w:r w:rsidRPr="00705B49">
        <w:t xml:space="preserve">and </w:t>
      </w:r>
      <w:r w:rsidRPr="00705B49">
        <w:rPr>
          <w:i/>
        </w:rPr>
        <w:t>t-1</w:t>
      </w:r>
      <w:r w:rsidRPr="00705B49">
        <w:t>.</w:t>
      </w:r>
    </w:p>
    <w:p w14:paraId="311969A1" w14:textId="77777777" w:rsidR="00494CC3" w:rsidRPr="00705B49" w:rsidRDefault="00494CC3" w:rsidP="00FF191D">
      <w:pPr>
        <w:pStyle w:val="Tablefigureheading"/>
      </w:pPr>
      <w:bookmarkStart w:id="149" w:name="_Ref97642556"/>
      <w:bookmarkStart w:id="150" w:name="_Toc97652730"/>
      <w:bookmarkStart w:id="151" w:name="_Toc115175395"/>
      <w:bookmarkStart w:id="152" w:name="_Toc129767627"/>
      <w:r w:rsidRPr="00705B49">
        <w:lastRenderedPageBreak/>
        <w:t xml:space="preserve">Table </w:t>
      </w:r>
      <w:fldSimple w:instr=" SEQ Table \* ARABIC ">
        <w:r w:rsidRPr="00705B49">
          <w:rPr>
            <w:noProof/>
          </w:rPr>
          <w:t>10</w:t>
        </w:r>
      </w:fldSimple>
      <w:bookmarkEnd w:id="149"/>
      <w:r w:rsidRPr="00705B49">
        <w:t>. Index weights used for firm inputs</w:t>
      </w:r>
      <w:bookmarkEnd w:id="150"/>
      <w:bookmarkEnd w:id="151"/>
      <w:bookmarkEnd w:id="152"/>
    </w:p>
    <w:tbl>
      <w:tblPr>
        <w:tblStyle w:val="DefaultTable1"/>
        <w:tblW w:w="0" w:type="auto"/>
        <w:tblLook w:val="04A0" w:firstRow="1" w:lastRow="0" w:firstColumn="1" w:lastColumn="0" w:noHBand="0" w:noVBand="1"/>
        <w:tblCaption w:val="Table 10. Index weights used for firm inputs"/>
      </w:tblPr>
      <w:tblGrid>
        <w:gridCol w:w="3522"/>
        <w:gridCol w:w="5953"/>
      </w:tblGrid>
      <w:tr w:rsidR="00494CC3" w:rsidRPr="00705B49" w14:paraId="572E37C4"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bottom w:val="single" w:sz="4" w:space="0" w:color="595959" w:themeColor="text1" w:themeTint="A6"/>
            </w:tcBorders>
            <w:shd w:val="clear" w:color="auto" w:fill="081E3E"/>
          </w:tcPr>
          <w:p w14:paraId="36F62639" w14:textId="77777777" w:rsidR="00494CC3" w:rsidRPr="00705B49" w:rsidRDefault="00494CC3" w:rsidP="00494CC3">
            <w:r w:rsidRPr="00705B49">
              <w:t>Input index</w:t>
            </w:r>
          </w:p>
        </w:tc>
        <w:tc>
          <w:tcPr>
            <w:tcW w:w="6168" w:type="dxa"/>
            <w:tcBorders>
              <w:bottom w:val="single" w:sz="4" w:space="0" w:color="595959" w:themeColor="text1" w:themeTint="A6"/>
            </w:tcBorders>
            <w:shd w:val="clear" w:color="auto" w:fill="081E3E"/>
          </w:tcPr>
          <w:p w14:paraId="1C251F4B"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Weight</w:t>
            </w:r>
          </w:p>
        </w:tc>
      </w:tr>
      <w:tr w:rsidR="00494CC3" w:rsidRPr="00705B49" w14:paraId="2210B12A" w14:textId="77777777" w:rsidTr="00747265">
        <w:tc>
          <w:tcPr>
            <w:cnfStyle w:val="001000000000" w:firstRow="0" w:lastRow="0" w:firstColumn="1" w:lastColumn="0" w:oddVBand="0" w:evenVBand="0" w:oddHBand="0" w:evenHBand="0" w:firstRowFirstColumn="0" w:firstRowLastColumn="0" w:lastRowFirstColumn="0" w:lastRowLastColumn="0"/>
            <w:tcW w:w="3686" w:type="dxa"/>
            <w:tcBorders>
              <w:bottom w:val="single" w:sz="4" w:space="0" w:color="4BB3B5"/>
            </w:tcBorders>
          </w:tcPr>
          <w:p w14:paraId="231E4AE6" w14:textId="77777777" w:rsidR="00494CC3" w:rsidRPr="00705B49" w:rsidRDefault="00494CC3" w:rsidP="00494CC3">
            <w:r w:rsidRPr="00705B49">
              <w:t>Capital input</w:t>
            </w:r>
          </w:p>
        </w:tc>
        <w:tc>
          <w:tcPr>
            <w:tcW w:w="6168" w:type="dxa"/>
            <w:tcBorders>
              <w:bottom w:val="single" w:sz="4" w:space="0" w:color="4BB3B5"/>
            </w:tcBorders>
          </w:tcPr>
          <w:p w14:paraId="5C2C1439" w14:textId="77777777" w:rsidR="00494CC3" w:rsidRPr="00705B49" w:rsidRDefault="005562AF" w:rsidP="00494CC3">
            <w:pPr>
              <w:jc w:val="center"/>
              <w:cnfStyle w:val="000000000000" w:firstRow="0" w:lastRow="0" w:firstColumn="0" w:lastColumn="0" w:oddVBand="0" w:evenVBand="0" w:oddHBand="0" w:evenHBand="0" w:firstRowFirstColumn="0" w:firstRowLastColumn="0" w:lastRowFirstColumn="0" w:lastRowLastColumn="0"/>
            </w:pPr>
            <m:oMathPara>
              <m:oMath>
                <m:f>
                  <m:fPr>
                    <m:ctrlPr>
                      <w:rPr>
                        <w:rFonts w:ascii="Cambria Math" w:hAnsi="Cambria Math"/>
                        <w:i/>
                      </w:rPr>
                    </m:ctrlPr>
                  </m:fPr>
                  <m:num>
                    <m:r>
                      <m:rPr>
                        <m:sty m:val="p"/>
                      </m:rPr>
                      <w:rPr>
                        <w:rFonts w:ascii="Cambria Math" w:hAnsi="Cambria Math"/>
                      </w:rPr>
                      <m:t>user cost of capital × capital stock</m:t>
                    </m:r>
                  </m:num>
                  <m:den>
                    <m:r>
                      <m:rPr>
                        <m:sty m:val="p"/>
                      </m:rPr>
                      <w:rPr>
                        <w:rFonts w:ascii="Cambria Math" w:hAnsi="Cambria Math"/>
                      </w:rPr>
                      <m:t>total inputs</m:t>
                    </m:r>
                  </m:den>
                </m:f>
              </m:oMath>
            </m:oMathPara>
          </w:p>
        </w:tc>
      </w:tr>
      <w:tr w:rsidR="00494CC3" w:rsidRPr="00705B49" w14:paraId="7AD9EDA6"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B3B5"/>
              <w:bottom w:val="single" w:sz="4" w:space="0" w:color="4BB3B5"/>
            </w:tcBorders>
          </w:tcPr>
          <w:p w14:paraId="756965A8" w14:textId="77777777" w:rsidR="00494CC3" w:rsidRPr="00705B49" w:rsidRDefault="00494CC3" w:rsidP="00494CC3">
            <w:r w:rsidRPr="00705B49">
              <w:t>Labour input</w:t>
            </w:r>
          </w:p>
        </w:tc>
        <w:tc>
          <w:tcPr>
            <w:tcW w:w="6168" w:type="dxa"/>
            <w:tcBorders>
              <w:top w:val="single" w:sz="4" w:space="0" w:color="4BB3B5"/>
              <w:bottom w:val="single" w:sz="4" w:space="0" w:color="4BB3B5"/>
            </w:tcBorders>
          </w:tcPr>
          <w:p w14:paraId="676DD038" w14:textId="77777777" w:rsidR="00494CC3" w:rsidRPr="00705B49" w:rsidRDefault="005562AF" w:rsidP="00494CC3">
            <w:pPr>
              <w:jc w:val="center"/>
              <w:cnfStyle w:val="000000010000" w:firstRow="0" w:lastRow="0" w:firstColumn="0" w:lastColumn="0" w:oddVBand="0" w:evenVBand="0" w:oddHBand="0" w:evenHBand="1" w:firstRowFirstColumn="0" w:firstRowLastColumn="0" w:lastRowFirstColumn="0" w:lastRowLastColumn="0"/>
            </w:pPr>
            <m:oMathPara>
              <m:oMath>
                <m:f>
                  <m:fPr>
                    <m:ctrlPr>
                      <w:rPr>
                        <w:rFonts w:ascii="Cambria Math" w:hAnsi="Cambria Math"/>
                        <w:i/>
                      </w:rPr>
                    </m:ctrlPr>
                  </m:fPr>
                  <m:num>
                    <m:r>
                      <m:rPr>
                        <m:sty m:val="p"/>
                      </m:rPr>
                      <w:rPr>
                        <w:rFonts w:ascii="Cambria Math" w:hAnsi="Cambria Math"/>
                      </w:rPr>
                      <m:t>wages</m:t>
                    </m:r>
                  </m:num>
                  <m:den>
                    <m:r>
                      <m:rPr>
                        <m:sty m:val="p"/>
                      </m:rPr>
                      <w:rPr>
                        <w:rFonts w:ascii="Cambria Math" w:hAnsi="Cambria Math"/>
                      </w:rPr>
                      <m:t>total inputs</m:t>
                    </m:r>
                  </m:den>
                </m:f>
              </m:oMath>
            </m:oMathPara>
          </w:p>
        </w:tc>
      </w:tr>
      <w:tr w:rsidR="00494CC3" w:rsidRPr="00705B49" w14:paraId="73794F6B" w14:textId="77777777" w:rsidTr="00747265">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B3B5"/>
              <w:bottom w:val="single" w:sz="4" w:space="0" w:color="4BB3B5"/>
            </w:tcBorders>
          </w:tcPr>
          <w:p w14:paraId="157EFC6F" w14:textId="77777777" w:rsidR="00494CC3" w:rsidRPr="00705B49" w:rsidRDefault="00494CC3" w:rsidP="00494CC3">
            <w:r w:rsidRPr="00705B49">
              <w:t>Intermediate input</w:t>
            </w:r>
          </w:p>
        </w:tc>
        <w:tc>
          <w:tcPr>
            <w:tcW w:w="6168" w:type="dxa"/>
            <w:tcBorders>
              <w:top w:val="single" w:sz="4" w:space="0" w:color="4BB3B5"/>
              <w:bottom w:val="single" w:sz="4" w:space="0" w:color="4BB3B5"/>
            </w:tcBorders>
          </w:tcPr>
          <w:p w14:paraId="43A6DD01" w14:textId="77777777" w:rsidR="00494CC3" w:rsidRPr="00705B49" w:rsidRDefault="005562AF" w:rsidP="00494CC3">
            <w:pPr>
              <w:jc w:val="center"/>
              <w:cnfStyle w:val="000000000000" w:firstRow="0" w:lastRow="0" w:firstColumn="0" w:lastColumn="0" w:oddVBand="0" w:evenVBand="0" w:oddHBand="0" w:evenHBand="0" w:firstRowFirstColumn="0" w:firstRowLastColumn="0" w:lastRowFirstColumn="0" w:lastRowLastColumn="0"/>
            </w:pPr>
            <m:oMathPara>
              <m:oMath>
                <m:f>
                  <m:fPr>
                    <m:ctrlPr>
                      <w:rPr>
                        <w:rFonts w:ascii="Cambria Math" w:hAnsi="Cambria Math"/>
                        <w:i/>
                      </w:rPr>
                    </m:ctrlPr>
                  </m:fPr>
                  <m:num>
                    <m:r>
                      <m:rPr>
                        <m:sty m:val="p"/>
                      </m:rPr>
                      <w:rPr>
                        <w:rFonts w:ascii="Cambria Math" w:hAnsi="Cambria Math"/>
                      </w:rPr>
                      <m:t>operational expenditure</m:t>
                    </m:r>
                  </m:num>
                  <m:den>
                    <m:r>
                      <m:rPr>
                        <m:sty m:val="p"/>
                      </m:rPr>
                      <w:rPr>
                        <w:rFonts w:ascii="Cambria Math" w:hAnsi="Cambria Math"/>
                      </w:rPr>
                      <m:t>total inputs</m:t>
                    </m:r>
                  </m:den>
                </m:f>
              </m:oMath>
            </m:oMathPara>
          </w:p>
        </w:tc>
      </w:tr>
      <w:tr w:rsidR="00494CC3" w:rsidRPr="00705B49" w14:paraId="30592A51"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4BB3B5"/>
              <w:bottom w:val="single" w:sz="4" w:space="0" w:color="4BB3B5"/>
            </w:tcBorders>
          </w:tcPr>
          <w:p w14:paraId="0FE8B6D5" w14:textId="77777777" w:rsidR="00494CC3" w:rsidRPr="00705B49" w:rsidRDefault="00494CC3" w:rsidP="00494CC3">
            <w:r w:rsidRPr="00705B49">
              <w:t>Total inputs (denominator)</w:t>
            </w:r>
          </w:p>
        </w:tc>
        <w:tc>
          <w:tcPr>
            <w:tcW w:w="6168" w:type="dxa"/>
            <w:tcBorders>
              <w:top w:val="single" w:sz="4" w:space="0" w:color="4BB3B5"/>
              <w:bottom w:val="single" w:sz="4" w:space="0" w:color="4BB3B5"/>
            </w:tcBorders>
          </w:tcPr>
          <w:p w14:paraId="6DBABFB3" w14:textId="77777777" w:rsidR="00494CC3" w:rsidRPr="00705B49" w:rsidRDefault="005562AF" w:rsidP="00494CC3">
            <w:pPr>
              <w:cnfStyle w:val="000000010000" w:firstRow="0" w:lastRow="0" w:firstColumn="0" w:lastColumn="0" w:oddVBand="0" w:evenVBand="0" w:oddHBand="0" w:evenHBand="1" w:firstRowFirstColumn="0" w:firstRowLastColumn="0" w:lastRowFirstColumn="0" w:lastRowLastColumn="0"/>
            </w:pPr>
            <m:oMathPara>
              <m:oMath>
                <m:d>
                  <m:dPr>
                    <m:ctrlPr>
                      <w:rPr>
                        <w:rFonts w:ascii="Cambria Math" w:hAnsi="Cambria Math"/>
                        <w:sz w:val="16"/>
                      </w:rPr>
                    </m:ctrlPr>
                  </m:dPr>
                  <m:e>
                    <m:r>
                      <m:rPr>
                        <m:sty m:val="p"/>
                      </m:rPr>
                      <w:rPr>
                        <w:rFonts w:ascii="Cambria Math" w:hAnsi="Cambria Math"/>
                        <w:sz w:val="16"/>
                      </w:rPr>
                      <m:t>User cost of capital × capital stock</m:t>
                    </m:r>
                  </m:e>
                </m:d>
                <m:r>
                  <m:rPr>
                    <m:sty m:val="p"/>
                  </m:rPr>
                  <w:rPr>
                    <w:rFonts w:ascii="Cambria Math" w:hAnsi="Cambria Math"/>
                    <w:sz w:val="16"/>
                  </w:rPr>
                  <m:t xml:space="preserve">+wages+operational expenditure </m:t>
                </m:r>
              </m:oMath>
            </m:oMathPara>
          </w:p>
        </w:tc>
      </w:tr>
    </w:tbl>
    <w:p w14:paraId="67B93BAB" w14:textId="77777777" w:rsidR="00494CC3" w:rsidRPr="00B2759C" w:rsidRDefault="00494CC3" w:rsidP="007D0784">
      <w:pPr>
        <w:spacing w:before="240"/>
      </w:pPr>
      <w:r w:rsidRPr="00B2759C">
        <w:t>The cost for firms of holding capital is not observable in BLADE and must be derived using economic theory. A common approach to weighting capital stock for measuring multifactor productivity is the user costs of capital method.</w:t>
      </w:r>
      <w:r w:rsidRPr="00B2759C">
        <w:rPr>
          <w:rStyle w:val="EndnoteReference"/>
        </w:rPr>
        <w:endnoteReference w:id="35"/>
      </w:r>
      <w:r w:rsidRPr="00B2759C">
        <w:t xml:space="preserve"> The user cost of capital equation estimates the yearly cost of holding capital using 3 elements: depreciation of assets, financing costs, and a capital gain/loss component.</w:t>
      </w:r>
      <w:r w:rsidRPr="00B2759C">
        <w:rPr>
          <w:rStyle w:val="EndnoteReference"/>
        </w:rPr>
        <w:endnoteReference w:id="36"/>
      </w:r>
      <w:r w:rsidRPr="00B2759C">
        <w:t xml:space="preserve"> At the firm level, the user cost of capital is calculated using the following formula:</w:t>
      </w:r>
    </w:p>
    <w:p w14:paraId="4832EB95" w14:textId="77777777" w:rsidR="00494CC3" w:rsidRPr="00705B49" w:rsidRDefault="00494CC3" w:rsidP="00494CC3">
      <w:pPr>
        <w:jc w:val="center"/>
      </w:pPr>
      <w:r w:rsidRPr="00B2759C">
        <w:rPr>
          <w:noProof/>
          <w:lang w:eastAsia="en-AU"/>
        </w:rPr>
        <w:drawing>
          <wp:inline distT="0" distB="0" distL="0" distR="0" wp14:anchorId="2383E8AB" wp14:editId="5C8322A3">
            <wp:extent cx="3000375" cy="403031"/>
            <wp:effectExtent l="0" t="0" r="0" b="0"/>
            <wp:docPr id="29" name="Picture 29" descr="This is the formula used to estimate the user cost of capital at the firm level, equalling (the interest rage for small business borrowing by inflation rate - inflation rage for a firm + (1 +inflation rate for a firm in a given year) depreciation rate by industry depreciation rate)capital def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176266" cy="426658"/>
                    </a:xfrm>
                    <a:prstGeom prst="rect">
                      <a:avLst/>
                    </a:prstGeom>
                  </pic:spPr>
                </pic:pic>
              </a:graphicData>
            </a:graphic>
          </wp:inline>
        </w:drawing>
      </w:r>
    </w:p>
    <w:p w14:paraId="64849283" w14:textId="77777777" w:rsidR="00494CC3" w:rsidRPr="00705B49" w:rsidRDefault="00494CC3" w:rsidP="00494CC3">
      <w:r w:rsidRPr="00705B49">
        <w:t>where</w:t>
      </w:r>
      <w:r w:rsidRPr="00705B49">
        <w:rPr>
          <w:i/>
        </w:rPr>
        <w:t xml:space="preserve"> r</w:t>
      </w:r>
      <w:r w:rsidRPr="00705B49">
        <w:t xml:space="preserve"> = interest rate for small business borrowing, </w:t>
      </w:r>
      <w:proofErr w:type="spellStart"/>
      <w:r w:rsidRPr="00705B49">
        <w:rPr>
          <w:i/>
        </w:rPr>
        <w:t>i</w:t>
      </w:r>
      <w:proofErr w:type="spellEnd"/>
      <w:r w:rsidRPr="00705B49">
        <w:t xml:space="preserve"> = inflation rate, </w:t>
      </w:r>
      <w:r w:rsidRPr="00705B49">
        <w:rPr>
          <w:i/>
        </w:rPr>
        <w:t>δ</w:t>
      </w:r>
      <w:r w:rsidRPr="00705B49">
        <w:t xml:space="preserve"> = industry capital depreciation rate, and </w:t>
      </w:r>
      <w:r w:rsidRPr="00705B49">
        <w:rPr>
          <w:i/>
        </w:rPr>
        <w:t>P</w:t>
      </w:r>
      <w:r w:rsidRPr="00705B49">
        <w:t xml:space="preserve"> = capital deflator.</w:t>
      </w:r>
      <w:r w:rsidRPr="00705B49">
        <w:rPr>
          <w:rStyle w:val="FootnoteReference"/>
        </w:rPr>
        <w:footnoteReference w:id="4"/>
      </w:r>
      <w:r w:rsidRPr="00705B49">
        <w:t xml:space="preserve"> Depreciation of assets is represented by</w:t>
      </w:r>
      <w:r w:rsidRPr="00705B49">
        <w:rPr>
          <w:i/>
        </w:rPr>
        <w:t xml:space="preserve"> δ</w:t>
      </w:r>
      <w:r w:rsidRPr="00705B49">
        <w:t xml:space="preserve">, while financing costs are represented by </w:t>
      </w:r>
      <w:r w:rsidRPr="00705B49">
        <w:rPr>
          <w:i/>
        </w:rPr>
        <w:t>r</w:t>
      </w:r>
      <w:r w:rsidRPr="00705B49">
        <w:t xml:space="preserve">, and capital gains/losses are represented by </w:t>
      </w:r>
      <w:proofErr w:type="spellStart"/>
      <w:r w:rsidRPr="00705B49">
        <w:rPr>
          <w:i/>
        </w:rPr>
        <w:t>i</w:t>
      </w:r>
      <w:proofErr w:type="spellEnd"/>
      <w:r w:rsidRPr="00705B49">
        <w:t xml:space="preserve"> (under the assumption that businesses base their asset price inflation expectations on the ex-post inflation rate).</w:t>
      </w:r>
    </w:p>
    <w:p w14:paraId="4CF58E32" w14:textId="77777777" w:rsidR="00494CC3" w:rsidRPr="00705B49" w:rsidRDefault="00494CC3" w:rsidP="007D0784">
      <w:pPr>
        <w:pStyle w:val="Heading3"/>
      </w:pPr>
      <w:bookmarkStart w:id="153" w:name="_Toc97652762"/>
      <w:bookmarkStart w:id="154" w:name="_Toc127374092"/>
      <w:bookmarkStart w:id="155" w:name="_Toc129777695"/>
      <w:r w:rsidRPr="00705B49">
        <w:t xml:space="preserve">Imputing missing data using </w:t>
      </w:r>
      <w:proofErr w:type="spellStart"/>
      <w:r w:rsidRPr="00705B49">
        <w:t>XGBoost</w:t>
      </w:r>
      <w:bookmarkEnd w:id="153"/>
      <w:bookmarkEnd w:id="154"/>
      <w:bookmarkEnd w:id="155"/>
      <w:proofErr w:type="spellEnd"/>
    </w:p>
    <w:p w14:paraId="035CEF81" w14:textId="77777777" w:rsidR="00494CC3" w:rsidRPr="00705B49" w:rsidRDefault="00494CC3" w:rsidP="00494CC3">
      <w:r w:rsidRPr="00705B49">
        <w:t>A common issue with research using BLADE is the large amount of missing data.</w:t>
      </w:r>
      <w:r w:rsidRPr="00705B49">
        <w:rPr>
          <w:rStyle w:val="EndnoteReference"/>
        </w:rPr>
        <w:endnoteReference w:id="37"/>
      </w:r>
      <w:r w:rsidRPr="00705B49">
        <w:t xml:space="preserve"> This is especially a problem when estimating firm-level productivity growth because calculating productivity growth requires the inclusion of all</w:t>
      </w:r>
      <w:r w:rsidRPr="00705B49">
        <w:rPr>
          <w:b/>
        </w:rPr>
        <w:t xml:space="preserve"> </w:t>
      </w:r>
      <w:r w:rsidRPr="00705B49">
        <w:t xml:space="preserve">input and output variables. Productivity growth compounds these requirements as it uses data for both the current and previous year for a given firm. </w:t>
      </w:r>
      <w:r w:rsidRPr="00705B49">
        <w:fldChar w:fldCharType="begin"/>
      </w:r>
      <w:r w:rsidRPr="00705B49">
        <w:instrText xml:space="preserve"> REF _Ref97642613 \h  \* MERGEFORMAT </w:instrText>
      </w:r>
      <w:r w:rsidRPr="00705B49">
        <w:fldChar w:fldCharType="separate"/>
      </w:r>
      <w:r w:rsidRPr="00705B49">
        <w:t xml:space="preserve">Table </w:t>
      </w:r>
      <w:r w:rsidRPr="00705B49">
        <w:rPr>
          <w:noProof/>
        </w:rPr>
        <w:t>11</w:t>
      </w:r>
      <w:r w:rsidRPr="00705B49">
        <w:fldChar w:fldCharType="end"/>
      </w:r>
      <w:r w:rsidRPr="00705B49">
        <w:t xml:space="preserve"> shows how this issue can lead to a significant loss of information in the BLADE dataset. The wide scope of BLADE makes it possible to impute missing values using other data available for the firm. Imputing missing data increases the sample size available to compute productivity growth which improves the robustness of the analysis.</w:t>
      </w:r>
    </w:p>
    <w:p w14:paraId="1F5CEB73" w14:textId="77777777" w:rsidR="00494CC3" w:rsidRPr="00705B49" w:rsidRDefault="00494CC3" w:rsidP="00FF191D">
      <w:pPr>
        <w:pStyle w:val="Tablefigureheading"/>
      </w:pPr>
      <w:bookmarkStart w:id="156" w:name="_Ref97642613"/>
      <w:bookmarkStart w:id="157" w:name="_Toc97652731"/>
      <w:bookmarkStart w:id="158" w:name="_Toc115175396"/>
      <w:bookmarkStart w:id="159" w:name="_Toc129767628"/>
      <w:r w:rsidRPr="00705B49">
        <w:t xml:space="preserve">Table </w:t>
      </w:r>
      <w:fldSimple w:instr=" SEQ Table \* ARABIC ">
        <w:r w:rsidRPr="00705B49">
          <w:rPr>
            <w:noProof/>
          </w:rPr>
          <w:t>11</w:t>
        </w:r>
      </w:fldSimple>
      <w:bookmarkEnd w:id="156"/>
      <w:r w:rsidRPr="00705B49">
        <w:t>. Share of BLADE observations missing in dataset, by selected variables</w:t>
      </w:r>
      <w:bookmarkEnd w:id="157"/>
      <w:bookmarkEnd w:id="158"/>
      <w:bookmarkEnd w:id="159"/>
    </w:p>
    <w:tbl>
      <w:tblPr>
        <w:tblStyle w:val="DefaultTable1"/>
        <w:tblW w:w="4639" w:type="pct"/>
        <w:tblLook w:val="04A0" w:firstRow="1" w:lastRow="0" w:firstColumn="1" w:lastColumn="0" w:noHBand="0" w:noVBand="1"/>
        <w:tblCaption w:val="Table 11. Share of BLADE observations missing in dataset, by selected variables"/>
      </w:tblPr>
      <w:tblGrid>
        <w:gridCol w:w="3828"/>
        <w:gridCol w:w="4963"/>
      </w:tblGrid>
      <w:tr w:rsidR="00494CC3" w:rsidRPr="00705B49" w14:paraId="2025D7E5"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pct"/>
            <w:tcBorders>
              <w:bottom w:val="single" w:sz="4" w:space="0" w:color="595959" w:themeColor="text1" w:themeTint="A6"/>
            </w:tcBorders>
            <w:shd w:val="clear" w:color="auto" w:fill="081E3E"/>
          </w:tcPr>
          <w:p w14:paraId="4AC16E79" w14:textId="77777777" w:rsidR="00494CC3" w:rsidRPr="00705B49" w:rsidRDefault="00494CC3" w:rsidP="00494CC3">
            <w:r w:rsidRPr="00705B49">
              <w:t>Productivity variable</w:t>
            </w:r>
          </w:p>
        </w:tc>
        <w:tc>
          <w:tcPr>
            <w:tcW w:w="2823" w:type="pct"/>
            <w:tcBorders>
              <w:bottom w:val="single" w:sz="4" w:space="0" w:color="595959" w:themeColor="text1" w:themeTint="A6"/>
            </w:tcBorders>
            <w:shd w:val="clear" w:color="auto" w:fill="081E3E"/>
          </w:tcPr>
          <w:p w14:paraId="79B7EDAC"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Proportion of missing observations in the Business Characteristics Survey</w:t>
            </w:r>
          </w:p>
        </w:tc>
      </w:tr>
      <w:tr w:rsidR="00494CC3" w:rsidRPr="00705B49" w14:paraId="4301EED7" w14:textId="77777777" w:rsidTr="00747265">
        <w:tc>
          <w:tcPr>
            <w:cnfStyle w:val="001000000000" w:firstRow="0" w:lastRow="0" w:firstColumn="1" w:lastColumn="0" w:oddVBand="0" w:evenVBand="0" w:oddHBand="0" w:evenHBand="0" w:firstRowFirstColumn="0" w:firstRowLastColumn="0" w:lastRowFirstColumn="0" w:lastRowLastColumn="0"/>
            <w:tcW w:w="2177" w:type="pct"/>
            <w:tcBorders>
              <w:bottom w:val="single" w:sz="4" w:space="0" w:color="4BB3B5"/>
            </w:tcBorders>
          </w:tcPr>
          <w:p w14:paraId="66D84222" w14:textId="77777777" w:rsidR="00494CC3" w:rsidRPr="00705B49" w:rsidRDefault="00494CC3" w:rsidP="00494CC3">
            <w:r w:rsidRPr="00705B49">
              <w:t>Turnover (used for Y)</w:t>
            </w:r>
          </w:p>
        </w:tc>
        <w:tc>
          <w:tcPr>
            <w:tcW w:w="2823" w:type="pct"/>
            <w:tcBorders>
              <w:bottom w:val="single" w:sz="4" w:space="0" w:color="4BB3B5"/>
            </w:tcBorders>
          </w:tcPr>
          <w:p w14:paraId="116DF94E" w14:textId="77777777" w:rsidR="00494CC3" w:rsidRPr="00705B49" w:rsidRDefault="00494CC3" w:rsidP="00494CC3">
            <w:pPr>
              <w:ind w:right="2237"/>
              <w:jc w:val="right"/>
              <w:cnfStyle w:val="000000000000" w:firstRow="0" w:lastRow="0" w:firstColumn="0" w:lastColumn="0" w:oddVBand="0" w:evenVBand="0" w:oddHBand="0" w:evenHBand="0" w:firstRowFirstColumn="0" w:firstRowLastColumn="0" w:lastRowFirstColumn="0" w:lastRowLastColumn="0"/>
            </w:pPr>
            <w:r w:rsidRPr="00705B49">
              <w:t>8%</w:t>
            </w:r>
          </w:p>
        </w:tc>
      </w:tr>
      <w:tr w:rsidR="00494CC3" w:rsidRPr="00705B49" w14:paraId="53AD1346"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pct"/>
            <w:tcBorders>
              <w:top w:val="single" w:sz="4" w:space="0" w:color="4BB3B5"/>
              <w:bottom w:val="single" w:sz="4" w:space="0" w:color="4BB3B5"/>
            </w:tcBorders>
          </w:tcPr>
          <w:p w14:paraId="3C348F37" w14:textId="77777777" w:rsidR="00494CC3" w:rsidRPr="00705B49" w:rsidRDefault="00494CC3" w:rsidP="00494CC3">
            <w:r w:rsidRPr="00705B49">
              <w:t>FTE (used for L)</w:t>
            </w:r>
          </w:p>
        </w:tc>
        <w:tc>
          <w:tcPr>
            <w:tcW w:w="2823" w:type="pct"/>
            <w:tcBorders>
              <w:top w:val="single" w:sz="4" w:space="0" w:color="4BB3B5"/>
              <w:bottom w:val="single" w:sz="4" w:space="0" w:color="4BB3B5"/>
            </w:tcBorders>
          </w:tcPr>
          <w:p w14:paraId="4766F40B" w14:textId="77777777" w:rsidR="00494CC3" w:rsidRPr="00705B49" w:rsidRDefault="00494CC3" w:rsidP="00494CC3">
            <w:pPr>
              <w:ind w:right="2237"/>
              <w:jc w:val="right"/>
              <w:cnfStyle w:val="000000010000" w:firstRow="0" w:lastRow="0" w:firstColumn="0" w:lastColumn="0" w:oddVBand="0" w:evenVBand="0" w:oddHBand="0" w:evenHBand="1" w:firstRowFirstColumn="0" w:firstRowLastColumn="0" w:lastRowFirstColumn="0" w:lastRowLastColumn="0"/>
            </w:pPr>
            <w:r w:rsidRPr="00705B49">
              <w:t>25%</w:t>
            </w:r>
          </w:p>
        </w:tc>
      </w:tr>
      <w:tr w:rsidR="00494CC3" w:rsidRPr="00705B49" w14:paraId="750EE1F7" w14:textId="77777777" w:rsidTr="00747265">
        <w:tc>
          <w:tcPr>
            <w:cnfStyle w:val="001000000000" w:firstRow="0" w:lastRow="0" w:firstColumn="1" w:lastColumn="0" w:oddVBand="0" w:evenVBand="0" w:oddHBand="0" w:evenHBand="0" w:firstRowFirstColumn="0" w:firstRowLastColumn="0" w:lastRowFirstColumn="0" w:lastRowLastColumn="0"/>
            <w:tcW w:w="2177" w:type="pct"/>
            <w:tcBorders>
              <w:top w:val="single" w:sz="4" w:space="0" w:color="4BB3B5"/>
              <w:bottom w:val="single" w:sz="4" w:space="0" w:color="4BB3B5"/>
            </w:tcBorders>
          </w:tcPr>
          <w:p w14:paraId="31C956FF" w14:textId="77777777" w:rsidR="00494CC3" w:rsidRPr="00705B49" w:rsidRDefault="00494CC3" w:rsidP="00494CC3">
            <w:r w:rsidRPr="00705B49">
              <w:t>Capital expenditure (used for K)</w:t>
            </w:r>
          </w:p>
        </w:tc>
        <w:tc>
          <w:tcPr>
            <w:tcW w:w="2823" w:type="pct"/>
            <w:tcBorders>
              <w:top w:val="single" w:sz="4" w:space="0" w:color="4BB3B5"/>
              <w:bottom w:val="single" w:sz="4" w:space="0" w:color="4BB3B5"/>
            </w:tcBorders>
          </w:tcPr>
          <w:p w14:paraId="141B4410" w14:textId="77777777" w:rsidR="00494CC3" w:rsidRPr="00705B49" w:rsidRDefault="00494CC3" w:rsidP="00494CC3">
            <w:pPr>
              <w:ind w:right="2237"/>
              <w:jc w:val="right"/>
              <w:cnfStyle w:val="000000000000" w:firstRow="0" w:lastRow="0" w:firstColumn="0" w:lastColumn="0" w:oddVBand="0" w:evenVBand="0" w:oddHBand="0" w:evenHBand="0" w:firstRowFirstColumn="0" w:firstRowLastColumn="0" w:lastRowFirstColumn="0" w:lastRowLastColumn="0"/>
            </w:pPr>
            <w:r w:rsidRPr="00705B49">
              <w:t>16%</w:t>
            </w:r>
          </w:p>
        </w:tc>
      </w:tr>
      <w:tr w:rsidR="00494CC3" w:rsidRPr="00705B49" w14:paraId="6A2345C0"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pct"/>
            <w:tcBorders>
              <w:top w:val="single" w:sz="4" w:space="0" w:color="4BB3B5"/>
              <w:bottom w:val="single" w:sz="4" w:space="0" w:color="4BB3B5"/>
            </w:tcBorders>
          </w:tcPr>
          <w:p w14:paraId="56FFBDDC" w14:textId="77777777" w:rsidR="00494CC3" w:rsidRPr="00705B49" w:rsidRDefault="00494CC3" w:rsidP="00494CC3">
            <w:r w:rsidRPr="00705B49">
              <w:t>Operational expenditure (I)</w:t>
            </w:r>
          </w:p>
        </w:tc>
        <w:tc>
          <w:tcPr>
            <w:tcW w:w="2823" w:type="pct"/>
            <w:tcBorders>
              <w:top w:val="single" w:sz="4" w:space="0" w:color="4BB3B5"/>
              <w:bottom w:val="single" w:sz="4" w:space="0" w:color="4BB3B5"/>
            </w:tcBorders>
          </w:tcPr>
          <w:p w14:paraId="2C2387F3" w14:textId="77777777" w:rsidR="00494CC3" w:rsidRPr="00705B49" w:rsidRDefault="00494CC3" w:rsidP="00494CC3">
            <w:pPr>
              <w:ind w:right="2237"/>
              <w:jc w:val="right"/>
              <w:cnfStyle w:val="000000010000" w:firstRow="0" w:lastRow="0" w:firstColumn="0" w:lastColumn="0" w:oddVBand="0" w:evenVBand="0" w:oddHBand="0" w:evenHBand="1" w:firstRowFirstColumn="0" w:firstRowLastColumn="0" w:lastRowFirstColumn="0" w:lastRowLastColumn="0"/>
            </w:pPr>
            <w:r w:rsidRPr="00705B49">
              <w:t>16%</w:t>
            </w:r>
          </w:p>
        </w:tc>
      </w:tr>
    </w:tbl>
    <w:p w14:paraId="6637B3BC" w14:textId="77777777" w:rsidR="00494CC3" w:rsidRPr="00705B49" w:rsidRDefault="00494CC3" w:rsidP="007D0784">
      <w:pPr>
        <w:pStyle w:val="Sourcenotes"/>
      </w:pPr>
      <w:r w:rsidRPr="00705B49">
        <w:t>Source: BCARR analysis of BLADE data.</w:t>
      </w:r>
    </w:p>
    <w:p w14:paraId="01F71D1A" w14:textId="77777777" w:rsidR="00494CC3" w:rsidRPr="00705B49" w:rsidRDefault="00494CC3" w:rsidP="007D0784">
      <w:pPr>
        <w:keepLines/>
      </w:pPr>
      <w:r w:rsidRPr="00705B49">
        <w:lastRenderedPageBreak/>
        <w:t>BCARR has adopted a supervised machine learning approach to impute missing values. This is in line with research by the Department of Industry, Science, and Resources (DISR), the Commonwealth Scientific and Industrial Research Organisation (CSIRO) and the Productivity Commission. Extreme Gradient Boosting (</w:t>
      </w:r>
      <w:proofErr w:type="spellStart"/>
      <w:r w:rsidRPr="00705B49">
        <w:t>XGBoost</w:t>
      </w:r>
      <w:proofErr w:type="spellEnd"/>
      <w:r w:rsidRPr="00705B49">
        <w:t>)</w:t>
      </w:r>
      <w:r w:rsidRPr="00705B49">
        <w:rPr>
          <w:rStyle w:val="FootnoteReference"/>
        </w:rPr>
        <w:footnoteReference w:id="5"/>
      </w:r>
      <w:r w:rsidRPr="00705B49">
        <w:t xml:space="preserve"> was the algorithm used to impute key productivity variables. </w:t>
      </w:r>
      <w:proofErr w:type="spellStart"/>
      <w:r w:rsidRPr="00705B49">
        <w:t>XGBoost</w:t>
      </w:r>
      <w:proofErr w:type="spellEnd"/>
      <w:r w:rsidRPr="00705B49">
        <w:t xml:space="preserve"> is a flexible and robust method for regression using big data. This involves creating and sequentially adding decision trees to the model to reduce error. </w:t>
      </w:r>
      <w:proofErr w:type="spellStart"/>
      <w:r w:rsidRPr="00705B49">
        <w:t>XGBoost</w:t>
      </w:r>
      <w:proofErr w:type="spellEnd"/>
      <w:r w:rsidRPr="00705B49">
        <w:t xml:space="preserve"> was the preferred approach over a more parametric approach (such as linear regression) because the complexity of BLADE makes it difficult to predict the underlying distribution of the data, which is necessary for parametric approaches. </w:t>
      </w:r>
      <w:proofErr w:type="spellStart"/>
      <w:r w:rsidRPr="00705B49">
        <w:t>XGBoost</w:t>
      </w:r>
      <w:proofErr w:type="spellEnd"/>
      <w:r w:rsidRPr="00705B49">
        <w:t xml:space="preserve"> was also preferred over other decision tree-based methods as it is regularised,</w:t>
      </w:r>
      <w:r w:rsidRPr="00705B49">
        <w:rPr>
          <w:rStyle w:val="FootnoteReference"/>
        </w:rPr>
        <w:footnoteReference w:id="6"/>
      </w:r>
      <w:r w:rsidRPr="00705B49">
        <w:t xml:space="preserve"> an advantage to prevent overfitting (a common problem in large datasets like BLADE).</w:t>
      </w:r>
    </w:p>
    <w:p w14:paraId="00240DD8" w14:textId="77777777" w:rsidR="00494CC3" w:rsidRPr="00705B49" w:rsidRDefault="00494CC3" w:rsidP="00494CC3">
      <w:proofErr w:type="spellStart"/>
      <w:r w:rsidRPr="00705B49">
        <w:t>XGBoost</w:t>
      </w:r>
      <w:proofErr w:type="spellEnd"/>
      <w:r w:rsidRPr="00705B49">
        <w:t xml:space="preserve"> was used to impute 4 variables: turnover, FTE, capital expenditure and operational expenditure. </w:t>
      </w:r>
      <w:r w:rsidRPr="00705B49">
        <w:fldChar w:fldCharType="begin"/>
      </w:r>
      <w:r w:rsidRPr="00705B49">
        <w:instrText xml:space="preserve"> REF _Ref97642630 \h  \* MERGEFORMAT </w:instrText>
      </w:r>
      <w:r w:rsidRPr="00705B49">
        <w:fldChar w:fldCharType="separate"/>
      </w:r>
      <w:r w:rsidRPr="00705B49">
        <w:t xml:space="preserve">Table </w:t>
      </w:r>
      <w:r w:rsidRPr="00705B49">
        <w:rPr>
          <w:noProof/>
        </w:rPr>
        <w:t>12</w:t>
      </w:r>
      <w:r w:rsidRPr="00705B49">
        <w:fldChar w:fldCharType="end"/>
      </w:r>
      <w:r w:rsidRPr="00705B49">
        <w:t xml:space="preserve"> shows the performance of these </w:t>
      </w:r>
      <w:proofErr w:type="spellStart"/>
      <w:r w:rsidRPr="00705B49">
        <w:t>XGBoost</w:t>
      </w:r>
      <w:proofErr w:type="spellEnd"/>
      <w:r w:rsidRPr="00705B49">
        <w:t xml:space="preserve"> models. Relative absolute error compares model performance to a simple model which simply predicts the mean (where values closer to </w:t>
      </w:r>
      <w:r>
        <w:t>zero</w:t>
      </w:r>
      <w:r w:rsidRPr="00705B49">
        <w:t xml:space="preserve"> indicate perfect predictive power, and values above </w:t>
      </w:r>
      <w:r>
        <w:t>one</w:t>
      </w:r>
      <w:r w:rsidRPr="00705B49">
        <w:t xml:space="preserve"> are worse than predicting the mean). All models outperform predicting the mean, but vary in their efficiency. Turnover has the highest accuracy, while capital expenditure is less accurate. This is likely a result of unpredictable nature of capital expenses, comprising largely of one-off businesses purchases. </w:t>
      </w:r>
    </w:p>
    <w:p w14:paraId="0233CF12" w14:textId="77777777" w:rsidR="00494CC3" w:rsidRPr="00705B49" w:rsidRDefault="00494CC3" w:rsidP="00FF191D">
      <w:pPr>
        <w:pStyle w:val="Tablefigureheading"/>
      </w:pPr>
      <w:bookmarkStart w:id="160" w:name="_Ref97642630"/>
      <w:bookmarkStart w:id="161" w:name="_Toc97652732"/>
      <w:bookmarkStart w:id="162" w:name="_Toc115175397"/>
      <w:bookmarkStart w:id="163" w:name="_Toc129767629"/>
      <w:r w:rsidRPr="00705B49">
        <w:t xml:space="preserve">Table </w:t>
      </w:r>
      <w:fldSimple w:instr=" SEQ Table \* ARABIC ">
        <w:r w:rsidRPr="00705B49">
          <w:rPr>
            <w:noProof/>
          </w:rPr>
          <w:t>12</w:t>
        </w:r>
      </w:fldSimple>
      <w:bookmarkEnd w:id="160"/>
      <w:r w:rsidRPr="00705B49">
        <w:t xml:space="preserve">. </w:t>
      </w:r>
      <w:proofErr w:type="spellStart"/>
      <w:r w:rsidRPr="00705B49">
        <w:t>XGBoost</w:t>
      </w:r>
      <w:proofErr w:type="spellEnd"/>
      <w:r w:rsidRPr="00705B49">
        <w:t xml:space="preserve"> </w:t>
      </w:r>
      <w:bookmarkEnd w:id="161"/>
      <w:r w:rsidRPr="00705B49">
        <w:t>evaluation metrics</w:t>
      </w:r>
      <w:bookmarkEnd w:id="162"/>
      <w:bookmarkEnd w:id="163"/>
    </w:p>
    <w:tbl>
      <w:tblPr>
        <w:tblStyle w:val="DefaultTable1"/>
        <w:tblW w:w="0" w:type="auto"/>
        <w:tblLook w:val="04A0" w:firstRow="1" w:lastRow="0" w:firstColumn="1" w:lastColumn="0" w:noHBand="0" w:noVBand="1"/>
        <w:tblCaption w:val="Table 12. XGBoost evaluation metrics"/>
      </w:tblPr>
      <w:tblGrid>
        <w:gridCol w:w="2722"/>
        <w:gridCol w:w="1690"/>
        <w:gridCol w:w="1686"/>
        <w:gridCol w:w="1686"/>
        <w:gridCol w:w="1691"/>
      </w:tblGrid>
      <w:tr w:rsidR="00494CC3" w:rsidRPr="00705B49" w14:paraId="33FBD39D"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595959" w:themeColor="text1" w:themeTint="A6"/>
            </w:tcBorders>
            <w:shd w:val="clear" w:color="auto" w:fill="081E3E"/>
          </w:tcPr>
          <w:p w14:paraId="189BA779" w14:textId="77777777" w:rsidR="00494CC3" w:rsidRPr="00705B49" w:rsidRDefault="00494CC3" w:rsidP="00494CC3">
            <w:proofErr w:type="spellStart"/>
            <w:r w:rsidRPr="00705B49">
              <w:t>XGBoost</w:t>
            </w:r>
            <w:proofErr w:type="spellEnd"/>
            <w:r w:rsidRPr="00705B49">
              <w:t xml:space="preserve"> model</w:t>
            </w:r>
          </w:p>
        </w:tc>
        <w:tc>
          <w:tcPr>
            <w:tcW w:w="1757" w:type="dxa"/>
            <w:tcBorders>
              <w:bottom w:val="single" w:sz="4" w:space="0" w:color="595959" w:themeColor="text1" w:themeTint="A6"/>
            </w:tcBorders>
            <w:shd w:val="clear" w:color="auto" w:fill="081E3E"/>
          </w:tcPr>
          <w:p w14:paraId="2674908E" w14:textId="77777777" w:rsidR="00494CC3" w:rsidRPr="00D436E6" w:rsidRDefault="00494CC3" w:rsidP="00D436E6">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Relative absolute error</w:t>
            </w:r>
          </w:p>
        </w:tc>
        <w:tc>
          <w:tcPr>
            <w:tcW w:w="1757" w:type="dxa"/>
            <w:tcBorders>
              <w:bottom w:val="single" w:sz="4" w:space="0" w:color="595959" w:themeColor="text1" w:themeTint="A6"/>
            </w:tcBorders>
            <w:shd w:val="clear" w:color="auto" w:fill="081E3E"/>
          </w:tcPr>
          <w:p w14:paraId="60DA542A" w14:textId="77777777" w:rsidR="00494CC3" w:rsidRPr="00D436E6" w:rsidRDefault="00494CC3" w:rsidP="00D436E6">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 xml:space="preserve">Root relative squared error </w:t>
            </w:r>
          </w:p>
        </w:tc>
        <w:tc>
          <w:tcPr>
            <w:tcW w:w="1757" w:type="dxa"/>
            <w:tcBorders>
              <w:bottom w:val="single" w:sz="4" w:space="0" w:color="595959" w:themeColor="text1" w:themeTint="A6"/>
            </w:tcBorders>
            <w:shd w:val="clear" w:color="auto" w:fill="081E3E"/>
          </w:tcPr>
          <w:p w14:paraId="32DBB6C6" w14:textId="77777777" w:rsidR="00494CC3" w:rsidRPr="00D436E6" w:rsidRDefault="00494CC3" w:rsidP="00D436E6">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Root mean squared error</w:t>
            </w:r>
          </w:p>
        </w:tc>
        <w:tc>
          <w:tcPr>
            <w:tcW w:w="1758" w:type="dxa"/>
            <w:tcBorders>
              <w:bottom w:val="single" w:sz="4" w:space="0" w:color="595959" w:themeColor="text1" w:themeTint="A6"/>
            </w:tcBorders>
            <w:shd w:val="clear" w:color="auto" w:fill="081E3E"/>
          </w:tcPr>
          <w:p w14:paraId="31FF8E1E" w14:textId="77777777" w:rsidR="00494CC3" w:rsidRPr="00D436E6" w:rsidRDefault="00494CC3" w:rsidP="00D436E6">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436E6">
              <w:rPr>
                <w:b/>
              </w:rPr>
              <w:t>Mean absolute error</w:t>
            </w:r>
          </w:p>
        </w:tc>
      </w:tr>
      <w:tr w:rsidR="00494CC3" w:rsidRPr="00705B49" w14:paraId="0A4030CB" w14:textId="77777777" w:rsidTr="00747265">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4BB3B5"/>
            </w:tcBorders>
          </w:tcPr>
          <w:p w14:paraId="5EF20925" w14:textId="77777777" w:rsidR="00494CC3" w:rsidRPr="00705B49" w:rsidRDefault="00494CC3" w:rsidP="00494CC3">
            <w:pPr>
              <w:rPr>
                <w:b w:val="0"/>
              </w:rPr>
            </w:pPr>
            <w:r w:rsidRPr="00705B49">
              <w:rPr>
                <w:b w:val="0"/>
              </w:rPr>
              <w:t>log(turnover)</w:t>
            </w:r>
          </w:p>
        </w:tc>
        <w:tc>
          <w:tcPr>
            <w:tcW w:w="1757" w:type="dxa"/>
            <w:tcBorders>
              <w:bottom w:val="single" w:sz="4" w:space="0" w:color="4BB3B5"/>
            </w:tcBorders>
            <w:vAlign w:val="bottom"/>
          </w:tcPr>
          <w:p w14:paraId="0655CBDA"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0.122</w:t>
            </w:r>
          </w:p>
        </w:tc>
        <w:tc>
          <w:tcPr>
            <w:tcW w:w="1757" w:type="dxa"/>
            <w:tcBorders>
              <w:bottom w:val="single" w:sz="4" w:space="0" w:color="4BB3B5"/>
            </w:tcBorders>
            <w:vAlign w:val="bottom"/>
          </w:tcPr>
          <w:p w14:paraId="247A23E4"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0.299</w:t>
            </w:r>
          </w:p>
        </w:tc>
        <w:tc>
          <w:tcPr>
            <w:tcW w:w="1757" w:type="dxa"/>
            <w:tcBorders>
              <w:bottom w:val="single" w:sz="4" w:space="0" w:color="4BB3B5"/>
            </w:tcBorders>
            <w:vAlign w:val="bottom"/>
          </w:tcPr>
          <w:p w14:paraId="7CBFB66B"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1.356</w:t>
            </w:r>
          </w:p>
        </w:tc>
        <w:tc>
          <w:tcPr>
            <w:tcW w:w="1758" w:type="dxa"/>
            <w:tcBorders>
              <w:bottom w:val="single" w:sz="4" w:space="0" w:color="4BB3B5"/>
            </w:tcBorders>
            <w:vAlign w:val="bottom"/>
          </w:tcPr>
          <w:p w14:paraId="61C629D8"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0.442</w:t>
            </w:r>
          </w:p>
        </w:tc>
      </w:tr>
      <w:tr w:rsidR="00494CC3" w:rsidRPr="00705B49" w14:paraId="73043D1E"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BB3B5"/>
              <w:bottom w:val="single" w:sz="4" w:space="0" w:color="4BB3B5"/>
            </w:tcBorders>
          </w:tcPr>
          <w:p w14:paraId="5B9C8FBF" w14:textId="77777777" w:rsidR="00494CC3" w:rsidRPr="00705B49" w:rsidRDefault="00494CC3" w:rsidP="00494CC3">
            <w:pPr>
              <w:rPr>
                <w:b w:val="0"/>
              </w:rPr>
            </w:pPr>
            <w:r w:rsidRPr="00705B49">
              <w:rPr>
                <w:b w:val="0"/>
              </w:rPr>
              <w:t>log(FTE)</w:t>
            </w:r>
          </w:p>
        </w:tc>
        <w:tc>
          <w:tcPr>
            <w:tcW w:w="1757" w:type="dxa"/>
            <w:tcBorders>
              <w:top w:val="single" w:sz="4" w:space="0" w:color="4BB3B5"/>
              <w:bottom w:val="single" w:sz="4" w:space="0" w:color="4BB3B5"/>
            </w:tcBorders>
            <w:vAlign w:val="bottom"/>
          </w:tcPr>
          <w:p w14:paraId="20436E7A"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0.238</w:t>
            </w:r>
          </w:p>
        </w:tc>
        <w:tc>
          <w:tcPr>
            <w:tcW w:w="1757" w:type="dxa"/>
            <w:tcBorders>
              <w:top w:val="single" w:sz="4" w:space="0" w:color="4BB3B5"/>
              <w:bottom w:val="single" w:sz="4" w:space="0" w:color="4BB3B5"/>
            </w:tcBorders>
            <w:vAlign w:val="bottom"/>
          </w:tcPr>
          <w:p w14:paraId="55F1FADD"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0.314</w:t>
            </w:r>
          </w:p>
        </w:tc>
        <w:tc>
          <w:tcPr>
            <w:tcW w:w="1757" w:type="dxa"/>
            <w:tcBorders>
              <w:top w:val="single" w:sz="4" w:space="0" w:color="4BB3B5"/>
              <w:bottom w:val="single" w:sz="4" w:space="0" w:color="4BB3B5"/>
            </w:tcBorders>
            <w:vAlign w:val="bottom"/>
          </w:tcPr>
          <w:p w14:paraId="3F31C122"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0.204</w:t>
            </w:r>
          </w:p>
        </w:tc>
        <w:tc>
          <w:tcPr>
            <w:tcW w:w="1758" w:type="dxa"/>
            <w:tcBorders>
              <w:top w:val="single" w:sz="4" w:space="0" w:color="4BB3B5"/>
              <w:bottom w:val="single" w:sz="4" w:space="0" w:color="4BB3B5"/>
            </w:tcBorders>
            <w:vAlign w:val="bottom"/>
          </w:tcPr>
          <w:p w14:paraId="72CB0ED0"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0.116</w:t>
            </w:r>
          </w:p>
        </w:tc>
      </w:tr>
      <w:tr w:rsidR="00494CC3" w:rsidRPr="00705B49" w14:paraId="378424F5" w14:textId="77777777" w:rsidTr="00747265">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BB3B5"/>
              <w:bottom w:val="single" w:sz="4" w:space="0" w:color="4BB3B5"/>
            </w:tcBorders>
          </w:tcPr>
          <w:p w14:paraId="04A995F9" w14:textId="77777777" w:rsidR="00494CC3" w:rsidRPr="00705B49" w:rsidRDefault="00494CC3" w:rsidP="00494CC3">
            <w:pPr>
              <w:rPr>
                <w:b w:val="0"/>
              </w:rPr>
            </w:pPr>
            <w:r w:rsidRPr="00705B49">
              <w:rPr>
                <w:b w:val="0"/>
              </w:rPr>
              <w:t>log(operational expenditure)</w:t>
            </w:r>
          </w:p>
        </w:tc>
        <w:tc>
          <w:tcPr>
            <w:tcW w:w="1757" w:type="dxa"/>
            <w:tcBorders>
              <w:top w:val="single" w:sz="4" w:space="0" w:color="4BB3B5"/>
              <w:bottom w:val="single" w:sz="4" w:space="0" w:color="4BB3B5"/>
            </w:tcBorders>
            <w:vAlign w:val="bottom"/>
          </w:tcPr>
          <w:p w14:paraId="78EB1E7C"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0.280</w:t>
            </w:r>
          </w:p>
        </w:tc>
        <w:tc>
          <w:tcPr>
            <w:tcW w:w="1757" w:type="dxa"/>
            <w:tcBorders>
              <w:top w:val="single" w:sz="4" w:space="0" w:color="4BB3B5"/>
              <w:bottom w:val="single" w:sz="4" w:space="0" w:color="4BB3B5"/>
            </w:tcBorders>
            <w:vAlign w:val="bottom"/>
          </w:tcPr>
          <w:p w14:paraId="6EFD819E"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0.494</w:t>
            </w:r>
          </w:p>
        </w:tc>
        <w:tc>
          <w:tcPr>
            <w:tcW w:w="1757" w:type="dxa"/>
            <w:tcBorders>
              <w:top w:val="single" w:sz="4" w:space="0" w:color="4BB3B5"/>
              <w:bottom w:val="single" w:sz="4" w:space="0" w:color="4BB3B5"/>
            </w:tcBorders>
            <w:vAlign w:val="bottom"/>
          </w:tcPr>
          <w:p w14:paraId="0E626CEF"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2.336</w:t>
            </w:r>
          </w:p>
        </w:tc>
        <w:tc>
          <w:tcPr>
            <w:tcW w:w="1758" w:type="dxa"/>
            <w:tcBorders>
              <w:top w:val="single" w:sz="4" w:space="0" w:color="4BB3B5"/>
              <w:bottom w:val="single" w:sz="4" w:space="0" w:color="4BB3B5"/>
            </w:tcBorders>
            <w:vAlign w:val="bottom"/>
          </w:tcPr>
          <w:p w14:paraId="70F9BAE7" w14:textId="77777777" w:rsidR="00494CC3" w:rsidRPr="00705B49" w:rsidRDefault="00494CC3" w:rsidP="00D436E6">
            <w:pPr>
              <w:pStyle w:val="Tabletextcentred"/>
              <w:cnfStyle w:val="000000000000" w:firstRow="0" w:lastRow="0" w:firstColumn="0" w:lastColumn="0" w:oddVBand="0" w:evenVBand="0" w:oddHBand="0" w:evenHBand="0" w:firstRowFirstColumn="0" w:firstRowLastColumn="0" w:lastRowFirstColumn="0" w:lastRowLastColumn="0"/>
            </w:pPr>
            <w:r w:rsidRPr="00705B49">
              <w:t>1.130</w:t>
            </w:r>
          </w:p>
        </w:tc>
      </w:tr>
      <w:tr w:rsidR="00494CC3" w:rsidRPr="00705B49" w14:paraId="20A89A13"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BB3B5"/>
              <w:bottom w:val="single" w:sz="4" w:space="0" w:color="4BB3B5"/>
            </w:tcBorders>
          </w:tcPr>
          <w:p w14:paraId="638A9A5A" w14:textId="77777777" w:rsidR="00494CC3" w:rsidRPr="00705B49" w:rsidRDefault="00494CC3" w:rsidP="00494CC3">
            <w:pPr>
              <w:rPr>
                <w:b w:val="0"/>
              </w:rPr>
            </w:pPr>
            <w:r w:rsidRPr="00705B49">
              <w:rPr>
                <w:b w:val="0"/>
              </w:rPr>
              <w:t>log(capital expenditure)</w:t>
            </w:r>
          </w:p>
        </w:tc>
        <w:tc>
          <w:tcPr>
            <w:tcW w:w="1757" w:type="dxa"/>
            <w:tcBorders>
              <w:top w:val="single" w:sz="4" w:space="0" w:color="4BB3B5"/>
              <w:bottom w:val="single" w:sz="4" w:space="0" w:color="4BB3B5"/>
            </w:tcBorders>
            <w:vAlign w:val="bottom"/>
          </w:tcPr>
          <w:p w14:paraId="5750563F"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0.611</w:t>
            </w:r>
          </w:p>
        </w:tc>
        <w:tc>
          <w:tcPr>
            <w:tcW w:w="1757" w:type="dxa"/>
            <w:tcBorders>
              <w:top w:val="single" w:sz="4" w:space="0" w:color="4BB3B5"/>
              <w:bottom w:val="single" w:sz="4" w:space="0" w:color="4BB3B5"/>
            </w:tcBorders>
            <w:vAlign w:val="bottom"/>
          </w:tcPr>
          <w:p w14:paraId="400989C6"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0.754</w:t>
            </w:r>
          </w:p>
        </w:tc>
        <w:tc>
          <w:tcPr>
            <w:tcW w:w="1757" w:type="dxa"/>
            <w:tcBorders>
              <w:top w:val="single" w:sz="4" w:space="0" w:color="4BB3B5"/>
              <w:bottom w:val="single" w:sz="4" w:space="0" w:color="4BB3B5"/>
            </w:tcBorders>
            <w:vAlign w:val="bottom"/>
          </w:tcPr>
          <w:p w14:paraId="48F7576E"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3.573</w:t>
            </w:r>
          </w:p>
        </w:tc>
        <w:tc>
          <w:tcPr>
            <w:tcW w:w="1758" w:type="dxa"/>
            <w:tcBorders>
              <w:top w:val="single" w:sz="4" w:space="0" w:color="4BB3B5"/>
              <w:bottom w:val="single" w:sz="4" w:space="0" w:color="4BB3B5"/>
            </w:tcBorders>
            <w:vAlign w:val="bottom"/>
          </w:tcPr>
          <w:p w14:paraId="53E20362" w14:textId="77777777" w:rsidR="00494CC3" w:rsidRPr="00705B49" w:rsidRDefault="00494CC3" w:rsidP="00D436E6">
            <w:pPr>
              <w:pStyle w:val="Tabletextcentred"/>
              <w:cnfStyle w:val="000000010000" w:firstRow="0" w:lastRow="0" w:firstColumn="0" w:lastColumn="0" w:oddVBand="0" w:evenVBand="0" w:oddHBand="0" w:evenHBand="1" w:firstRowFirstColumn="0" w:firstRowLastColumn="0" w:lastRowFirstColumn="0" w:lastRowLastColumn="0"/>
            </w:pPr>
            <w:r w:rsidRPr="00705B49">
              <w:t>2.667</w:t>
            </w:r>
          </w:p>
        </w:tc>
      </w:tr>
    </w:tbl>
    <w:p w14:paraId="7F2B8BB6" w14:textId="77777777" w:rsidR="00494CC3" w:rsidRPr="00705B49" w:rsidRDefault="00494CC3" w:rsidP="007D0784">
      <w:pPr>
        <w:pStyle w:val="Sourcenotes"/>
        <w:rPr>
          <w:lang w:val="en-AU"/>
        </w:rPr>
      </w:pPr>
      <w:r w:rsidRPr="00705B49">
        <w:rPr>
          <w:lang w:val="en-AU"/>
        </w:rPr>
        <w:t>Source: BCARR analysis of BLADE data</w:t>
      </w:r>
      <w:r w:rsidRPr="00705B49">
        <w:rPr>
          <w:noProof/>
          <w:lang w:val="en-US"/>
        </w:rPr>
        <w:t>.</w:t>
      </w:r>
      <w:r w:rsidRPr="00705B49">
        <w:rPr>
          <w:lang w:val="en-AU"/>
        </w:rPr>
        <w:t xml:space="preserve"> Note: capital expenditure and operational expenditure were not imputed for years 2018 onwards. This was due to an underlying change in the reporting obligations to the ATO which has made capital and operational expenditure optional for many businesses to report. With no feasible way to determine which businesses are impacted by the change, the years 2018 onwards have not been imputed to avoid exacerbating data issues. </w:t>
      </w:r>
    </w:p>
    <w:p w14:paraId="449BC9E4" w14:textId="77777777" w:rsidR="00494CC3" w:rsidRPr="00705B49" w:rsidRDefault="00494CC3" w:rsidP="00494CC3">
      <w:pPr>
        <w:rPr>
          <w:sz w:val="16"/>
        </w:rPr>
      </w:pPr>
      <w:r w:rsidRPr="00705B49">
        <w:br w:type="page"/>
      </w:r>
    </w:p>
    <w:p w14:paraId="279D0493" w14:textId="77777777" w:rsidR="00494CC3" w:rsidRPr="00705B49" w:rsidRDefault="00494CC3" w:rsidP="007D0784">
      <w:pPr>
        <w:pStyle w:val="Heading2"/>
      </w:pPr>
      <w:bookmarkStart w:id="164" w:name="_Toc97652763"/>
      <w:bookmarkStart w:id="165" w:name="_Ref116475184"/>
      <w:bookmarkStart w:id="166" w:name="_Toc127374093"/>
      <w:bookmarkStart w:id="167" w:name="_Toc129777696"/>
      <w:r w:rsidRPr="00705B49">
        <w:lastRenderedPageBreak/>
        <w:t>Appendix C: Scope of the analysis</w:t>
      </w:r>
      <w:bookmarkEnd w:id="164"/>
      <w:bookmarkEnd w:id="165"/>
      <w:bookmarkEnd w:id="166"/>
      <w:bookmarkEnd w:id="167"/>
    </w:p>
    <w:p w14:paraId="4DC53F96" w14:textId="77777777" w:rsidR="00494CC3" w:rsidRPr="00705B49" w:rsidRDefault="00494CC3" w:rsidP="00494CC3">
      <w:r w:rsidRPr="00705B49">
        <w:t>BCARR has focused on the most recent decade of data from 2009–10 to 2019–20 (with 2018–19 as the most recent BCS release within BLADE 2019–20) to analyse productivity growth. All firms with a GST turnover of more than $75,000 appear in BLADE. This analysis was further restricted to firms which respond to the BCS (around 7,000 firms annually).</w:t>
      </w:r>
    </w:p>
    <w:p w14:paraId="23254293" w14:textId="77777777" w:rsidR="00494CC3" w:rsidRPr="00705B49" w:rsidRDefault="000F0B8C" w:rsidP="00494CC3">
      <w:r>
        <w:t>Since</w:t>
      </w:r>
      <w:r w:rsidR="00494CC3" w:rsidRPr="00705B49">
        <w:t xml:space="preserve"> 2017–18, businesses with a goods and services tax (GST) turnover of less than $10 million </w:t>
      </w:r>
      <w:r>
        <w:t>are</w:t>
      </w:r>
      <w:r w:rsidR="00494CC3" w:rsidRPr="00705B49">
        <w:t xml:space="preserve"> no longer obligated to report capital and operational expenditure.</w:t>
      </w:r>
      <w:r w:rsidR="00494CC3" w:rsidRPr="00705B49">
        <w:rPr>
          <w:rStyle w:val="EndnoteReference"/>
        </w:rPr>
        <w:endnoteReference w:id="38"/>
      </w:r>
      <w:r w:rsidR="00494CC3" w:rsidRPr="00705B49">
        <w:t xml:space="preserve"> The change has caused many businesses to discontinue reporting information necessary to compute firm-level productivity growth. This means that a large number of firms report either zero or lower capital and operational expenditure amounts after the reporting change, which causes issues for computing capital and intermediate inputs for productivity growth. BCARR has accounted for this change by using time dummies in its pooled OLS regression estimations, and two-way fixed effects regressions (which factors in both time and individual firm effects)</w:t>
      </w:r>
      <w:r w:rsidR="00494CC3" w:rsidRPr="00705B49">
        <w:rPr>
          <w:rStyle w:val="CommentReference"/>
          <w:sz w:val="18"/>
        </w:rPr>
        <w:t>.</w:t>
      </w:r>
    </w:p>
    <w:p w14:paraId="6777B626" w14:textId="77777777" w:rsidR="00494CC3" w:rsidRPr="00705B49" w:rsidRDefault="00494CC3" w:rsidP="00494CC3">
      <w:r w:rsidRPr="00705B49">
        <w:t>Non-market industries (public administration and safety, education and training and health care and social assistance) were excluded from the analysis. Non-market industries are industries where output is provided either free of charge or at prices not reflective of market value.</w:t>
      </w:r>
      <w:r w:rsidRPr="00705B49">
        <w:rPr>
          <w:rStyle w:val="EndnoteReference"/>
        </w:rPr>
        <w:endnoteReference w:id="39"/>
      </w:r>
      <w:r w:rsidRPr="00705B49">
        <w:t xml:space="preserve"> Consequently, reliable measures for output and deflating nominal values are unavailable in BLADE for these industries. More information</w:t>
      </w:r>
      <w:r w:rsidRPr="00E84AA0">
        <w:t xml:space="preserve"> is included in </w:t>
      </w:r>
      <w:r w:rsidRPr="00E84AA0">
        <w:fldChar w:fldCharType="begin"/>
      </w:r>
      <w:r w:rsidRPr="00E84AA0">
        <w:instrText xml:space="preserve"> REF _Ref107560155 \h  \* MERGEFORMAT </w:instrText>
      </w:r>
      <w:r w:rsidRPr="00E84AA0">
        <w:fldChar w:fldCharType="separate"/>
      </w:r>
      <w:r w:rsidRPr="00E84AA0">
        <w:t>Appendix F: Limitations to the analysis</w:t>
      </w:r>
      <w:r w:rsidRPr="00E84AA0">
        <w:fldChar w:fldCharType="end"/>
      </w:r>
      <w:r w:rsidRPr="00E84AA0">
        <w:t>.</w:t>
      </w:r>
    </w:p>
    <w:p w14:paraId="7693CB35" w14:textId="77777777" w:rsidR="00494CC3" w:rsidRPr="00705B49" w:rsidRDefault="00494CC3" w:rsidP="00494CC3">
      <w:r w:rsidRPr="00705B49">
        <w:fldChar w:fldCharType="begin"/>
      </w:r>
      <w:r w:rsidRPr="00705B49">
        <w:instrText xml:space="preserve"> REF _Ref97643019 \h  \* MERGEFORMAT </w:instrText>
      </w:r>
      <w:r w:rsidRPr="00705B49">
        <w:fldChar w:fldCharType="separate"/>
      </w:r>
      <w:r w:rsidRPr="00705B49">
        <w:t xml:space="preserve">Table </w:t>
      </w:r>
      <w:r w:rsidRPr="00705B49">
        <w:rPr>
          <w:noProof/>
        </w:rPr>
        <w:t>13</w:t>
      </w:r>
      <w:r w:rsidRPr="00705B49">
        <w:fldChar w:fldCharType="end"/>
      </w:r>
      <w:r w:rsidRPr="00705B49">
        <w:t xml:space="preserve"> shows the characteristics of the firms analysed and the differences between the Business Characteristics Survey (BCS) and Australian Business Register (ABR) samples. As mentioned earlier, firms in the BCS sample are a subset of the ABR and tend to have more employees and higher turnover. The BCS sample also has a higher share of firms registered as companies and non-financial corporations. </w:t>
      </w:r>
    </w:p>
    <w:p w14:paraId="1EE7B6AD" w14:textId="77777777" w:rsidR="00494CC3" w:rsidRPr="005C6047" w:rsidRDefault="00494CC3" w:rsidP="00FF191D">
      <w:pPr>
        <w:pStyle w:val="Tablefigureheading"/>
      </w:pPr>
      <w:bookmarkStart w:id="168" w:name="_Ref97643019"/>
      <w:bookmarkStart w:id="169" w:name="_Toc97652733"/>
      <w:bookmarkStart w:id="170" w:name="_Toc115175398"/>
      <w:bookmarkStart w:id="171" w:name="_Toc129767630"/>
      <w:r w:rsidRPr="005C6047">
        <w:t xml:space="preserve">Table </w:t>
      </w:r>
      <w:fldSimple w:instr=" SEQ Table \* ARABIC ">
        <w:r w:rsidRPr="005C6047">
          <w:t>13</w:t>
        </w:r>
      </w:fldSimple>
      <w:bookmarkEnd w:id="168"/>
      <w:r w:rsidRPr="005C6047">
        <w:t>. Firm characteristics</w:t>
      </w:r>
      <w:bookmarkEnd w:id="169"/>
      <w:bookmarkEnd w:id="170"/>
      <w:r w:rsidR="005C6047">
        <w:t>—</w:t>
      </w:r>
      <w:r w:rsidRPr="005C6047">
        <w:t>Business Characteristics Survey (BCS) and Australian Business Register (ABR)</w:t>
      </w:r>
      <w:bookmarkEnd w:id="171"/>
    </w:p>
    <w:tbl>
      <w:tblPr>
        <w:tblStyle w:val="DefaultTable11"/>
        <w:tblW w:w="4788" w:type="pct"/>
        <w:tblLook w:val="04A0" w:firstRow="1" w:lastRow="0" w:firstColumn="1" w:lastColumn="0" w:noHBand="0" w:noVBand="1"/>
        <w:tblDescription w:val="Table 13. Firm characteristics – Business Characteristics Survey (BCS) and Australian Business Register (ABR)"/>
      </w:tblPr>
      <w:tblGrid>
        <w:gridCol w:w="2691"/>
        <w:gridCol w:w="2408"/>
        <w:gridCol w:w="1845"/>
        <w:gridCol w:w="2129"/>
      </w:tblGrid>
      <w:tr w:rsidR="005C6047" w:rsidRPr="00654F9E" w14:paraId="4A5F9D4B" w14:textId="77777777" w:rsidTr="005C604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3A57DF98" w14:textId="77777777" w:rsidR="005C6047" w:rsidRPr="00705B49" w:rsidRDefault="005C6047" w:rsidP="005C6047">
            <w:pPr>
              <w:spacing w:before="40" w:after="40"/>
            </w:pPr>
            <w:r w:rsidRPr="00705B49">
              <w:t>Variable</w:t>
            </w:r>
          </w:p>
        </w:tc>
        <w:tc>
          <w:tcPr>
            <w:tcW w:w="1327" w:type="pct"/>
          </w:tcPr>
          <w:p w14:paraId="58298E67" w14:textId="77777777" w:rsidR="005C6047" w:rsidRPr="00705B49" w:rsidRDefault="005C6047" w:rsidP="005C6047">
            <w:pPr>
              <w:spacing w:before="40" w:after="40"/>
              <w:cnfStyle w:val="100000000000" w:firstRow="1" w:lastRow="0" w:firstColumn="0" w:lastColumn="0" w:oddVBand="0" w:evenVBand="0" w:oddHBand="0" w:evenHBand="0" w:firstRowFirstColumn="0" w:firstRowLastColumn="0" w:lastRowFirstColumn="0" w:lastRowLastColumn="0"/>
            </w:pPr>
            <w:r w:rsidRPr="00705B49">
              <w:t>Category</w:t>
            </w:r>
          </w:p>
        </w:tc>
        <w:tc>
          <w:tcPr>
            <w:tcW w:w="1017" w:type="pct"/>
          </w:tcPr>
          <w:p w14:paraId="4D48EA7F" w14:textId="77777777" w:rsidR="005C6047" w:rsidRPr="00705B49" w:rsidRDefault="005C6047" w:rsidP="005C6047">
            <w:pPr>
              <w:spacing w:before="40" w:after="40"/>
              <w:jc w:val="center"/>
              <w:cnfStyle w:val="100000000000" w:firstRow="1" w:lastRow="0" w:firstColumn="0" w:lastColumn="0" w:oddVBand="0" w:evenVBand="0" w:oddHBand="0" w:evenHBand="0" w:firstRowFirstColumn="0" w:firstRowLastColumn="0" w:lastRowFirstColumn="0" w:lastRowLastColumn="0"/>
            </w:pPr>
            <w:r w:rsidRPr="00705B49">
              <w:t>Share of sampled BCS businesses (%)</w:t>
            </w:r>
          </w:p>
        </w:tc>
        <w:tc>
          <w:tcPr>
            <w:tcW w:w="1173" w:type="pct"/>
          </w:tcPr>
          <w:p w14:paraId="0158E541" w14:textId="77777777" w:rsidR="005C6047" w:rsidRPr="00705B49" w:rsidRDefault="005C6047" w:rsidP="005C6047">
            <w:pPr>
              <w:spacing w:before="40" w:after="40"/>
              <w:jc w:val="center"/>
              <w:cnfStyle w:val="100000000000" w:firstRow="1" w:lastRow="0" w:firstColumn="0" w:lastColumn="0" w:oddVBand="0" w:evenVBand="0" w:oddHBand="0" w:evenHBand="0" w:firstRowFirstColumn="0" w:firstRowLastColumn="0" w:lastRowFirstColumn="0" w:lastRowLastColumn="0"/>
            </w:pPr>
            <w:r w:rsidRPr="00705B49">
              <w:t>Share of ABR businesses (%)</w:t>
            </w:r>
          </w:p>
        </w:tc>
      </w:tr>
      <w:tr w:rsidR="005C6047" w:rsidRPr="00654F9E" w14:paraId="549B1D4F"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5122264E" w14:textId="77777777" w:rsidR="005C6047" w:rsidRPr="008E534F" w:rsidRDefault="005C6047" w:rsidP="005C6047">
            <w:pPr>
              <w:pStyle w:val="Tabletext"/>
            </w:pPr>
            <w:r w:rsidRPr="00705B49">
              <w:t>Firm size or headcount</w:t>
            </w:r>
          </w:p>
        </w:tc>
        <w:tc>
          <w:tcPr>
            <w:tcW w:w="1327" w:type="pct"/>
          </w:tcPr>
          <w:p w14:paraId="26245E65"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0 to 4 employees</w:t>
            </w:r>
          </w:p>
        </w:tc>
        <w:tc>
          <w:tcPr>
            <w:tcW w:w="1017" w:type="pct"/>
          </w:tcPr>
          <w:p w14:paraId="5C461D49"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31</w:t>
            </w:r>
          </w:p>
        </w:tc>
        <w:tc>
          <w:tcPr>
            <w:tcW w:w="1173" w:type="pct"/>
          </w:tcPr>
          <w:p w14:paraId="08DE5622"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52</w:t>
            </w:r>
          </w:p>
        </w:tc>
      </w:tr>
      <w:tr w:rsidR="005C6047" w:rsidRPr="00654F9E" w14:paraId="160FB1F3"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5DC03A10" w14:textId="77777777" w:rsidR="005C6047" w:rsidRPr="008E534F" w:rsidRDefault="005C6047" w:rsidP="005C6047">
            <w:pPr>
              <w:pStyle w:val="Tabletext"/>
            </w:pPr>
            <w:r w:rsidRPr="00705B49">
              <w:t>Firm size or headcount</w:t>
            </w:r>
          </w:p>
        </w:tc>
        <w:tc>
          <w:tcPr>
            <w:tcW w:w="1327" w:type="pct"/>
          </w:tcPr>
          <w:p w14:paraId="328053E7" w14:textId="77777777" w:rsidR="005C6047" w:rsidRPr="00705B49" w:rsidRDefault="005C6047" w:rsidP="005C6047">
            <w:pPr>
              <w:spacing w:before="40" w:after="40"/>
              <w:cnfStyle w:val="000000010000" w:firstRow="0" w:lastRow="0" w:firstColumn="0" w:lastColumn="0" w:oddVBand="0" w:evenVBand="0" w:oddHBand="0" w:evenHBand="1" w:firstRowFirstColumn="0" w:firstRowLastColumn="0" w:lastRowFirstColumn="0" w:lastRowLastColumn="0"/>
            </w:pPr>
            <w:r w:rsidRPr="00705B49">
              <w:t>5 to 19 employees</w:t>
            </w:r>
          </w:p>
        </w:tc>
        <w:tc>
          <w:tcPr>
            <w:tcW w:w="1017" w:type="pct"/>
          </w:tcPr>
          <w:p w14:paraId="001F8177"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26</w:t>
            </w:r>
          </w:p>
        </w:tc>
        <w:tc>
          <w:tcPr>
            <w:tcW w:w="1173" w:type="pct"/>
          </w:tcPr>
          <w:p w14:paraId="53B65CB7"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33</w:t>
            </w:r>
          </w:p>
        </w:tc>
      </w:tr>
      <w:tr w:rsidR="005C6047" w:rsidRPr="00654F9E" w14:paraId="65367B62"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732A747E" w14:textId="77777777" w:rsidR="005C6047" w:rsidRPr="008E534F" w:rsidRDefault="005C6047" w:rsidP="005C6047">
            <w:pPr>
              <w:pStyle w:val="Tabletext"/>
            </w:pPr>
            <w:r w:rsidRPr="00705B49">
              <w:t>Firm size or headcount</w:t>
            </w:r>
          </w:p>
        </w:tc>
        <w:tc>
          <w:tcPr>
            <w:tcW w:w="1327" w:type="pct"/>
          </w:tcPr>
          <w:p w14:paraId="3EC3EEF9"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20 to 199 employees</w:t>
            </w:r>
          </w:p>
        </w:tc>
        <w:tc>
          <w:tcPr>
            <w:tcW w:w="1017" w:type="pct"/>
          </w:tcPr>
          <w:p w14:paraId="7DB3A131"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22</w:t>
            </w:r>
          </w:p>
        </w:tc>
        <w:tc>
          <w:tcPr>
            <w:tcW w:w="1173" w:type="pct"/>
          </w:tcPr>
          <w:p w14:paraId="6F3BD3BA" w14:textId="77777777" w:rsidR="005C6047" w:rsidRPr="00705B49" w:rsidRDefault="005C6047" w:rsidP="005C6047">
            <w:pPr>
              <w:tabs>
                <w:tab w:val="left" w:pos="639"/>
                <w:tab w:val="center" w:pos="737"/>
              </w:tabs>
              <w:spacing w:before="40" w:after="40"/>
              <w:ind w:right="814"/>
              <w:jc w:val="right"/>
              <w:cnfStyle w:val="000000000000" w:firstRow="0" w:lastRow="0" w:firstColumn="0" w:lastColumn="0" w:oddVBand="0" w:evenVBand="0" w:oddHBand="0" w:evenHBand="0" w:firstRowFirstColumn="0" w:firstRowLastColumn="0" w:lastRowFirstColumn="0" w:lastRowLastColumn="0"/>
            </w:pPr>
            <w:r w:rsidRPr="00705B49">
              <w:rPr>
                <w:rFonts w:cs="Calibri"/>
              </w:rPr>
              <w:t>13</w:t>
            </w:r>
          </w:p>
        </w:tc>
      </w:tr>
      <w:tr w:rsidR="005C6047" w:rsidRPr="00654F9E" w14:paraId="62DA1F25"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76283F55" w14:textId="77777777" w:rsidR="005C6047" w:rsidRPr="008E534F" w:rsidRDefault="005C6047" w:rsidP="005C6047">
            <w:pPr>
              <w:pStyle w:val="Tabletext"/>
            </w:pPr>
            <w:r w:rsidRPr="00705B49">
              <w:t>Firm size or headcount</w:t>
            </w:r>
          </w:p>
        </w:tc>
        <w:tc>
          <w:tcPr>
            <w:tcW w:w="1327" w:type="pct"/>
          </w:tcPr>
          <w:p w14:paraId="01128CD4" w14:textId="77777777" w:rsidR="005C6047" w:rsidRPr="00705B49" w:rsidRDefault="005C6047" w:rsidP="005C6047">
            <w:pPr>
              <w:spacing w:before="40" w:after="40"/>
              <w:cnfStyle w:val="000000010000" w:firstRow="0" w:lastRow="0" w:firstColumn="0" w:lastColumn="0" w:oddVBand="0" w:evenVBand="0" w:oddHBand="0" w:evenHBand="1" w:firstRowFirstColumn="0" w:firstRowLastColumn="0" w:lastRowFirstColumn="0" w:lastRowLastColumn="0"/>
            </w:pPr>
            <w:r w:rsidRPr="00705B49">
              <w:t>200 or more employees</w:t>
            </w:r>
          </w:p>
        </w:tc>
        <w:tc>
          <w:tcPr>
            <w:tcW w:w="1017" w:type="pct"/>
          </w:tcPr>
          <w:p w14:paraId="3FB158B0"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pPr>
            <w:r w:rsidRPr="00705B49">
              <w:rPr>
                <w:rFonts w:cs="Calibri"/>
              </w:rPr>
              <w:t>21</w:t>
            </w:r>
          </w:p>
        </w:tc>
        <w:tc>
          <w:tcPr>
            <w:tcW w:w="1173" w:type="pct"/>
          </w:tcPr>
          <w:p w14:paraId="11A43035"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1</w:t>
            </w:r>
          </w:p>
        </w:tc>
      </w:tr>
      <w:tr w:rsidR="005C6047" w:rsidRPr="00654F9E" w14:paraId="6A1DADFD"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64E9A9A1" w14:textId="77777777" w:rsidR="005C6047" w:rsidRPr="008E534F" w:rsidRDefault="005C6047" w:rsidP="005C6047">
            <w:pPr>
              <w:pStyle w:val="Tabletext"/>
            </w:pPr>
            <w:r w:rsidRPr="00705B49">
              <w:t>Turnover size</w:t>
            </w:r>
          </w:p>
        </w:tc>
        <w:tc>
          <w:tcPr>
            <w:tcW w:w="1327" w:type="pct"/>
          </w:tcPr>
          <w:p w14:paraId="731D617F"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Less than $50,000</w:t>
            </w:r>
          </w:p>
        </w:tc>
        <w:tc>
          <w:tcPr>
            <w:tcW w:w="1017" w:type="pct"/>
          </w:tcPr>
          <w:p w14:paraId="49324770"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pPr>
            <w:r w:rsidRPr="00705B49">
              <w:rPr>
                <w:rFonts w:cs="Calibri"/>
              </w:rPr>
              <w:t>5</w:t>
            </w:r>
          </w:p>
        </w:tc>
        <w:tc>
          <w:tcPr>
            <w:tcW w:w="1173" w:type="pct"/>
          </w:tcPr>
          <w:p w14:paraId="28EB68BC"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26</w:t>
            </w:r>
          </w:p>
        </w:tc>
      </w:tr>
      <w:tr w:rsidR="005C6047" w:rsidRPr="00654F9E" w14:paraId="29C1608C"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0FA8BDDF" w14:textId="77777777" w:rsidR="005C6047" w:rsidRPr="008E534F" w:rsidRDefault="005C6047" w:rsidP="005C6047">
            <w:pPr>
              <w:pStyle w:val="Tabletext"/>
            </w:pPr>
            <w:r w:rsidRPr="00705B49">
              <w:t>Turnover size</w:t>
            </w:r>
          </w:p>
        </w:tc>
        <w:tc>
          <w:tcPr>
            <w:tcW w:w="1327" w:type="pct"/>
          </w:tcPr>
          <w:p w14:paraId="5788CA42" w14:textId="77777777" w:rsidR="005C6047" w:rsidRPr="00705B49" w:rsidRDefault="005C6047" w:rsidP="005C6047">
            <w:pPr>
              <w:spacing w:before="40" w:after="40"/>
              <w:cnfStyle w:val="000000010000" w:firstRow="0" w:lastRow="0" w:firstColumn="0" w:lastColumn="0" w:oddVBand="0" w:evenVBand="0" w:oddHBand="0" w:evenHBand="1" w:firstRowFirstColumn="0" w:firstRowLastColumn="0" w:lastRowFirstColumn="0" w:lastRowLastColumn="0"/>
            </w:pPr>
            <w:r w:rsidRPr="00705B49">
              <w:t>Less than $200,000</w:t>
            </w:r>
          </w:p>
        </w:tc>
        <w:tc>
          <w:tcPr>
            <w:tcW w:w="1017" w:type="pct"/>
          </w:tcPr>
          <w:p w14:paraId="35C4334C"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pPr>
            <w:r w:rsidRPr="00705B49">
              <w:rPr>
                <w:rFonts w:cs="Calibri"/>
              </w:rPr>
              <w:t>15</w:t>
            </w:r>
          </w:p>
        </w:tc>
        <w:tc>
          <w:tcPr>
            <w:tcW w:w="1173" w:type="pct"/>
          </w:tcPr>
          <w:p w14:paraId="42F0C4F9"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32</w:t>
            </w:r>
          </w:p>
        </w:tc>
      </w:tr>
      <w:tr w:rsidR="005C6047" w:rsidRPr="00654F9E" w14:paraId="548A5272"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7AA19766" w14:textId="77777777" w:rsidR="005C6047" w:rsidRPr="008E534F" w:rsidRDefault="005C6047" w:rsidP="005C6047">
            <w:pPr>
              <w:pStyle w:val="Tabletext"/>
            </w:pPr>
            <w:r w:rsidRPr="00705B49">
              <w:t>Turnover size</w:t>
            </w:r>
          </w:p>
        </w:tc>
        <w:tc>
          <w:tcPr>
            <w:tcW w:w="1327" w:type="pct"/>
          </w:tcPr>
          <w:p w14:paraId="243A1B45"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Less than $2,000,000</w:t>
            </w:r>
          </w:p>
        </w:tc>
        <w:tc>
          <w:tcPr>
            <w:tcW w:w="1017" w:type="pct"/>
          </w:tcPr>
          <w:p w14:paraId="6434D93E"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pPr>
            <w:r w:rsidRPr="00705B49">
              <w:rPr>
                <w:rFonts w:cs="Calibri"/>
              </w:rPr>
              <w:t>41</w:t>
            </w:r>
          </w:p>
        </w:tc>
        <w:tc>
          <w:tcPr>
            <w:tcW w:w="1173" w:type="pct"/>
          </w:tcPr>
          <w:p w14:paraId="5A7EFBAF"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34</w:t>
            </w:r>
          </w:p>
        </w:tc>
      </w:tr>
      <w:tr w:rsidR="005C6047" w:rsidRPr="00654F9E" w14:paraId="3DA93731"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5989D281" w14:textId="77777777" w:rsidR="005C6047" w:rsidRPr="008E534F" w:rsidRDefault="005C6047" w:rsidP="005C6047">
            <w:pPr>
              <w:pStyle w:val="Tabletext"/>
            </w:pPr>
            <w:r w:rsidRPr="00705B49">
              <w:t>Turnover size</w:t>
            </w:r>
          </w:p>
        </w:tc>
        <w:tc>
          <w:tcPr>
            <w:tcW w:w="1327" w:type="pct"/>
          </w:tcPr>
          <w:p w14:paraId="175D78B5" w14:textId="77777777" w:rsidR="005C6047" w:rsidRPr="00705B49" w:rsidRDefault="005C6047" w:rsidP="005C6047">
            <w:pPr>
              <w:spacing w:before="40" w:after="40"/>
              <w:cnfStyle w:val="000000010000" w:firstRow="0" w:lastRow="0" w:firstColumn="0" w:lastColumn="0" w:oddVBand="0" w:evenVBand="0" w:oddHBand="0" w:evenHBand="1" w:firstRowFirstColumn="0" w:firstRowLastColumn="0" w:lastRowFirstColumn="0" w:lastRowLastColumn="0"/>
            </w:pPr>
            <w:r w:rsidRPr="00705B49">
              <w:t>More than $2,000,000</w:t>
            </w:r>
          </w:p>
        </w:tc>
        <w:tc>
          <w:tcPr>
            <w:tcW w:w="1017" w:type="pct"/>
          </w:tcPr>
          <w:p w14:paraId="77EC630F"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pPr>
            <w:r w:rsidRPr="00705B49">
              <w:rPr>
                <w:rFonts w:cs="Calibri"/>
              </w:rPr>
              <w:t>40</w:t>
            </w:r>
          </w:p>
        </w:tc>
        <w:tc>
          <w:tcPr>
            <w:tcW w:w="1173" w:type="pct"/>
          </w:tcPr>
          <w:p w14:paraId="42A13634"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8</w:t>
            </w:r>
          </w:p>
        </w:tc>
      </w:tr>
      <w:tr w:rsidR="005C6047" w:rsidRPr="00654F9E" w14:paraId="08A5D08A"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1FB72586" w14:textId="77777777" w:rsidR="005C6047" w:rsidRPr="008E534F" w:rsidRDefault="005C6047" w:rsidP="005C6047">
            <w:pPr>
              <w:pStyle w:val="Tabletext"/>
            </w:pPr>
            <w:r w:rsidRPr="00705B49">
              <w:t>Type of legal organisation</w:t>
            </w:r>
          </w:p>
        </w:tc>
        <w:tc>
          <w:tcPr>
            <w:tcW w:w="1327" w:type="pct"/>
          </w:tcPr>
          <w:p w14:paraId="50274D89"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Companies</w:t>
            </w:r>
          </w:p>
        </w:tc>
        <w:tc>
          <w:tcPr>
            <w:tcW w:w="1017" w:type="pct"/>
          </w:tcPr>
          <w:p w14:paraId="0ED66208"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pPr>
            <w:r w:rsidRPr="00705B49">
              <w:rPr>
                <w:rFonts w:cs="Calibri"/>
              </w:rPr>
              <w:t>71</w:t>
            </w:r>
          </w:p>
        </w:tc>
        <w:tc>
          <w:tcPr>
            <w:tcW w:w="1173" w:type="pct"/>
          </w:tcPr>
          <w:p w14:paraId="517B778A"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39</w:t>
            </w:r>
          </w:p>
        </w:tc>
      </w:tr>
      <w:tr w:rsidR="005C6047" w:rsidRPr="00654F9E" w14:paraId="088B9F98"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5C3DE4B8" w14:textId="77777777" w:rsidR="005C6047" w:rsidRPr="008E534F" w:rsidRDefault="005C6047" w:rsidP="005C6047">
            <w:pPr>
              <w:pStyle w:val="Tabletext"/>
            </w:pPr>
            <w:r w:rsidRPr="00705B49">
              <w:t>Type of legal organisation</w:t>
            </w:r>
          </w:p>
        </w:tc>
        <w:tc>
          <w:tcPr>
            <w:tcW w:w="1327" w:type="pct"/>
          </w:tcPr>
          <w:p w14:paraId="4D7C5596" w14:textId="77777777" w:rsidR="005C6047" w:rsidRPr="00705B49" w:rsidRDefault="005C6047" w:rsidP="005C6047">
            <w:pPr>
              <w:spacing w:before="40" w:after="40"/>
              <w:cnfStyle w:val="000000010000" w:firstRow="0" w:lastRow="0" w:firstColumn="0" w:lastColumn="0" w:oddVBand="0" w:evenVBand="0" w:oddHBand="0" w:evenHBand="1" w:firstRowFirstColumn="0" w:firstRowLastColumn="0" w:lastRowFirstColumn="0" w:lastRowLastColumn="0"/>
            </w:pPr>
            <w:r w:rsidRPr="00705B49">
              <w:t>Sole proprietors</w:t>
            </w:r>
          </w:p>
        </w:tc>
        <w:tc>
          <w:tcPr>
            <w:tcW w:w="1017" w:type="pct"/>
          </w:tcPr>
          <w:p w14:paraId="35EC472A"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pPr>
            <w:r w:rsidRPr="00705B49">
              <w:rPr>
                <w:rFonts w:cs="Calibri"/>
              </w:rPr>
              <w:t>6</w:t>
            </w:r>
          </w:p>
        </w:tc>
        <w:tc>
          <w:tcPr>
            <w:tcW w:w="1173" w:type="pct"/>
          </w:tcPr>
          <w:p w14:paraId="4472F0C5"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27</w:t>
            </w:r>
          </w:p>
        </w:tc>
      </w:tr>
      <w:tr w:rsidR="005C6047" w:rsidRPr="00654F9E" w14:paraId="291EF5F8"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6F763E84" w14:textId="77777777" w:rsidR="005C6047" w:rsidRPr="008E534F" w:rsidRDefault="005C6047" w:rsidP="005C6047">
            <w:pPr>
              <w:pStyle w:val="Tabletext"/>
            </w:pPr>
            <w:r w:rsidRPr="00705B49">
              <w:t>Type of legal organisation</w:t>
            </w:r>
          </w:p>
        </w:tc>
        <w:tc>
          <w:tcPr>
            <w:tcW w:w="1327" w:type="pct"/>
          </w:tcPr>
          <w:p w14:paraId="264945EA"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Partnerships</w:t>
            </w:r>
          </w:p>
        </w:tc>
        <w:tc>
          <w:tcPr>
            <w:tcW w:w="1017" w:type="pct"/>
          </w:tcPr>
          <w:p w14:paraId="640BF481"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pPr>
            <w:r w:rsidRPr="00705B49">
              <w:rPr>
                <w:rFonts w:cs="Calibri"/>
              </w:rPr>
              <w:t>6</w:t>
            </w:r>
          </w:p>
        </w:tc>
        <w:tc>
          <w:tcPr>
            <w:tcW w:w="1173" w:type="pct"/>
          </w:tcPr>
          <w:p w14:paraId="39AFD22E"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11</w:t>
            </w:r>
          </w:p>
        </w:tc>
      </w:tr>
      <w:tr w:rsidR="005C6047" w:rsidRPr="00654F9E" w14:paraId="33239ABE"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23CEFAF8" w14:textId="77777777" w:rsidR="005C6047" w:rsidRPr="008E534F" w:rsidRDefault="005C6047" w:rsidP="005C6047">
            <w:pPr>
              <w:pStyle w:val="Tabletext"/>
            </w:pPr>
            <w:r w:rsidRPr="00705B49">
              <w:t>Type of legal organisation</w:t>
            </w:r>
          </w:p>
        </w:tc>
        <w:tc>
          <w:tcPr>
            <w:tcW w:w="1327" w:type="pct"/>
          </w:tcPr>
          <w:p w14:paraId="567EC7B2" w14:textId="77777777" w:rsidR="005C6047" w:rsidRPr="00705B49" w:rsidRDefault="005C6047" w:rsidP="005C6047">
            <w:pPr>
              <w:spacing w:before="40" w:after="40"/>
              <w:cnfStyle w:val="000000010000" w:firstRow="0" w:lastRow="0" w:firstColumn="0" w:lastColumn="0" w:oddVBand="0" w:evenVBand="0" w:oddHBand="0" w:evenHBand="1" w:firstRowFirstColumn="0" w:firstRowLastColumn="0" w:lastRowFirstColumn="0" w:lastRowLastColumn="0"/>
            </w:pPr>
            <w:r w:rsidRPr="00705B49">
              <w:t>Trusts</w:t>
            </w:r>
          </w:p>
        </w:tc>
        <w:tc>
          <w:tcPr>
            <w:tcW w:w="1017" w:type="pct"/>
          </w:tcPr>
          <w:p w14:paraId="58BFDC11"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pPr>
            <w:r w:rsidRPr="00705B49">
              <w:rPr>
                <w:rFonts w:cs="Calibri"/>
              </w:rPr>
              <w:t>17</w:t>
            </w:r>
          </w:p>
        </w:tc>
        <w:tc>
          <w:tcPr>
            <w:tcW w:w="1173" w:type="pct"/>
          </w:tcPr>
          <w:p w14:paraId="536A614D"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23</w:t>
            </w:r>
          </w:p>
        </w:tc>
      </w:tr>
      <w:tr w:rsidR="005C6047" w:rsidRPr="00654F9E" w14:paraId="14784A18"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77F447B5" w14:textId="77777777" w:rsidR="005C6047" w:rsidRPr="008E534F" w:rsidRDefault="005C6047" w:rsidP="005C6047">
            <w:pPr>
              <w:pStyle w:val="Tabletext"/>
            </w:pPr>
            <w:r w:rsidRPr="00705B49">
              <w:t>Institutional sector</w:t>
            </w:r>
          </w:p>
        </w:tc>
        <w:tc>
          <w:tcPr>
            <w:tcW w:w="1327" w:type="pct"/>
          </w:tcPr>
          <w:p w14:paraId="716FDF0A"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Non-financial corporations</w:t>
            </w:r>
          </w:p>
        </w:tc>
        <w:tc>
          <w:tcPr>
            <w:tcW w:w="1017" w:type="pct"/>
          </w:tcPr>
          <w:p w14:paraId="6BCC7F3C"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pPr>
            <w:r w:rsidRPr="00705B49">
              <w:rPr>
                <w:rFonts w:cs="Calibri"/>
              </w:rPr>
              <w:t>93</w:t>
            </w:r>
          </w:p>
        </w:tc>
        <w:tc>
          <w:tcPr>
            <w:tcW w:w="1173" w:type="pct"/>
          </w:tcPr>
          <w:p w14:paraId="1F3A23B3"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79</w:t>
            </w:r>
          </w:p>
        </w:tc>
      </w:tr>
      <w:tr w:rsidR="005C6047" w:rsidRPr="00654F9E" w14:paraId="2FA189B7"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83" w:type="pct"/>
          </w:tcPr>
          <w:p w14:paraId="65BF39CE" w14:textId="77777777" w:rsidR="005C6047" w:rsidRPr="008E534F" w:rsidRDefault="005C6047" w:rsidP="005C6047">
            <w:pPr>
              <w:pStyle w:val="Tabletext"/>
            </w:pPr>
            <w:r w:rsidRPr="00705B49">
              <w:t>Institutional sector</w:t>
            </w:r>
          </w:p>
        </w:tc>
        <w:tc>
          <w:tcPr>
            <w:tcW w:w="1327" w:type="pct"/>
          </w:tcPr>
          <w:p w14:paraId="741991CA" w14:textId="77777777" w:rsidR="005C6047" w:rsidRPr="00705B49" w:rsidRDefault="005C6047" w:rsidP="005C6047">
            <w:pPr>
              <w:spacing w:before="40" w:after="40"/>
              <w:cnfStyle w:val="000000010000" w:firstRow="0" w:lastRow="0" w:firstColumn="0" w:lastColumn="0" w:oddVBand="0" w:evenVBand="0" w:oddHBand="0" w:evenHBand="1" w:firstRowFirstColumn="0" w:firstRowLastColumn="0" w:lastRowFirstColumn="0" w:lastRowLastColumn="0"/>
            </w:pPr>
            <w:r w:rsidRPr="00705B49">
              <w:t>Financial corporations</w:t>
            </w:r>
          </w:p>
        </w:tc>
        <w:tc>
          <w:tcPr>
            <w:tcW w:w="1017" w:type="pct"/>
          </w:tcPr>
          <w:p w14:paraId="13FAD930"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pPr>
            <w:r w:rsidRPr="00705B49">
              <w:rPr>
                <w:rFonts w:cs="Calibri"/>
              </w:rPr>
              <w:t>5</w:t>
            </w:r>
          </w:p>
        </w:tc>
        <w:tc>
          <w:tcPr>
            <w:tcW w:w="1173" w:type="pct"/>
          </w:tcPr>
          <w:p w14:paraId="196AC202" w14:textId="77777777" w:rsidR="005C6047" w:rsidRPr="00705B49" w:rsidRDefault="005C6047" w:rsidP="005C6047">
            <w:pPr>
              <w:spacing w:before="40" w:after="40"/>
              <w:ind w:right="814"/>
              <w:jc w:val="right"/>
              <w:cnfStyle w:val="000000010000" w:firstRow="0" w:lastRow="0" w:firstColumn="0" w:lastColumn="0" w:oddVBand="0" w:evenVBand="0" w:oddHBand="0" w:evenHBand="1" w:firstRowFirstColumn="0" w:firstRowLastColumn="0" w:lastRowFirstColumn="0" w:lastRowLastColumn="0"/>
              <w:rPr>
                <w:rFonts w:cs="Calibri"/>
              </w:rPr>
            </w:pPr>
            <w:r w:rsidRPr="00705B49">
              <w:rPr>
                <w:rFonts w:cs="Calibri"/>
              </w:rPr>
              <w:t>18</w:t>
            </w:r>
          </w:p>
        </w:tc>
      </w:tr>
      <w:tr w:rsidR="005C6047" w:rsidRPr="00654F9E" w14:paraId="59A060C7"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483" w:type="pct"/>
          </w:tcPr>
          <w:p w14:paraId="632CF3CA" w14:textId="77777777" w:rsidR="005C6047" w:rsidRPr="008E534F" w:rsidRDefault="005C6047" w:rsidP="005C6047">
            <w:pPr>
              <w:pStyle w:val="Tabletext"/>
            </w:pPr>
            <w:r w:rsidRPr="00705B49">
              <w:t>Institutional sector</w:t>
            </w:r>
          </w:p>
        </w:tc>
        <w:tc>
          <w:tcPr>
            <w:tcW w:w="1327" w:type="pct"/>
          </w:tcPr>
          <w:p w14:paraId="4E918312" w14:textId="77777777" w:rsidR="005C6047" w:rsidRPr="00705B49" w:rsidRDefault="005C6047" w:rsidP="005C6047">
            <w:pPr>
              <w:spacing w:before="40" w:after="40"/>
              <w:cnfStyle w:val="000000000000" w:firstRow="0" w:lastRow="0" w:firstColumn="0" w:lastColumn="0" w:oddVBand="0" w:evenVBand="0" w:oddHBand="0" w:evenHBand="0" w:firstRowFirstColumn="0" w:firstRowLastColumn="0" w:lastRowFirstColumn="0" w:lastRowLastColumn="0"/>
            </w:pPr>
            <w:r w:rsidRPr="00705B49">
              <w:t>Households</w:t>
            </w:r>
          </w:p>
        </w:tc>
        <w:tc>
          <w:tcPr>
            <w:tcW w:w="1017" w:type="pct"/>
          </w:tcPr>
          <w:p w14:paraId="3F5E1897"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pPr>
            <w:r w:rsidRPr="00705B49">
              <w:rPr>
                <w:rFonts w:cs="Calibri"/>
              </w:rPr>
              <w:t>3</w:t>
            </w:r>
          </w:p>
        </w:tc>
        <w:tc>
          <w:tcPr>
            <w:tcW w:w="1173" w:type="pct"/>
          </w:tcPr>
          <w:p w14:paraId="17E22489" w14:textId="77777777" w:rsidR="005C6047" w:rsidRPr="00705B49" w:rsidRDefault="005C6047" w:rsidP="005C6047">
            <w:pPr>
              <w:spacing w:before="40" w:after="40"/>
              <w:ind w:right="814"/>
              <w:jc w:val="right"/>
              <w:cnfStyle w:val="000000000000" w:firstRow="0" w:lastRow="0" w:firstColumn="0" w:lastColumn="0" w:oddVBand="0" w:evenVBand="0" w:oddHBand="0" w:evenHBand="0" w:firstRowFirstColumn="0" w:firstRowLastColumn="0" w:lastRowFirstColumn="0" w:lastRowLastColumn="0"/>
              <w:rPr>
                <w:rFonts w:cs="Calibri"/>
              </w:rPr>
            </w:pPr>
            <w:r w:rsidRPr="00705B49">
              <w:rPr>
                <w:rFonts w:cs="Calibri"/>
              </w:rPr>
              <w:t>3</w:t>
            </w:r>
          </w:p>
        </w:tc>
      </w:tr>
    </w:tbl>
    <w:p w14:paraId="78AD974B" w14:textId="77777777" w:rsidR="00494CC3" w:rsidRPr="00705B49" w:rsidRDefault="00494CC3" w:rsidP="00494CC3">
      <w:pPr>
        <w:pStyle w:val="Sourcenotes"/>
        <w:rPr>
          <w:lang w:val="en-AU"/>
        </w:rPr>
      </w:pPr>
      <w:r w:rsidRPr="00705B49">
        <w:rPr>
          <w:lang w:val="en-AU"/>
        </w:rPr>
        <w:t>Source: BLADE and ABS counts of Australian businesses, entries and exits. All data is for 2018–19 (to not be impacted by any structural changes due to COVID-19). Turnover data is in nominal terms and does not contain imputed information.</w:t>
      </w:r>
    </w:p>
    <w:p w14:paraId="369212C1" w14:textId="77777777" w:rsidR="00494CC3" w:rsidRPr="00705B49" w:rsidRDefault="00494CC3" w:rsidP="00494CC3">
      <w:r w:rsidRPr="00705B49">
        <w:lastRenderedPageBreak/>
        <w:fldChar w:fldCharType="begin"/>
      </w:r>
      <w:r w:rsidRPr="00705B49">
        <w:instrText xml:space="preserve"> REF _Ref111812753 \h </w:instrText>
      </w:r>
      <w:r>
        <w:instrText xml:space="preserve"> \* MERGEFORMAT </w:instrText>
      </w:r>
      <w:r w:rsidRPr="00705B49">
        <w:fldChar w:fldCharType="separate"/>
      </w:r>
      <w:r w:rsidRPr="00705B49">
        <w:t xml:space="preserve">Figure </w:t>
      </w:r>
      <w:r w:rsidRPr="00705B49">
        <w:rPr>
          <w:noProof/>
        </w:rPr>
        <w:t>9</w:t>
      </w:r>
      <w:r w:rsidRPr="00705B49">
        <w:fldChar w:fldCharType="end"/>
      </w:r>
      <w:r w:rsidRPr="00705B49">
        <w:t xml:space="preserve"> also shows significant industry differences between the BCS and the ABR. Businesses in mining; manufacturing; electricity, gas, water and waste services; wholesale trade; information media and telecommunications; and arts and recreation services were over-represented in the BCS compared with the ABR. In comparison, a lower share of BCS businesses came from construction; and rental, hiring and real estate services – industries characterised by small firms and sole proprietors.</w:t>
      </w:r>
      <w:r w:rsidRPr="00705B49" w:rsidDel="000764CF">
        <w:t xml:space="preserve"> </w:t>
      </w:r>
      <w:r w:rsidRPr="00705B49">
        <w:t>In practice, this means that median productivity across the BCS sample is biased towards these overrepresented industries.</w:t>
      </w:r>
    </w:p>
    <w:p w14:paraId="1CE64F5B" w14:textId="77777777" w:rsidR="00494CC3" w:rsidRDefault="00494CC3" w:rsidP="00FF191D">
      <w:pPr>
        <w:pStyle w:val="Tablefigureheading"/>
      </w:pPr>
      <w:bookmarkStart w:id="172" w:name="_Ref111812753"/>
      <w:bookmarkStart w:id="173" w:name="_Toc97652734"/>
      <w:bookmarkStart w:id="174" w:name="_Toc115175399"/>
      <w:bookmarkStart w:id="175" w:name="_Toc129767631"/>
      <w:r w:rsidRPr="00705B49">
        <w:t xml:space="preserve">Figure </w:t>
      </w:r>
      <w:fldSimple w:instr=" SEQ Figure \* ARABIC ">
        <w:r w:rsidRPr="00705B49">
          <w:rPr>
            <w:noProof/>
          </w:rPr>
          <w:t>9</w:t>
        </w:r>
      </w:fldSimple>
      <w:bookmarkEnd w:id="172"/>
      <w:r w:rsidRPr="00705B49">
        <w:t>. Share of businesses by industry from the Business Characteristics Survey (BCS) and Australian Business Register (ABR)</w:t>
      </w:r>
      <w:bookmarkEnd w:id="173"/>
      <w:bookmarkEnd w:id="174"/>
      <w:bookmarkEnd w:id="175"/>
    </w:p>
    <w:p w14:paraId="4A7F1659" w14:textId="77777777" w:rsidR="005C6047" w:rsidRPr="005C6047" w:rsidRDefault="005C6047" w:rsidP="005C6047">
      <w:pPr>
        <w:pStyle w:val="NoSpacing"/>
      </w:pPr>
      <w:r>
        <w:rPr>
          <w:noProof/>
        </w:rPr>
        <w:drawing>
          <wp:inline distT="0" distB="0" distL="0" distR="0" wp14:anchorId="0A03972A" wp14:editId="46CAE26D">
            <wp:extent cx="6016625" cy="3124200"/>
            <wp:effectExtent l="0" t="0" r="3175" b="0"/>
            <wp:docPr id="14" name="Picture 14" descr="This bar chart shows the composition of the Business Characteristics Survey (BCS) and Australian Business Register (ABR) by industry. &#10;Businesses in mining; manufacturing; electricity, gas, water and waste services; wholesale trade; information media and telecommunications; and arts and recreation services were over-represented in the BCS compared with the ABR. In comparison, a lower share of BCS businesses came from construction; and rental, hiring and real estate services – industries characterised by small firms and sole proprie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16625" cy="3124200"/>
                    </a:xfrm>
                    <a:prstGeom prst="rect">
                      <a:avLst/>
                    </a:prstGeom>
                  </pic:spPr>
                </pic:pic>
              </a:graphicData>
            </a:graphic>
          </wp:inline>
        </w:drawing>
      </w:r>
    </w:p>
    <w:p w14:paraId="08892855" w14:textId="77777777" w:rsidR="00494CC3" w:rsidRPr="00705B49" w:rsidRDefault="00494CC3" w:rsidP="005C6047">
      <w:pPr>
        <w:pStyle w:val="Sourcenotes"/>
      </w:pPr>
      <w:r w:rsidRPr="006539A3">
        <w:t>Source: BLADE and ABS counts of Australian businesses, entries and exits. All data is for 2018–19.</w:t>
      </w:r>
    </w:p>
    <w:p w14:paraId="10DCE9BF" w14:textId="77777777" w:rsidR="00494CC3" w:rsidRPr="00705B49" w:rsidRDefault="00494CC3" w:rsidP="00494CC3">
      <w:pPr>
        <w:rPr>
          <w:sz w:val="16"/>
        </w:rPr>
      </w:pPr>
      <w:r w:rsidRPr="00705B49">
        <w:br w:type="page"/>
      </w:r>
    </w:p>
    <w:p w14:paraId="060005F4" w14:textId="77777777" w:rsidR="00494CC3" w:rsidRPr="00705B49" w:rsidRDefault="00494CC3" w:rsidP="005C6047">
      <w:pPr>
        <w:pStyle w:val="Heading2"/>
      </w:pPr>
      <w:bookmarkStart w:id="176" w:name="_Toc90041216"/>
      <w:bookmarkStart w:id="177" w:name="_Toc97652764"/>
      <w:bookmarkStart w:id="178" w:name="_Ref107384387"/>
      <w:bookmarkStart w:id="179" w:name="_Ref109851745"/>
      <w:bookmarkStart w:id="180" w:name="_Ref109891089"/>
      <w:bookmarkStart w:id="181" w:name="_Ref109891282"/>
      <w:bookmarkStart w:id="182" w:name="_Ref125557415"/>
      <w:bookmarkStart w:id="183" w:name="_Toc127374094"/>
      <w:bookmarkStart w:id="184" w:name="_Toc129777697"/>
      <w:r w:rsidRPr="00705B49">
        <w:lastRenderedPageBreak/>
        <w:t>Appendix D: Broadband technology and productivity</w:t>
      </w:r>
      <w:bookmarkEnd w:id="176"/>
      <w:r w:rsidRPr="00705B49">
        <w:t xml:space="preserve"> growth relationship</w:t>
      </w:r>
      <w:bookmarkEnd w:id="177"/>
      <w:bookmarkEnd w:id="178"/>
      <w:bookmarkEnd w:id="179"/>
      <w:bookmarkEnd w:id="180"/>
      <w:bookmarkEnd w:id="181"/>
      <w:bookmarkEnd w:id="182"/>
      <w:bookmarkEnd w:id="183"/>
      <w:bookmarkEnd w:id="184"/>
    </w:p>
    <w:p w14:paraId="49F112A5" w14:textId="77777777" w:rsidR="00494CC3" w:rsidRPr="00705B49" w:rsidRDefault="00494CC3" w:rsidP="00494CC3">
      <w:r w:rsidRPr="00705B49">
        <w:t>Multiple models were used to assess the impacts of broadband technology on firm-level productivity growth. Regression models are of the following form:</w:t>
      </w:r>
    </w:p>
    <w:p w14:paraId="406515D7" w14:textId="77777777" w:rsidR="00494CC3" w:rsidRPr="00705B49" w:rsidRDefault="00494CC3" w:rsidP="00494CC3">
      <w:pPr>
        <w:rPr>
          <w:rFonts w:eastAsiaTheme="minorEastAsia"/>
        </w:rPr>
      </w:pPr>
      <m:oMathPara>
        <m:oMath>
          <m:r>
            <w:rPr>
              <w:rFonts w:ascii="Cambria Math" w:hAnsi="Cambria Math"/>
            </w:rPr>
            <m:t xml:space="preserve">Y=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j</m:t>
              </m:r>
            </m:sub>
          </m:sSub>
          <m:sSub>
            <m:sSubPr>
              <m:ctrlPr>
                <w:rPr>
                  <w:rFonts w:ascii="Cambria Math" w:hAnsi="Cambria Math"/>
                  <w:i/>
                </w:rPr>
              </m:ctrlPr>
            </m:sSubPr>
            <m:e>
              <m:r>
                <w:rPr>
                  <w:rFonts w:ascii="Cambria Math" w:hAnsi="Cambria Math"/>
                </w:rPr>
                <m:t>Controls</m:t>
              </m:r>
            </m:e>
            <m:sub>
              <m:r>
                <w:rPr>
                  <w:rFonts w:ascii="Cambria Math" w:hAnsi="Cambria Math"/>
                </w:rPr>
                <m:t>j</m:t>
              </m:r>
            </m:sub>
          </m:sSub>
        </m:oMath>
      </m:oMathPara>
    </w:p>
    <w:p w14:paraId="0103A10A" w14:textId="77777777" w:rsidR="00494CC3" w:rsidRPr="00705B49" w:rsidRDefault="00494CC3" w:rsidP="00494CC3">
      <w:r w:rsidRPr="00705B49">
        <w:t xml:space="preserve">where the terms </w:t>
      </w:r>
      <m:oMath>
        <m:r>
          <w:rPr>
            <w:rFonts w:ascii="Cambria Math" w:hAnsi="Cambria Math"/>
          </w:rPr>
          <m:t>β,μ</m:t>
        </m:r>
      </m:oMath>
      <w:r w:rsidRPr="00705B49">
        <w:t xml:space="preserve"> are the set of coefficients which are estimated using pooled OLS. The dependent variable </w:t>
      </w:r>
      <m:oMath>
        <m:r>
          <w:rPr>
            <w:rFonts w:ascii="Cambria Math" w:hAnsi="Cambria Math"/>
          </w:rPr>
          <m:t>Y</m:t>
        </m:r>
      </m:oMath>
      <w:r w:rsidRPr="00705B49">
        <w:t xml:space="preserve"> represents MFP growth or LP growth, depending on the model estimated. These dependent variables are constructed to give a holistic view of firm-level performance and is consistent with other studies that have examined the relationship between connection technology and productivity growth.</w:t>
      </w:r>
      <w:r w:rsidRPr="00705B49">
        <w:rPr>
          <w:rStyle w:val="EndnoteReference"/>
        </w:rPr>
        <w:endnoteReference w:id="40"/>
      </w:r>
      <w:r w:rsidRPr="00705B49">
        <w:t xml:space="preserve"> Fixed-effects regressions were also used.</w:t>
      </w:r>
    </w:p>
    <w:p w14:paraId="0345BE80" w14:textId="77777777" w:rsidR="00494CC3" w:rsidRPr="00705B49" w:rsidRDefault="00494CC3" w:rsidP="00494CC3">
      <w:r w:rsidRPr="00705B49">
        <w:rPr>
          <w:i/>
        </w:rPr>
        <w:t>X</w:t>
      </w:r>
      <w:r w:rsidRPr="00705B49">
        <w:rPr>
          <w:i/>
          <w:vertAlign w:val="subscript"/>
        </w:rPr>
        <w:t>i</w:t>
      </w:r>
      <w:r w:rsidRPr="00705B49">
        <w:t xml:space="preserve"> represents a selection of broadband identifier dummy variables that were tested. This is analogous to the approach taken by </w:t>
      </w:r>
      <w:proofErr w:type="spellStart"/>
      <w:r w:rsidRPr="00705B49">
        <w:t>Canzian</w:t>
      </w:r>
      <w:proofErr w:type="spellEnd"/>
      <w:r w:rsidRPr="00705B49">
        <w:t xml:space="preserve"> et al.</w:t>
      </w:r>
      <w:r w:rsidRPr="00705B49">
        <w:rPr>
          <w:rStyle w:val="EndnoteReference"/>
        </w:rPr>
        <w:endnoteReference w:id="41"/>
      </w:r>
      <w:r w:rsidRPr="00705B49">
        <w:t xml:space="preserve"> The coefficients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Pr="00705B49">
        <w:t xml:space="preserve"> and their statistical significance show the magnitude and certainty of the influence of broadband on productivity growth. </w:t>
      </w:r>
      <w:r w:rsidRPr="00705B49">
        <w:fldChar w:fldCharType="begin"/>
      </w:r>
      <w:r w:rsidRPr="00705B49">
        <w:instrText xml:space="preserve"> REF _Ref97648645 \h  \* MERGEFORMAT </w:instrText>
      </w:r>
      <w:r w:rsidRPr="00705B49">
        <w:fldChar w:fldCharType="separate"/>
      </w:r>
      <w:r w:rsidRPr="00705B49">
        <w:t xml:space="preserve">Table </w:t>
      </w:r>
      <w:r w:rsidRPr="00705B49">
        <w:rPr>
          <w:noProof/>
        </w:rPr>
        <w:t>14</w:t>
      </w:r>
      <w:r w:rsidRPr="00705B49">
        <w:fldChar w:fldCharType="end"/>
      </w:r>
      <w:r w:rsidRPr="00705B49">
        <w:t xml:space="preserve"> gives an overview of the different broadband identifier dummies that were used.</w:t>
      </w:r>
    </w:p>
    <w:p w14:paraId="25A9DB04" w14:textId="77777777" w:rsidR="00494CC3" w:rsidRPr="00705B49" w:rsidRDefault="00494CC3" w:rsidP="00FF191D">
      <w:pPr>
        <w:pStyle w:val="Tablefigureheading"/>
      </w:pPr>
      <w:bookmarkStart w:id="185" w:name="_Ref97648645"/>
      <w:bookmarkStart w:id="186" w:name="_Toc97652735"/>
      <w:bookmarkStart w:id="187" w:name="_Toc115175400"/>
      <w:bookmarkStart w:id="188" w:name="_Toc129767632"/>
      <w:bookmarkStart w:id="189" w:name="_Hlk107410360"/>
      <w:r w:rsidRPr="00705B49">
        <w:t xml:space="preserve">Table </w:t>
      </w:r>
      <w:fldSimple w:instr=" SEQ Table \* ARABIC ">
        <w:r w:rsidRPr="00705B49">
          <w:rPr>
            <w:noProof/>
          </w:rPr>
          <w:t>14</w:t>
        </w:r>
      </w:fldSimple>
      <w:bookmarkEnd w:id="185"/>
      <w:r w:rsidRPr="00705B49">
        <w:t>. Broadband variables used in regression models</w:t>
      </w:r>
      <w:bookmarkEnd w:id="186"/>
      <w:bookmarkEnd w:id="187"/>
      <w:bookmarkEnd w:id="188"/>
    </w:p>
    <w:tbl>
      <w:tblPr>
        <w:tblStyle w:val="DefaultTable1"/>
        <w:tblW w:w="0" w:type="auto"/>
        <w:tblLook w:val="04A0" w:firstRow="1" w:lastRow="0" w:firstColumn="1" w:lastColumn="0" w:noHBand="0" w:noVBand="1"/>
        <w:tblCaption w:val="Table 14. Broadband variables used in regression models"/>
      </w:tblPr>
      <w:tblGrid>
        <w:gridCol w:w="2599"/>
        <w:gridCol w:w="3000"/>
        <w:gridCol w:w="3876"/>
      </w:tblGrid>
      <w:tr w:rsidR="00494CC3" w:rsidRPr="00705B49" w14:paraId="29BFE601"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595959" w:themeColor="text1" w:themeTint="A6"/>
            </w:tcBorders>
            <w:shd w:val="clear" w:color="auto" w:fill="081E3E"/>
          </w:tcPr>
          <w:p w14:paraId="0043F55E" w14:textId="77777777" w:rsidR="00494CC3" w:rsidRPr="00705B49" w:rsidRDefault="00494CC3" w:rsidP="00494CC3">
            <w:r w:rsidRPr="00705B49">
              <w:t>Broadband variable (</w:t>
            </w:r>
            <w:r w:rsidRPr="00705B49">
              <w:rPr>
                <w:i/>
              </w:rPr>
              <w:t>X</w:t>
            </w:r>
            <w:r w:rsidRPr="00705B49">
              <w:rPr>
                <w:i/>
                <w:vertAlign w:val="subscript"/>
              </w:rPr>
              <w:t>i</w:t>
            </w:r>
            <w:r w:rsidRPr="00705B49">
              <w:t>)</w:t>
            </w:r>
          </w:p>
        </w:tc>
        <w:tc>
          <w:tcPr>
            <w:tcW w:w="3118" w:type="dxa"/>
            <w:tcBorders>
              <w:bottom w:val="single" w:sz="4" w:space="0" w:color="595959" w:themeColor="text1" w:themeTint="A6"/>
            </w:tcBorders>
            <w:shd w:val="clear" w:color="auto" w:fill="081E3E"/>
          </w:tcPr>
          <w:p w14:paraId="4A28D839" w14:textId="77777777" w:rsidR="00494CC3" w:rsidRPr="00705B49" w:rsidRDefault="00494CC3" w:rsidP="00494CC3">
            <w:pPr>
              <w:cnfStyle w:val="100000000000" w:firstRow="1" w:lastRow="0" w:firstColumn="0" w:lastColumn="0" w:oddVBand="0" w:evenVBand="0" w:oddHBand="0" w:evenHBand="0" w:firstRowFirstColumn="0" w:firstRowLastColumn="0" w:lastRowFirstColumn="0" w:lastRowLastColumn="0"/>
            </w:pPr>
            <w:r w:rsidRPr="00705B49">
              <w:t>Sample</w:t>
            </w:r>
          </w:p>
        </w:tc>
        <w:tc>
          <w:tcPr>
            <w:tcW w:w="4042" w:type="dxa"/>
            <w:tcBorders>
              <w:bottom w:val="single" w:sz="4" w:space="0" w:color="595959" w:themeColor="text1" w:themeTint="A6"/>
            </w:tcBorders>
            <w:shd w:val="clear" w:color="auto" w:fill="081E3E"/>
          </w:tcPr>
          <w:p w14:paraId="1BFBE654" w14:textId="77777777" w:rsidR="00494CC3" w:rsidRPr="00705B49" w:rsidRDefault="00494CC3" w:rsidP="00494CC3">
            <w:pPr>
              <w:cnfStyle w:val="100000000000" w:firstRow="1" w:lastRow="0" w:firstColumn="0" w:lastColumn="0" w:oddVBand="0" w:evenVBand="0" w:oddHBand="0" w:evenHBand="0" w:firstRowFirstColumn="0" w:firstRowLastColumn="0" w:lastRowFirstColumn="0" w:lastRowLastColumn="0"/>
            </w:pPr>
            <w:r w:rsidRPr="00705B49">
              <w:t>Interpretation</w:t>
            </w:r>
          </w:p>
        </w:tc>
      </w:tr>
      <w:tr w:rsidR="00494CC3" w:rsidRPr="00705B49" w14:paraId="0C182912" w14:textId="77777777" w:rsidTr="00747265">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4BB3B5"/>
            </w:tcBorders>
          </w:tcPr>
          <w:p w14:paraId="41E784C3" w14:textId="77777777" w:rsidR="00494CC3" w:rsidRPr="00705B49" w:rsidRDefault="00494CC3" w:rsidP="00494CC3">
            <w:pPr>
              <w:rPr>
                <w:b w:val="0"/>
              </w:rPr>
            </w:pPr>
            <w:r w:rsidRPr="00705B49">
              <w:rPr>
                <w:i/>
              </w:rPr>
              <w:t>X</w:t>
            </w:r>
            <w:r w:rsidRPr="00705B49">
              <w:rPr>
                <w:i/>
                <w:vertAlign w:val="subscript"/>
              </w:rPr>
              <w:t>1</w:t>
            </w:r>
            <w:r w:rsidRPr="00705B49">
              <w:t xml:space="preserve"> </w:t>
            </w:r>
            <w:r w:rsidRPr="00705B49">
              <w:rPr>
                <w:b w:val="0"/>
              </w:rPr>
              <w:t>Broadband technology</w:t>
            </w:r>
          </w:p>
        </w:tc>
        <w:tc>
          <w:tcPr>
            <w:tcW w:w="3118" w:type="dxa"/>
            <w:tcBorders>
              <w:bottom w:val="single" w:sz="4" w:space="0" w:color="4BB3B5"/>
            </w:tcBorders>
          </w:tcPr>
          <w:p w14:paraId="69DD02DB"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BCS respondents</w:t>
            </w:r>
          </w:p>
        </w:tc>
        <w:tc>
          <w:tcPr>
            <w:tcW w:w="4042" w:type="dxa"/>
            <w:tcBorders>
              <w:bottom w:val="single" w:sz="4" w:space="0" w:color="4BB3B5"/>
            </w:tcBorders>
          </w:tcPr>
          <w:p w14:paraId="5EC3797A"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 xml:space="preserve">6 dummy variables, indicating the presence of either: </w:t>
            </w:r>
            <w:r>
              <w:t>n</w:t>
            </w:r>
            <w:r w:rsidRPr="00705B49">
              <w:t xml:space="preserve">o Broadband, DSL, Fibre, HFC, Mobile Wireless, fixed wireless or satellite. </w:t>
            </w:r>
          </w:p>
        </w:tc>
      </w:tr>
      <w:tr w:rsidR="00494CC3" w:rsidRPr="00705B49" w14:paraId="3319C75D"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4BB3B5"/>
              <w:bottom w:val="single" w:sz="4" w:space="0" w:color="4BB3B5"/>
            </w:tcBorders>
          </w:tcPr>
          <w:p w14:paraId="15EC52A9" w14:textId="77777777" w:rsidR="00494CC3" w:rsidRPr="00705B49" w:rsidRDefault="00494CC3" w:rsidP="00494CC3">
            <w:pPr>
              <w:rPr>
                <w:b w:val="0"/>
              </w:rPr>
            </w:pPr>
            <w:r w:rsidRPr="00705B49">
              <w:rPr>
                <w:i/>
              </w:rPr>
              <w:t>X</w:t>
            </w:r>
            <w:r w:rsidRPr="00705B49">
              <w:rPr>
                <w:i/>
                <w:vertAlign w:val="subscript"/>
              </w:rPr>
              <w:t>2</w:t>
            </w:r>
            <w:r w:rsidRPr="00705B49">
              <w:t xml:space="preserve"> </w:t>
            </w:r>
            <w:r w:rsidRPr="00705B49">
              <w:rPr>
                <w:b w:val="0"/>
              </w:rPr>
              <w:t>Stayed on DSL vs. switched to fibre or cable</w:t>
            </w:r>
            <w:r w:rsidRPr="00705B49">
              <w:rPr>
                <w:b w:val="0"/>
              </w:rPr>
              <w:noBreakHyphen/>
              <w:t>based broadband</w:t>
            </w:r>
          </w:p>
        </w:tc>
        <w:tc>
          <w:tcPr>
            <w:tcW w:w="3118" w:type="dxa"/>
            <w:tcBorders>
              <w:top w:val="single" w:sz="4" w:space="0" w:color="4BB3B5"/>
              <w:bottom w:val="single" w:sz="4" w:space="0" w:color="4BB3B5"/>
            </w:tcBorders>
          </w:tcPr>
          <w:p w14:paraId="262BDCF0" w14:textId="77777777" w:rsidR="00494CC3" w:rsidRPr="00705B49" w:rsidRDefault="00494CC3" w:rsidP="00494CC3">
            <w:pPr>
              <w:cnfStyle w:val="000000010000" w:firstRow="0" w:lastRow="0" w:firstColumn="0" w:lastColumn="0" w:oddVBand="0" w:evenVBand="0" w:oddHBand="0" w:evenHBand="1" w:firstRowFirstColumn="0" w:firstRowLastColumn="0" w:lastRowFirstColumn="0" w:lastRowLastColumn="0"/>
            </w:pPr>
            <w:r w:rsidRPr="00705B49">
              <w:t>BCS respondents that either had DSL, or had DSL and switched to fibre or cable</w:t>
            </w:r>
            <w:r w:rsidRPr="00705B49">
              <w:noBreakHyphen/>
              <w:t>based broadband</w:t>
            </w:r>
          </w:p>
        </w:tc>
        <w:tc>
          <w:tcPr>
            <w:tcW w:w="4042" w:type="dxa"/>
            <w:tcBorders>
              <w:top w:val="single" w:sz="4" w:space="0" w:color="4BB3B5"/>
              <w:bottom w:val="single" w:sz="4" w:space="0" w:color="4BB3B5"/>
            </w:tcBorders>
          </w:tcPr>
          <w:p w14:paraId="7BC797DC" w14:textId="77777777" w:rsidR="00494CC3" w:rsidRPr="00705B49" w:rsidRDefault="00494CC3" w:rsidP="00494CC3">
            <w:pPr>
              <w:cnfStyle w:val="000000010000" w:firstRow="0" w:lastRow="0" w:firstColumn="0" w:lastColumn="0" w:oddVBand="0" w:evenVBand="0" w:oddHBand="0" w:evenHBand="1" w:firstRowFirstColumn="0" w:firstRowLastColumn="0" w:lastRowFirstColumn="0" w:lastRowLastColumn="0"/>
            </w:pPr>
            <w:r w:rsidRPr="00705B49">
              <w:t xml:space="preserve">Single dummy variable, where </w:t>
            </w:r>
            <w:r w:rsidRPr="00705B49">
              <w:br/>
              <w:t>0 = firms on DSL for the entire period</w:t>
            </w:r>
            <w:r w:rsidRPr="00705B49">
              <w:br/>
              <w:t>1 = firms after switching from DSL to fibre or cable</w:t>
            </w:r>
            <w:r w:rsidRPr="00705B49">
              <w:noBreakHyphen/>
              <w:t>based broadband</w:t>
            </w:r>
          </w:p>
        </w:tc>
      </w:tr>
      <w:tr w:rsidR="00494CC3" w:rsidRPr="00705B49" w14:paraId="2655D70A" w14:textId="77777777" w:rsidTr="00747265">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4BB3B5"/>
              <w:bottom w:val="single" w:sz="4" w:space="0" w:color="4BB3B5"/>
            </w:tcBorders>
          </w:tcPr>
          <w:p w14:paraId="7F01F8BF" w14:textId="125CA0F3" w:rsidR="00494CC3" w:rsidRPr="00705B49" w:rsidRDefault="00494CC3" w:rsidP="00494CC3">
            <w:r w:rsidRPr="00705B49">
              <w:rPr>
                <w:i/>
              </w:rPr>
              <w:t>X</w:t>
            </w:r>
            <w:r w:rsidRPr="00705B49">
              <w:rPr>
                <w:i/>
                <w:vertAlign w:val="subscript"/>
              </w:rPr>
              <w:t>3</w:t>
            </w:r>
            <w:r w:rsidRPr="00705B49">
              <w:rPr>
                <w:vertAlign w:val="subscript"/>
              </w:rPr>
              <w:t xml:space="preserve"> </w:t>
            </w:r>
            <w:r w:rsidRPr="00705B49">
              <w:rPr>
                <w:b w:val="0"/>
              </w:rPr>
              <w:t>Pre-fibre/cable vs. switched to fibre or cable</w:t>
            </w:r>
            <w:r w:rsidRPr="00705B49">
              <w:rPr>
                <w:b w:val="0"/>
              </w:rPr>
              <w:noBreakHyphen/>
              <w:t>based broadband</w:t>
            </w:r>
          </w:p>
        </w:tc>
        <w:tc>
          <w:tcPr>
            <w:tcW w:w="3118" w:type="dxa"/>
            <w:tcBorders>
              <w:top w:val="single" w:sz="4" w:space="0" w:color="4BB3B5"/>
              <w:bottom w:val="single" w:sz="4" w:space="0" w:color="4BB3B5"/>
            </w:tcBorders>
          </w:tcPr>
          <w:p w14:paraId="09B0BFE9"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BCS respondents that had DSL and switched to fibre or cable</w:t>
            </w:r>
            <w:r w:rsidRPr="00705B49">
              <w:noBreakHyphen/>
              <w:t>based broadband</w:t>
            </w:r>
          </w:p>
        </w:tc>
        <w:tc>
          <w:tcPr>
            <w:tcW w:w="4042" w:type="dxa"/>
            <w:tcBorders>
              <w:top w:val="single" w:sz="4" w:space="0" w:color="4BB3B5"/>
              <w:bottom w:val="single" w:sz="4" w:space="0" w:color="4BB3B5"/>
            </w:tcBorders>
          </w:tcPr>
          <w:p w14:paraId="5CBEFF52" w14:textId="77777777" w:rsidR="00494CC3" w:rsidRPr="00705B49" w:rsidRDefault="00494CC3" w:rsidP="00494CC3">
            <w:pPr>
              <w:cnfStyle w:val="000000000000" w:firstRow="0" w:lastRow="0" w:firstColumn="0" w:lastColumn="0" w:oddVBand="0" w:evenVBand="0" w:oddHBand="0" w:evenHBand="0" w:firstRowFirstColumn="0" w:firstRowLastColumn="0" w:lastRowFirstColumn="0" w:lastRowLastColumn="0"/>
            </w:pPr>
            <w:r w:rsidRPr="00705B49">
              <w:t xml:space="preserve">Single dummy variable, where </w:t>
            </w:r>
            <w:r w:rsidRPr="00705B49">
              <w:br/>
              <w:t>0 = firms before switching from DSL to fibre or cable</w:t>
            </w:r>
            <w:r w:rsidRPr="00705B49">
              <w:noBreakHyphen/>
              <w:t>based broadband</w:t>
            </w:r>
            <w:r w:rsidRPr="00705B49">
              <w:br/>
              <w:t>1 = firms after switching from DSL to fibre or cable</w:t>
            </w:r>
            <w:r w:rsidRPr="00705B49">
              <w:noBreakHyphen/>
              <w:t>based broadband</w:t>
            </w:r>
          </w:p>
        </w:tc>
      </w:tr>
    </w:tbl>
    <w:bookmarkEnd w:id="189"/>
    <w:p w14:paraId="462763D6" w14:textId="77777777" w:rsidR="00494CC3" w:rsidRPr="00705B49" w:rsidRDefault="00494CC3" w:rsidP="005C6047">
      <w:pPr>
        <w:spacing w:before="240"/>
      </w:pPr>
      <w:r w:rsidRPr="00705B49">
        <w:t xml:space="preserve">Additionally, </w:t>
      </w:r>
      <w:r>
        <w:t>5</w:t>
      </w:r>
      <w:r w:rsidRPr="00705B49">
        <w:t xml:space="preserve"> control variables have been included:</w:t>
      </w:r>
    </w:p>
    <w:p w14:paraId="702DF456" w14:textId="77777777" w:rsidR="00494CC3" w:rsidRPr="00705B49" w:rsidRDefault="00494CC3" w:rsidP="005C6047">
      <w:pPr>
        <w:pStyle w:val="Listparagraphbullets"/>
        <w:rPr>
          <w:i/>
        </w:rPr>
      </w:pPr>
      <w:r w:rsidRPr="00705B49">
        <w:rPr>
          <w:i/>
        </w:rPr>
        <w:t>age</w:t>
      </w:r>
      <w:r w:rsidRPr="00705B49">
        <w:t xml:space="preserve"> is how many years the firm has been in operation</w:t>
      </w:r>
    </w:p>
    <w:p w14:paraId="2E038127" w14:textId="77777777" w:rsidR="00494CC3" w:rsidRPr="00705B49" w:rsidRDefault="00494CC3" w:rsidP="005C6047">
      <w:pPr>
        <w:pStyle w:val="Listparagraphbullets"/>
        <w:rPr>
          <w:i/>
        </w:rPr>
      </w:pPr>
      <w:r w:rsidRPr="00705B49">
        <w:rPr>
          <w:i/>
        </w:rPr>
        <w:t xml:space="preserve">year </w:t>
      </w:r>
      <w:r w:rsidRPr="00705B49">
        <w:t>is a set of dummy variables for financial years</w:t>
      </w:r>
    </w:p>
    <w:p w14:paraId="577E7D06" w14:textId="77777777" w:rsidR="00494CC3" w:rsidRPr="00705B49" w:rsidRDefault="00494CC3" w:rsidP="005C6047">
      <w:pPr>
        <w:pStyle w:val="Listparagraphbullets"/>
      </w:pPr>
      <w:r w:rsidRPr="00705B49">
        <w:rPr>
          <w:i/>
        </w:rPr>
        <w:t>industry</w:t>
      </w:r>
      <w:r w:rsidRPr="00705B49">
        <w:t xml:space="preserve"> is a set of dummy variables for Australian and New Zealand Standard Industrial Classification (ANZSIC) industry division</w:t>
      </w:r>
    </w:p>
    <w:p w14:paraId="2A8F3070" w14:textId="77777777" w:rsidR="00494CC3" w:rsidRPr="00705B49" w:rsidRDefault="00494CC3" w:rsidP="005C6047">
      <w:pPr>
        <w:pStyle w:val="Listparagraphbullets"/>
      </w:pPr>
      <w:r w:rsidRPr="00705B49">
        <w:rPr>
          <w:i/>
        </w:rPr>
        <w:t>size</w:t>
      </w:r>
      <w:r w:rsidRPr="00705B49">
        <w:t xml:space="preserve"> is the FTE size of the business</w:t>
      </w:r>
    </w:p>
    <w:p w14:paraId="524209AF" w14:textId="77777777" w:rsidR="00494CC3" w:rsidRPr="00705B49" w:rsidRDefault="00494CC3" w:rsidP="005C6047">
      <w:pPr>
        <w:pStyle w:val="Listparagraphbullets"/>
      </w:pPr>
      <w:r w:rsidRPr="00705B49">
        <w:rPr>
          <w:i/>
        </w:rPr>
        <w:t>location</w:t>
      </w:r>
      <w:r w:rsidRPr="00705B49">
        <w:t xml:space="preserve"> is the Greater Capital City Statistical Areas of the business.</w:t>
      </w:r>
    </w:p>
    <w:p w14:paraId="4A7A65FA" w14:textId="77777777" w:rsidR="00494CC3" w:rsidRPr="00705B49" w:rsidRDefault="00494CC3" w:rsidP="00494CC3">
      <w:r w:rsidRPr="00705B49">
        <w:t xml:space="preserve">Control variables aim to reduce the impact of </w:t>
      </w:r>
      <w:r>
        <w:t>other factors that may influence the relationship</w:t>
      </w:r>
      <w:r w:rsidRPr="00705B49">
        <w:t>. The firm-specific control variables used in this analysis are consistent with other studies that have examined the relationship between broadband technology and productivity growth.</w:t>
      </w:r>
      <w:r w:rsidRPr="00705B49">
        <w:rPr>
          <w:rStyle w:val="EndnoteReference"/>
        </w:rPr>
        <w:endnoteReference w:id="42"/>
      </w:r>
    </w:p>
    <w:p w14:paraId="54A6F4C5" w14:textId="77777777" w:rsidR="00494CC3" w:rsidRPr="00705B49" w:rsidRDefault="00494CC3" w:rsidP="005C6047">
      <w:pPr>
        <w:keepNext/>
      </w:pPr>
      <w:r w:rsidRPr="00705B49">
        <w:lastRenderedPageBreak/>
        <w:t>There is the potential for lags between broadband adoption and productivity growth benefits.</w:t>
      </w:r>
      <w:r w:rsidRPr="00705B49">
        <w:rPr>
          <w:rStyle w:val="EndnoteReference"/>
        </w:rPr>
        <w:endnoteReference w:id="43"/>
      </w:r>
      <w:r w:rsidRPr="00705B49">
        <w:t xml:space="preserve"> To test the impact of lags from broadband adoption on productivity growth, BCARR has investigated adding time lags to the regression models in multiple ways.</w:t>
      </w:r>
    </w:p>
    <w:p w14:paraId="24091850" w14:textId="77777777" w:rsidR="00494CC3" w:rsidRPr="00705B49" w:rsidRDefault="00494CC3" w:rsidP="00EF7245">
      <w:pPr>
        <w:pStyle w:val="Listparagraphbullets"/>
        <w:keepNext/>
        <w:rPr>
          <w:b/>
        </w:rPr>
      </w:pPr>
      <w:r w:rsidRPr="00705B49">
        <w:t xml:space="preserve">Values where </w:t>
      </w:r>
      <w:r w:rsidRPr="00705B49">
        <w:rPr>
          <w:b/>
          <w:i/>
        </w:rPr>
        <w:t>X</w:t>
      </w:r>
      <w:r w:rsidRPr="00705B49">
        <w:rPr>
          <w:b/>
          <w:i/>
          <w:vertAlign w:val="subscript"/>
        </w:rPr>
        <w:t>i</w:t>
      </w:r>
      <w:r w:rsidRPr="00705B49">
        <w:rPr>
          <w:b/>
        </w:rPr>
        <w:t xml:space="preserve"> </w:t>
      </w:r>
      <w:r w:rsidRPr="00705B49">
        <w:t xml:space="preserve">= 1 were lagged by </w:t>
      </w:r>
      <w:r>
        <w:t>one</w:t>
      </w:r>
      <w:r w:rsidRPr="00705B49">
        <w:t xml:space="preserve"> and 2 years to test delayed productivity growth impacts from broadband.</w:t>
      </w:r>
    </w:p>
    <w:p w14:paraId="0BF67A60" w14:textId="77777777" w:rsidR="00494CC3" w:rsidRPr="00705B49" w:rsidRDefault="00494CC3" w:rsidP="005C6047">
      <w:pPr>
        <w:pStyle w:val="Listparagraphbullets"/>
        <w:rPr>
          <w:b/>
        </w:rPr>
      </w:pPr>
      <w:r w:rsidRPr="00705B49">
        <w:t>Longitudinal dummy variables were developed to test the permanent effects of broadband adoption on productivity growth. In practice, comparing the data for all the years a given firm was in BLADE after changing broadband type against their pre-broadband (or pre-NBN) baseline.</w:t>
      </w:r>
    </w:p>
    <w:p w14:paraId="09C16907" w14:textId="77777777" w:rsidR="00494CC3" w:rsidRPr="00705B49" w:rsidRDefault="00494CC3" w:rsidP="00494CC3">
      <w:r w:rsidRPr="00705B49">
        <w:t>Both pooled OLS and fixed effects methods are used for this analysis. Pooled OLS is a simple linear regression method that does not recognise the panel structure of the data. As a result, it tends to suffer from heterogeneity bias due to firm</w:t>
      </w:r>
      <w:r w:rsidRPr="00705B49">
        <w:noBreakHyphen/>
        <w:t>specific characteristics that are not controlled for (for example, idiosyncratic characteristics of the firm such as management skill that is not captured in the dataset but may influence MFP growth). A fixed effects model is used to capture firm</w:t>
      </w:r>
      <w:r w:rsidRPr="00705B49">
        <w:noBreakHyphen/>
        <w:t>specific characteristics. The mean of each variable in each firm is subtracted from the initial value (or first-differenced). While this overcomes some forms of heterogeneity bias, it can mean that there is not sufficient variation for the estimation. The results of the regressions are shown in the tables below.</w:t>
      </w:r>
    </w:p>
    <w:p w14:paraId="5BE6F534" w14:textId="77777777" w:rsidR="00494CC3" w:rsidRDefault="00494CC3" w:rsidP="00FF191D">
      <w:pPr>
        <w:pStyle w:val="Tablefigureheading"/>
      </w:pPr>
      <w:bookmarkStart w:id="190" w:name="_Ref97649015"/>
      <w:bookmarkStart w:id="191" w:name="_Toc97652736"/>
      <w:bookmarkStart w:id="192" w:name="_Toc115175401"/>
      <w:bookmarkStart w:id="193" w:name="_Toc129767633"/>
      <w:r w:rsidRPr="00705B49">
        <w:t xml:space="preserve">Table </w:t>
      </w:r>
      <w:fldSimple w:instr=" SEQ Table \* ARABIC ">
        <w:r w:rsidRPr="00705B49">
          <w:rPr>
            <w:noProof/>
          </w:rPr>
          <w:t>15</w:t>
        </w:r>
      </w:fldSimple>
      <w:bookmarkEnd w:id="190"/>
      <w:r w:rsidRPr="00705B49">
        <w:t>. Regression results for X</w:t>
      </w:r>
      <w:r w:rsidRPr="00705B49">
        <w:rPr>
          <w:vertAlign w:val="subscript"/>
        </w:rPr>
        <w:t>1</w:t>
      </w:r>
      <w:r w:rsidRPr="00705B49">
        <w:t xml:space="preserve"> –</w:t>
      </w:r>
      <w:bookmarkEnd w:id="191"/>
      <w:r w:rsidRPr="00705B49">
        <w:t xml:space="preserve"> effect of broadband technology types (compared with DSL)</w:t>
      </w:r>
      <w:bookmarkEnd w:id="192"/>
      <w:bookmarkEnd w:id="193"/>
    </w:p>
    <w:tbl>
      <w:tblPr>
        <w:tblStyle w:val="DefaultTable11"/>
        <w:tblW w:w="5000" w:type="pct"/>
        <w:tblLook w:val="04A0" w:firstRow="1" w:lastRow="0" w:firstColumn="1" w:lastColumn="0" w:noHBand="0" w:noVBand="1"/>
        <w:tblDescription w:val="Table 15. Regression results for X1 – effect of broadband technology types (compared with DSL)"/>
      </w:tblPr>
      <w:tblGrid>
        <w:gridCol w:w="2335"/>
        <w:gridCol w:w="2090"/>
        <w:gridCol w:w="1601"/>
        <w:gridCol w:w="1601"/>
        <w:gridCol w:w="1848"/>
      </w:tblGrid>
      <w:tr w:rsidR="005C6047" w:rsidRPr="00654F9E" w14:paraId="5B061236" w14:textId="77777777" w:rsidTr="005C604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Pr>
          <w:p w14:paraId="4659A68E" w14:textId="77777777" w:rsidR="005C6047" w:rsidRPr="00705B49" w:rsidRDefault="005C6047" w:rsidP="00EF7245">
            <w:pPr>
              <w:spacing w:before="40" w:after="40"/>
            </w:pPr>
            <w:r>
              <w:t>Dependent variable</w:t>
            </w:r>
          </w:p>
        </w:tc>
        <w:tc>
          <w:tcPr>
            <w:tcW w:w="1103" w:type="pct"/>
          </w:tcPr>
          <w:p w14:paraId="7857672E"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Pooled ordinary lease squares</w:t>
            </w:r>
          </w:p>
          <w:p w14:paraId="4C1E487F"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MFP growth</w:t>
            </w:r>
          </w:p>
        </w:tc>
        <w:tc>
          <w:tcPr>
            <w:tcW w:w="845" w:type="pct"/>
          </w:tcPr>
          <w:p w14:paraId="40D0027C"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Pooled ordinary lease squares</w:t>
            </w:r>
          </w:p>
          <w:p w14:paraId="06FC1A6E"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LP growth</w:t>
            </w:r>
          </w:p>
        </w:tc>
        <w:tc>
          <w:tcPr>
            <w:tcW w:w="845" w:type="pct"/>
          </w:tcPr>
          <w:p w14:paraId="108E971A"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Two-way fixed-effects</w:t>
            </w:r>
          </w:p>
          <w:p w14:paraId="49476935"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MFP growth</w:t>
            </w:r>
          </w:p>
        </w:tc>
        <w:tc>
          <w:tcPr>
            <w:tcW w:w="975" w:type="pct"/>
          </w:tcPr>
          <w:p w14:paraId="539BE8E6"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Two-way fixed-effects</w:t>
            </w:r>
          </w:p>
          <w:p w14:paraId="1F42A6CF" w14:textId="77777777" w:rsidR="005C6047" w:rsidRPr="005C6047" w:rsidRDefault="005C6047" w:rsidP="00EF7245">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LP growth</w:t>
            </w:r>
          </w:p>
        </w:tc>
      </w:tr>
      <w:tr w:rsidR="005C6047" w:rsidRPr="00654F9E" w14:paraId="2FC28A94"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232" w:type="pct"/>
          </w:tcPr>
          <w:p w14:paraId="12F5989B" w14:textId="77777777" w:rsidR="005C6047" w:rsidRPr="00705B49" w:rsidRDefault="005C6047" w:rsidP="00EF7245">
            <w:pPr>
              <w:spacing w:before="40" w:after="40"/>
              <w:rPr>
                <w:rFonts w:eastAsia="Times New Roman" w:cs="Calibri"/>
                <w:b w:val="0"/>
                <w:szCs w:val="22"/>
                <w:lang w:eastAsia="en-AU"/>
              </w:rPr>
            </w:pPr>
            <w:r w:rsidRPr="00705B49">
              <w:rPr>
                <w:rFonts w:eastAsia="Times New Roman" w:cs="Calibri"/>
                <w:b w:val="0"/>
                <w:szCs w:val="22"/>
                <w:lang w:eastAsia="en-AU"/>
              </w:rPr>
              <w:t>Fibre</w:t>
            </w:r>
            <w:r w:rsidRPr="00705B49">
              <w:rPr>
                <w:rFonts w:eastAsia="Times New Roman" w:cs="Calibri"/>
                <w:b w:val="0"/>
                <w:szCs w:val="22"/>
                <w:lang w:eastAsia="en-AU"/>
              </w:rPr>
              <w:noBreakHyphen/>
              <w:t>based</w:t>
            </w:r>
          </w:p>
        </w:tc>
        <w:tc>
          <w:tcPr>
            <w:tcW w:w="1103" w:type="pct"/>
          </w:tcPr>
          <w:p w14:paraId="72EC36DD"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0.009* </w:t>
            </w:r>
            <w:r w:rsidRPr="00705B49">
              <w:rPr>
                <w:rFonts w:eastAsia="Times New Roman" w:cs="Calibri"/>
                <w:szCs w:val="22"/>
                <w:lang w:eastAsia="en-AU"/>
              </w:rPr>
              <w:br/>
              <w:t>(0.006)</w:t>
            </w:r>
          </w:p>
        </w:tc>
        <w:tc>
          <w:tcPr>
            <w:tcW w:w="845" w:type="pct"/>
          </w:tcPr>
          <w:p w14:paraId="6B01C434"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0.018 </w:t>
            </w:r>
            <w:r w:rsidRPr="00705B49">
              <w:rPr>
                <w:rFonts w:eastAsia="Times New Roman" w:cs="Calibri"/>
                <w:szCs w:val="22"/>
                <w:lang w:eastAsia="en-AU"/>
              </w:rPr>
              <w:br/>
              <w:t>(0.018)</w:t>
            </w:r>
          </w:p>
        </w:tc>
        <w:tc>
          <w:tcPr>
            <w:tcW w:w="845" w:type="pct"/>
          </w:tcPr>
          <w:p w14:paraId="3DD0EBE9"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0.005 </w:t>
            </w:r>
            <w:r w:rsidRPr="00705B49">
              <w:rPr>
                <w:rFonts w:eastAsia="Times New Roman" w:cs="Calibri"/>
                <w:szCs w:val="22"/>
                <w:lang w:eastAsia="en-AU"/>
              </w:rPr>
              <w:br/>
              <w:t>(0.008)</w:t>
            </w:r>
          </w:p>
        </w:tc>
        <w:tc>
          <w:tcPr>
            <w:tcW w:w="975" w:type="pct"/>
          </w:tcPr>
          <w:p w14:paraId="12F72E93"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0.011 </w:t>
            </w:r>
            <w:r w:rsidRPr="00705B49">
              <w:rPr>
                <w:rFonts w:eastAsia="Times New Roman" w:cs="Calibri"/>
                <w:szCs w:val="22"/>
                <w:lang w:eastAsia="en-AU"/>
              </w:rPr>
              <w:br/>
              <w:t>(0.024)</w:t>
            </w:r>
          </w:p>
        </w:tc>
      </w:tr>
      <w:tr w:rsidR="005C6047" w:rsidRPr="00654F9E" w14:paraId="2B395333"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Pr>
          <w:p w14:paraId="554B2D0D" w14:textId="77777777" w:rsidR="005C6047" w:rsidRPr="00705B49" w:rsidRDefault="005C6047" w:rsidP="00EF7245">
            <w:pPr>
              <w:spacing w:before="40" w:after="40"/>
              <w:rPr>
                <w:rFonts w:eastAsia="Times New Roman" w:cs="Calibri"/>
                <w:b w:val="0"/>
                <w:szCs w:val="22"/>
                <w:lang w:eastAsia="en-AU"/>
              </w:rPr>
            </w:pPr>
            <w:r w:rsidRPr="00705B49">
              <w:rPr>
                <w:rFonts w:eastAsia="Times New Roman" w:cs="Calibri"/>
                <w:b w:val="0"/>
                <w:szCs w:val="22"/>
                <w:lang w:eastAsia="en-AU"/>
              </w:rPr>
              <w:t>Cable</w:t>
            </w:r>
          </w:p>
        </w:tc>
        <w:tc>
          <w:tcPr>
            <w:tcW w:w="1103" w:type="pct"/>
          </w:tcPr>
          <w:p w14:paraId="400C2B08"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0.006 </w:t>
            </w:r>
            <w:r w:rsidRPr="00705B49">
              <w:rPr>
                <w:rFonts w:eastAsia="Times New Roman" w:cs="Calibri"/>
                <w:szCs w:val="22"/>
                <w:lang w:eastAsia="en-AU"/>
              </w:rPr>
              <w:br/>
              <w:t>(0.006)</w:t>
            </w:r>
          </w:p>
        </w:tc>
        <w:tc>
          <w:tcPr>
            <w:tcW w:w="845" w:type="pct"/>
          </w:tcPr>
          <w:p w14:paraId="2DDBAD8C"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-0.007 </w:t>
            </w:r>
            <w:r w:rsidRPr="00705B49">
              <w:rPr>
                <w:rFonts w:eastAsia="Times New Roman" w:cs="Calibri"/>
                <w:szCs w:val="22"/>
                <w:lang w:eastAsia="en-AU"/>
              </w:rPr>
              <w:br/>
              <w:t>(0.02)</w:t>
            </w:r>
          </w:p>
        </w:tc>
        <w:tc>
          <w:tcPr>
            <w:tcW w:w="845" w:type="pct"/>
          </w:tcPr>
          <w:p w14:paraId="5F9D8CF4"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0.012 </w:t>
            </w:r>
            <w:r w:rsidRPr="00705B49">
              <w:rPr>
                <w:rFonts w:eastAsia="Times New Roman" w:cs="Calibri"/>
                <w:szCs w:val="22"/>
                <w:lang w:eastAsia="en-AU"/>
              </w:rPr>
              <w:br/>
              <w:t>(0.009)</w:t>
            </w:r>
          </w:p>
        </w:tc>
        <w:tc>
          <w:tcPr>
            <w:tcW w:w="975" w:type="pct"/>
          </w:tcPr>
          <w:p w14:paraId="3A355637"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0.042</w:t>
            </w:r>
            <w:r w:rsidRPr="00705B49">
              <w:rPr>
                <w:rFonts w:eastAsia="Times New Roman" w:cs="Calibri"/>
                <w:szCs w:val="22"/>
                <w:lang w:eastAsia="en-AU"/>
              </w:rPr>
              <w:br/>
              <w:t>(0.028)</w:t>
            </w:r>
          </w:p>
        </w:tc>
      </w:tr>
      <w:tr w:rsidR="005C6047" w:rsidRPr="00654F9E" w14:paraId="146AC45A" w14:textId="77777777" w:rsidTr="005C6047">
        <w:trPr>
          <w:cantSplit/>
        </w:trPr>
        <w:tc>
          <w:tcPr>
            <w:cnfStyle w:val="001000000000" w:firstRow="0" w:lastRow="0" w:firstColumn="1" w:lastColumn="0" w:oddVBand="0" w:evenVBand="0" w:oddHBand="0" w:evenHBand="0" w:firstRowFirstColumn="0" w:firstRowLastColumn="0" w:lastRowFirstColumn="0" w:lastRowLastColumn="0"/>
            <w:tcW w:w="1232" w:type="pct"/>
          </w:tcPr>
          <w:p w14:paraId="51398F7D" w14:textId="77777777" w:rsidR="005C6047" w:rsidRPr="00705B49" w:rsidRDefault="005C6047" w:rsidP="00EF7245">
            <w:pPr>
              <w:spacing w:before="40" w:after="40"/>
              <w:rPr>
                <w:rFonts w:eastAsia="Times New Roman" w:cs="Calibri"/>
                <w:b w:val="0"/>
                <w:szCs w:val="22"/>
                <w:lang w:eastAsia="en-AU"/>
              </w:rPr>
            </w:pPr>
            <w:r w:rsidRPr="00705B49">
              <w:rPr>
                <w:rFonts w:eastAsia="Times New Roman" w:cs="Calibri"/>
                <w:b w:val="0"/>
                <w:szCs w:val="22"/>
                <w:lang w:eastAsia="en-AU"/>
              </w:rPr>
              <w:t>Fixed wireless</w:t>
            </w:r>
          </w:p>
        </w:tc>
        <w:tc>
          <w:tcPr>
            <w:tcW w:w="1103" w:type="pct"/>
          </w:tcPr>
          <w:p w14:paraId="28427E96"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-0.006 </w:t>
            </w:r>
            <w:r w:rsidRPr="00705B49">
              <w:rPr>
                <w:rFonts w:eastAsia="Times New Roman" w:cs="Calibri"/>
                <w:szCs w:val="22"/>
                <w:lang w:eastAsia="en-AU"/>
              </w:rPr>
              <w:br/>
              <w:t>(0.006)</w:t>
            </w:r>
          </w:p>
        </w:tc>
        <w:tc>
          <w:tcPr>
            <w:tcW w:w="845" w:type="pct"/>
          </w:tcPr>
          <w:p w14:paraId="19FF019C"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-0.019 </w:t>
            </w:r>
            <w:r w:rsidRPr="00705B49">
              <w:rPr>
                <w:rFonts w:eastAsia="Times New Roman" w:cs="Calibri"/>
                <w:szCs w:val="22"/>
                <w:lang w:eastAsia="en-AU"/>
              </w:rPr>
              <w:br/>
              <w:t>(0.019)</w:t>
            </w:r>
          </w:p>
        </w:tc>
        <w:tc>
          <w:tcPr>
            <w:tcW w:w="845" w:type="pct"/>
          </w:tcPr>
          <w:p w14:paraId="66ED6B3A"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-0.011 </w:t>
            </w:r>
            <w:r w:rsidRPr="00705B49">
              <w:rPr>
                <w:rFonts w:eastAsia="Times New Roman" w:cs="Calibri"/>
                <w:szCs w:val="22"/>
                <w:lang w:eastAsia="en-AU"/>
              </w:rPr>
              <w:br/>
              <w:t>(0.009)</w:t>
            </w:r>
          </w:p>
        </w:tc>
        <w:tc>
          <w:tcPr>
            <w:tcW w:w="975" w:type="pct"/>
          </w:tcPr>
          <w:p w14:paraId="3D377AB2"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0.024 </w:t>
            </w:r>
            <w:r w:rsidRPr="00705B49">
              <w:rPr>
                <w:rFonts w:eastAsia="Times New Roman" w:cs="Calibri"/>
                <w:szCs w:val="22"/>
                <w:lang w:eastAsia="en-AU"/>
              </w:rPr>
              <w:br/>
              <w:t>(0.025)</w:t>
            </w:r>
          </w:p>
        </w:tc>
      </w:tr>
      <w:tr w:rsidR="005C6047" w:rsidRPr="00654F9E" w14:paraId="5AA87D2F"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Pr>
          <w:p w14:paraId="5EFB6152" w14:textId="77777777" w:rsidR="005C6047" w:rsidRPr="00705B49" w:rsidRDefault="005C6047" w:rsidP="00EF7245">
            <w:pPr>
              <w:spacing w:before="40" w:after="40"/>
              <w:rPr>
                <w:rFonts w:eastAsia="Times New Roman" w:cs="Calibri"/>
                <w:b w:val="0"/>
                <w:szCs w:val="22"/>
                <w:lang w:eastAsia="en-AU"/>
              </w:rPr>
            </w:pPr>
            <w:r w:rsidRPr="00705B49">
              <w:rPr>
                <w:rFonts w:eastAsia="Times New Roman" w:cs="Calibri"/>
                <w:b w:val="0"/>
                <w:szCs w:val="22"/>
                <w:lang w:eastAsia="en-AU"/>
              </w:rPr>
              <w:t>Mobile wireless</w:t>
            </w:r>
          </w:p>
        </w:tc>
        <w:tc>
          <w:tcPr>
            <w:tcW w:w="1103" w:type="pct"/>
          </w:tcPr>
          <w:p w14:paraId="6CD18291"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-0.013* </w:t>
            </w:r>
            <w:r w:rsidRPr="00705B49">
              <w:rPr>
                <w:rFonts w:eastAsia="Times New Roman" w:cs="Calibri"/>
                <w:szCs w:val="22"/>
                <w:lang w:eastAsia="en-AU"/>
              </w:rPr>
              <w:br/>
              <w:t>(0.007)</w:t>
            </w:r>
          </w:p>
        </w:tc>
        <w:tc>
          <w:tcPr>
            <w:tcW w:w="845" w:type="pct"/>
          </w:tcPr>
          <w:p w14:paraId="3C8AF793"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-0.066*** </w:t>
            </w:r>
            <w:r w:rsidRPr="00705B49">
              <w:rPr>
                <w:rFonts w:eastAsia="Times New Roman" w:cs="Calibri"/>
                <w:szCs w:val="22"/>
                <w:lang w:eastAsia="en-AU"/>
              </w:rPr>
              <w:br/>
              <w:t>(0.021)</w:t>
            </w:r>
          </w:p>
        </w:tc>
        <w:tc>
          <w:tcPr>
            <w:tcW w:w="845" w:type="pct"/>
          </w:tcPr>
          <w:p w14:paraId="3A48A8D4"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-0.001 </w:t>
            </w:r>
            <w:r w:rsidRPr="00705B49">
              <w:rPr>
                <w:rFonts w:eastAsia="Times New Roman" w:cs="Calibri"/>
                <w:szCs w:val="22"/>
                <w:lang w:eastAsia="en-AU"/>
              </w:rPr>
              <w:br/>
              <w:t>(0.011)</w:t>
            </w:r>
          </w:p>
        </w:tc>
        <w:tc>
          <w:tcPr>
            <w:tcW w:w="975" w:type="pct"/>
          </w:tcPr>
          <w:p w14:paraId="1081B279"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-0.027 </w:t>
            </w:r>
            <w:r w:rsidRPr="00705B49">
              <w:rPr>
                <w:rFonts w:eastAsia="Times New Roman" w:cs="Calibri"/>
                <w:szCs w:val="22"/>
                <w:lang w:eastAsia="en-AU"/>
              </w:rPr>
              <w:br/>
              <w:t>(0.032)</w:t>
            </w:r>
          </w:p>
        </w:tc>
      </w:tr>
      <w:tr w:rsidR="005C6047" w:rsidRPr="00654F9E" w14:paraId="2A0E2574" w14:textId="77777777" w:rsidTr="00EF7245">
        <w:trPr>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4" w:space="0" w:color="4BB3B5"/>
            </w:tcBorders>
          </w:tcPr>
          <w:p w14:paraId="0CD75AE1" w14:textId="77777777" w:rsidR="005C6047" w:rsidRPr="00705B49" w:rsidRDefault="005C6047" w:rsidP="00EF7245">
            <w:pPr>
              <w:spacing w:before="40" w:after="40"/>
              <w:rPr>
                <w:rFonts w:eastAsia="Times New Roman" w:cs="Calibri"/>
                <w:b w:val="0"/>
                <w:szCs w:val="22"/>
                <w:lang w:eastAsia="en-AU"/>
              </w:rPr>
            </w:pPr>
            <w:r w:rsidRPr="00705B49">
              <w:rPr>
                <w:rFonts w:eastAsia="Times New Roman" w:cs="Calibri"/>
                <w:b w:val="0"/>
                <w:szCs w:val="22"/>
                <w:lang w:eastAsia="en-AU"/>
              </w:rPr>
              <w:t>Satellite</w:t>
            </w:r>
          </w:p>
        </w:tc>
        <w:tc>
          <w:tcPr>
            <w:tcW w:w="1103" w:type="pct"/>
            <w:tcBorders>
              <w:bottom w:val="single" w:sz="4" w:space="0" w:color="4BB3B5"/>
            </w:tcBorders>
          </w:tcPr>
          <w:p w14:paraId="3CC6254F"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0.007 </w:t>
            </w:r>
            <w:r w:rsidRPr="00705B49">
              <w:rPr>
                <w:rFonts w:eastAsia="Times New Roman" w:cs="Calibri"/>
                <w:szCs w:val="22"/>
                <w:lang w:eastAsia="en-AU"/>
              </w:rPr>
              <w:br/>
              <w:t>(0.012)</w:t>
            </w:r>
          </w:p>
        </w:tc>
        <w:tc>
          <w:tcPr>
            <w:tcW w:w="845" w:type="pct"/>
            <w:tcBorders>
              <w:bottom w:val="single" w:sz="4" w:space="0" w:color="4BB3B5"/>
            </w:tcBorders>
          </w:tcPr>
          <w:p w14:paraId="18920AB0"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-0.052</w:t>
            </w:r>
            <w:r w:rsidRPr="00705B49">
              <w:rPr>
                <w:rFonts w:eastAsia="Times New Roman" w:cs="Calibri"/>
                <w:szCs w:val="22"/>
                <w:lang w:eastAsia="en-AU"/>
              </w:rPr>
              <w:br/>
              <w:t>(0.038)</w:t>
            </w:r>
          </w:p>
        </w:tc>
        <w:tc>
          <w:tcPr>
            <w:tcW w:w="845" w:type="pct"/>
            <w:tcBorders>
              <w:bottom w:val="single" w:sz="4" w:space="0" w:color="4BB3B5"/>
            </w:tcBorders>
          </w:tcPr>
          <w:p w14:paraId="35B0C440"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0.056** </w:t>
            </w:r>
            <w:r w:rsidRPr="00705B49">
              <w:rPr>
                <w:rFonts w:eastAsia="Times New Roman" w:cs="Calibri"/>
                <w:szCs w:val="22"/>
                <w:lang w:eastAsia="en-AU"/>
              </w:rPr>
              <w:br/>
              <w:t>(0.024)</w:t>
            </w:r>
          </w:p>
        </w:tc>
        <w:tc>
          <w:tcPr>
            <w:tcW w:w="975" w:type="pct"/>
            <w:tcBorders>
              <w:bottom w:val="single" w:sz="4" w:space="0" w:color="4BB3B5"/>
            </w:tcBorders>
          </w:tcPr>
          <w:p w14:paraId="59659B92"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0.071 </w:t>
            </w:r>
            <w:r w:rsidRPr="00705B49">
              <w:rPr>
                <w:rFonts w:eastAsia="Times New Roman" w:cs="Calibri"/>
                <w:szCs w:val="22"/>
                <w:lang w:eastAsia="en-AU"/>
              </w:rPr>
              <w:br/>
              <w:t>(0.071)</w:t>
            </w:r>
          </w:p>
        </w:tc>
      </w:tr>
      <w:tr w:rsidR="005C6047" w:rsidRPr="00654F9E" w14:paraId="0FF79473" w14:textId="77777777" w:rsidTr="00EF72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12" w:space="0" w:color="4BB3B5"/>
            </w:tcBorders>
          </w:tcPr>
          <w:p w14:paraId="7BBF9ED1" w14:textId="77777777" w:rsidR="005C6047" w:rsidRPr="00705B49" w:rsidRDefault="005C6047" w:rsidP="00EF7245">
            <w:pPr>
              <w:spacing w:before="40" w:after="40"/>
              <w:rPr>
                <w:rFonts w:eastAsia="Times New Roman" w:cs="Calibri"/>
                <w:b w:val="0"/>
                <w:szCs w:val="22"/>
                <w:lang w:eastAsia="en-AU"/>
              </w:rPr>
            </w:pPr>
            <w:r w:rsidRPr="00705B49">
              <w:rPr>
                <w:rFonts w:eastAsia="Times New Roman" w:cs="Calibri"/>
                <w:b w:val="0"/>
                <w:szCs w:val="22"/>
                <w:lang w:eastAsia="en-AU"/>
              </w:rPr>
              <w:t>No broadband</w:t>
            </w:r>
          </w:p>
        </w:tc>
        <w:tc>
          <w:tcPr>
            <w:tcW w:w="1103" w:type="pct"/>
            <w:tcBorders>
              <w:bottom w:val="single" w:sz="12" w:space="0" w:color="4BB3B5"/>
            </w:tcBorders>
          </w:tcPr>
          <w:p w14:paraId="013CA34D"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-0.009 </w:t>
            </w:r>
            <w:r w:rsidRPr="00705B49">
              <w:rPr>
                <w:rFonts w:eastAsia="Times New Roman" w:cs="Calibri"/>
                <w:szCs w:val="22"/>
                <w:lang w:eastAsia="en-AU"/>
              </w:rPr>
              <w:br/>
              <w:t>(0.008)</w:t>
            </w:r>
          </w:p>
        </w:tc>
        <w:tc>
          <w:tcPr>
            <w:tcW w:w="845" w:type="pct"/>
            <w:tcBorders>
              <w:bottom w:val="single" w:sz="12" w:space="0" w:color="4BB3B5"/>
            </w:tcBorders>
          </w:tcPr>
          <w:p w14:paraId="0E517FB1"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-0.153*** </w:t>
            </w:r>
            <w:r w:rsidRPr="00705B49">
              <w:rPr>
                <w:rFonts w:eastAsia="Times New Roman" w:cs="Calibri"/>
                <w:szCs w:val="22"/>
                <w:lang w:eastAsia="en-AU"/>
              </w:rPr>
              <w:br/>
              <w:t>(0.024)</w:t>
            </w:r>
          </w:p>
        </w:tc>
        <w:tc>
          <w:tcPr>
            <w:tcW w:w="845" w:type="pct"/>
            <w:tcBorders>
              <w:bottom w:val="single" w:sz="12" w:space="0" w:color="4BB3B5"/>
            </w:tcBorders>
          </w:tcPr>
          <w:p w14:paraId="679C5E0D"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-0.017 </w:t>
            </w:r>
            <w:r w:rsidRPr="00705B49">
              <w:rPr>
                <w:rFonts w:eastAsia="Times New Roman" w:cs="Calibri"/>
                <w:szCs w:val="22"/>
                <w:lang w:eastAsia="en-AU"/>
              </w:rPr>
              <w:br/>
              <w:t>(0.015)</w:t>
            </w:r>
          </w:p>
        </w:tc>
        <w:tc>
          <w:tcPr>
            <w:tcW w:w="975" w:type="pct"/>
            <w:tcBorders>
              <w:bottom w:val="single" w:sz="12" w:space="0" w:color="4BB3B5"/>
            </w:tcBorders>
          </w:tcPr>
          <w:p w14:paraId="74D0F944"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 xml:space="preserve">0.055 </w:t>
            </w:r>
            <w:r w:rsidRPr="00705B49">
              <w:rPr>
                <w:rFonts w:eastAsia="Times New Roman" w:cs="Calibri"/>
                <w:szCs w:val="22"/>
                <w:lang w:eastAsia="en-AU"/>
              </w:rPr>
              <w:br/>
              <w:t>(0.045)</w:t>
            </w:r>
          </w:p>
        </w:tc>
      </w:tr>
      <w:tr w:rsidR="005C6047" w:rsidRPr="00654F9E" w14:paraId="0E405DBB" w14:textId="77777777" w:rsidTr="00EF7245">
        <w:trPr>
          <w:cantSplit/>
        </w:trPr>
        <w:tc>
          <w:tcPr>
            <w:cnfStyle w:val="001000000000" w:firstRow="0" w:lastRow="0" w:firstColumn="1" w:lastColumn="0" w:oddVBand="0" w:evenVBand="0" w:oddHBand="0" w:evenHBand="0" w:firstRowFirstColumn="0" w:firstRowLastColumn="0" w:lastRowFirstColumn="0" w:lastRowLastColumn="0"/>
            <w:tcW w:w="1232" w:type="pct"/>
            <w:tcBorders>
              <w:top w:val="single" w:sz="12" w:space="0" w:color="4BB3B5"/>
            </w:tcBorders>
          </w:tcPr>
          <w:p w14:paraId="2806C53D" w14:textId="77777777" w:rsidR="005C6047" w:rsidRPr="00705B49" w:rsidRDefault="005C6047" w:rsidP="00EF7245">
            <w:pPr>
              <w:spacing w:before="40" w:after="40"/>
              <w:rPr>
                <w:rFonts w:eastAsia="Times New Roman" w:cs="Calibri"/>
                <w:szCs w:val="22"/>
                <w:lang w:eastAsia="en-AU"/>
              </w:rPr>
            </w:pPr>
            <w:r w:rsidRPr="00705B49">
              <w:rPr>
                <w:rFonts w:cs="Calibri"/>
                <w:szCs w:val="22"/>
              </w:rPr>
              <w:t>R</w:t>
            </w:r>
            <w:r w:rsidRPr="00705B49">
              <w:rPr>
                <w:rFonts w:cs="Calibri"/>
                <w:szCs w:val="22"/>
                <w:vertAlign w:val="superscript"/>
              </w:rPr>
              <w:t>2</w:t>
            </w:r>
          </w:p>
        </w:tc>
        <w:tc>
          <w:tcPr>
            <w:tcW w:w="1103" w:type="pct"/>
            <w:tcBorders>
              <w:top w:val="single" w:sz="12" w:space="0" w:color="4BB3B5"/>
            </w:tcBorders>
          </w:tcPr>
          <w:p w14:paraId="26C97740"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0.023</w:t>
            </w:r>
          </w:p>
        </w:tc>
        <w:tc>
          <w:tcPr>
            <w:tcW w:w="845" w:type="pct"/>
            <w:tcBorders>
              <w:top w:val="single" w:sz="12" w:space="0" w:color="4BB3B5"/>
            </w:tcBorders>
          </w:tcPr>
          <w:p w14:paraId="19F08DAC"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0.045</w:t>
            </w:r>
          </w:p>
        </w:tc>
        <w:tc>
          <w:tcPr>
            <w:tcW w:w="845" w:type="pct"/>
            <w:tcBorders>
              <w:top w:val="single" w:sz="12" w:space="0" w:color="4BB3B5"/>
            </w:tcBorders>
          </w:tcPr>
          <w:p w14:paraId="3C77B489"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0.011</w:t>
            </w:r>
          </w:p>
        </w:tc>
        <w:tc>
          <w:tcPr>
            <w:tcW w:w="975" w:type="pct"/>
            <w:tcBorders>
              <w:top w:val="single" w:sz="12" w:space="0" w:color="4BB3B5"/>
            </w:tcBorders>
          </w:tcPr>
          <w:p w14:paraId="5755B652" w14:textId="77777777" w:rsidR="005C6047" w:rsidRPr="00705B49" w:rsidRDefault="005C6047"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0.054</w:t>
            </w:r>
          </w:p>
        </w:tc>
      </w:tr>
      <w:tr w:rsidR="005C6047" w:rsidRPr="00654F9E" w14:paraId="7576BAF6" w14:textId="77777777" w:rsidTr="005C604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Pr>
          <w:p w14:paraId="56587EA9" w14:textId="77777777" w:rsidR="005C6047" w:rsidRPr="00705B49" w:rsidRDefault="005C6047" w:rsidP="00EF7245">
            <w:pPr>
              <w:spacing w:before="40" w:after="40"/>
              <w:rPr>
                <w:rFonts w:eastAsia="Times New Roman" w:cs="Calibri"/>
                <w:szCs w:val="22"/>
                <w:lang w:eastAsia="en-AU"/>
              </w:rPr>
            </w:pPr>
            <w:r w:rsidRPr="00705B49">
              <w:rPr>
                <w:rFonts w:eastAsia="Times New Roman" w:cs="Calibri"/>
                <w:szCs w:val="22"/>
                <w:lang w:eastAsia="en-AU"/>
              </w:rPr>
              <w:t>N (observations)</w:t>
            </w:r>
          </w:p>
        </w:tc>
        <w:tc>
          <w:tcPr>
            <w:tcW w:w="1103" w:type="pct"/>
          </w:tcPr>
          <w:p w14:paraId="1C000E49"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67,447</w:t>
            </w:r>
          </w:p>
        </w:tc>
        <w:tc>
          <w:tcPr>
            <w:tcW w:w="845" w:type="pct"/>
          </w:tcPr>
          <w:p w14:paraId="4930C7C8"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89,154</w:t>
            </w:r>
          </w:p>
        </w:tc>
        <w:tc>
          <w:tcPr>
            <w:tcW w:w="845" w:type="pct"/>
          </w:tcPr>
          <w:p w14:paraId="6F6D2583"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67,447</w:t>
            </w:r>
          </w:p>
        </w:tc>
        <w:tc>
          <w:tcPr>
            <w:tcW w:w="975" w:type="pct"/>
          </w:tcPr>
          <w:p w14:paraId="4944F4F8" w14:textId="77777777" w:rsidR="005C6047" w:rsidRPr="00705B49" w:rsidRDefault="005C6047"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89,154</w:t>
            </w:r>
          </w:p>
        </w:tc>
      </w:tr>
    </w:tbl>
    <w:p w14:paraId="66EF6CA5" w14:textId="77777777" w:rsidR="00494CC3" w:rsidRPr="00705B49" w:rsidRDefault="00494CC3" w:rsidP="00494CC3">
      <w:pPr>
        <w:pStyle w:val="Sourcenotes"/>
        <w:rPr>
          <w:lang w:val="en-AU"/>
        </w:rPr>
      </w:pPr>
      <w:r w:rsidRPr="00705B49">
        <w:rPr>
          <w:lang w:val="en-US"/>
        </w:rPr>
        <w:t>Source:</w:t>
      </w:r>
      <w:r w:rsidRPr="00705B49">
        <w:rPr>
          <w:lang w:val="en-AU"/>
        </w:rPr>
        <w:t xml:space="preserve"> BCARR analysis of BLADE data from </w:t>
      </w:r>
      <w:r w:rsidRPr="00705B49">
        <w:rPr>
          <w:noProof/>
        </w:rPr>
        <w:t>2009–10 to 2018–19</w:t>
      </w:r>
      <w:r w:rsidRPr="00705B49">
        <w:rPr>
          <w:noProof/>
          <w:lang w:val="en-US"/>
        </w:rPr>
        <w:t>.</w:t>
      </w:r>
      <w:r w:rsidRPr="00705B49">
        <w:rPr>
          <w:lang w:val="en-AU"/>
        </w:rPr>
        <w:t xml:space="preserve"> Numbers indicate impact on productivity, *, **, *** indicates statistical significance at the 10%, 5%, 1% levels respectively. Controls and intercept coefficients are not shown. Baseline for comparison (where all dummies are equal to </w:t>
      </w:r>
      <w:r>
        <w:rPr>
          <w:lang w:val="en-AU"/>
        </w:rPr>
        <w:t>zero</w:t>
      </w:r>
      <w:r w:rsidRPr="00705B49">
        <w:rPr>
          <w:lang w:val="en-AU"/>
        </w:rPr>
        <w:t>) represents DSL-connections.</w:t>
      </w:r>
      <w:bookmarkStart w:id="194" w:name="_Ref97649018"/>
      <w:bookmarkStart w:id="195" w:name="_Toc97652737"/>
      <w:r w:rsidRPr="00705B49">
        <w:rPr>
          <w:lang w:val="en-AU"/>
        </w:rPr>
        <w:t xml:space="preserve"> Robust standard errors in parentheses.</w:t>
      </w:r>
    </w:p>
    <w:p w14:paraId="0A27EAC2" w14:textId="77777777" w:rsidR="00494CC3" w:rsidRDefault="00494CC3" w:rsidP="00FF191D">
      <w:pPr>
        <w:pStyle w:val="Tablefigureheading"/>
      </w:pPr>
      <w:bookmarkStart w:id="196" w:name="_Toc115175402"/>
      <w:bookmarkStart w:id="197" w:name="_Toc129767634"/>
      <w:r w:rsidRPr="00705B49">
        <w:lastRenderedPageBreak/>
        <w:t xml:space="preserve">Table </w:t>
      </w:r>
      <w:fldSimple w:instr=" SEQ Table \* ARABIC ">
        <w:r w:rsidRPr="00705B49">
          <w:rPr>
            <w:noProof/>
          </w:rPr>
          <w:t>16</w:t>
        </w:r>
      </w:fldSimple>
      <w:bookmarkEnd w:id="194"/>
      <w:r w:rsidRPr="00705B49">
        <w:t xml:space="preserve">. </w:t>
      </w:r>
      <w:bookmarkEnd w:id="195"/>
      <w:r w:rsidRPr="00705B49">
        <w:t>Regression results for X3 – effect of fibre and cable</w:t>
      </w:r>
      <w:r w:rsidRPr="00705B49">
        <w:noBreakHyphen/>
        <w:t>based broadband adoption</w:t>
      </w:r>
      <w:bookmarkEnd w:id="196"/>
      <w:bookmarkEnd w:id="197"/>
    </w:p>
    <w:tbl>
      <w:tblPr>
        <w:tblStyle w:val="DefaultTable11"/>
        <w:tblW w:w="5000" w:type="pct"/>
        <w:tblLook w:val="04A0" w:firstRow="1" w:lastRow="0" w:firstColumn="1" w:lastColumn="0" w:noHBand="0" w:noVBand="1"/>
        <w:tblDescription w:val="Table 16. Regression results for X3 – effect of fibre and cable based broadband adoption"/>
      </w:tblPr>
      <w:tblGrid>
        <w:gridCol w:w="2335"/>
        <w:gridCol w:w="2090"/>
        <w:gridCol w:w="1601"/>
        <w:gridCol w:w="1601"/>
        <w:gridCol w:w="1848"/>
      </w:tblGrid>
      <w:tr w:rsidR="005C6047" w:rsidRPr="00654F9E" w14:paraId="482A65F3" w14:textId="77777777" w:rsidTr="00756E9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Pr>
          <w:p w14:paraId="3865CEC6" w14:textId="77777777" w:rsidR="005C6047" w:rsidRPr="00705B49" w:rsidRDefault="005C6047" w:rsidP="00EF7245">
            <w:pPr>
              <w:keepNext/>
              <w:spacing w:before="40" w:after="40"/>
            </w:pPr>
            <w:r>
              <w:t>Dependent variable</w:t>
            </w:r>
          </w:p>
        </w:tc>
        <w:tc>
          <w:tcPr>
            <w:tcW w:w="1103" w:type="pct"/>
          </w:tcPr>
          <w:p w14:paraId="34BA418B"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Pooled ordinary leas</w:t>
            </w:r>
            <w:r w:rsidR="00EF7245">
              <w:rPr>
                <w:b/>
              </w:rPr>
              <w:t>t</w:t>
            </w:r>
            <w:r w:rsidRPr="005C6047">
              <w:rPr>
                <w:b/>
              </w:rPr>
              <w:t xml:space="preserve"> squares</w:t>
            </w:r>
          </w:p>
          <w:p w14:paraId="68715380"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MFP growth</w:t>
            </w:r>
          </w:p>
        </w:tc>
        <w:tc>
          <w:tcPr>
            <w:tcW w:w="845" w:type="pct"/>
          </w:tcPr>
          <w:p w14:paraId="5E9D45D1"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Pooled ordinary leas</w:t>
            </w:r>
            <w:r w:rsidR="00EF7245">
              <w:rPr>
                <w:b/>
              </w:rPr>
              <w:t>t</w:t>
            </w:r>
            <w:r w:rsidRPr="005C6047">
              <w:rPr>
                <w:b/>
              </w:rPr>
              <w:t xml:space="preserve"> squares</w:t>
            </w:r>
          </w:p>
          <w:p w14:paraId="528C477B"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LP growth</w:t>
            </w:r>
          </w:p>
        </w:tc>
        <w:tc>
          <w:tcPr>
            <w:tcW w:w="845" w:type="pct"/>
          </w:tcPr>
          <w:p w14:paraId="6A9F0A61"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Two-way fixed-effects</w:t>
            </w:r>
          </w:p>
          <w:p w14:paraId="725E1D20"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MFP growth</w:t>
            </w:r>
          </w:p>
        </w:tc>
        <w:tc>
          <w:tcPr>
            <w:tcW w:w="975" w:type="pct"/>
          </w:tcPr>
          <w:p w14:paraId="1F90586D"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color w:val="FFFFFF"/>
              </w:rPr>
            </w:pPr>
            <w:r w:rsidRPr="005C6047">
              <w:rPr>
                <w:b/>
              </w:rPr>
              <w:t>Two-way fixed-effects</w:t>
            </w:r>
          </w:p>
          <w:p w14:paraId="7F9D148D" w14:textId="77777777" w:rsidR="005C6047" w:rsidRPr="005C6047" w:rsidRDefault="005C6047" w:rsidP="00EF7245">
            <w:pPr>
              <w:pStyle w:val="Tablerowcolumnheadingcentred"/>
              <w:keepNext/>
              <w:spacing w:before="40" w:after="40"/>
              <w:cnfStyle w:val="100000000000" w:firstRow="1" w:lastRow="0" w:firstColumn="0" w:lastColumn="0" w:oddVBand="0" w:evenVBand="0" w:oddHBand="0" w:evenHBand="0" w:firstRowFirstColumn="0" w:firstRowLastColumn="0" w:lastRowFirstColumn="0" w:lastRowLastColumn="0"/>
              <w:rPr>
                <w:b/>
              </w:rPr>
            </w:pPr>
            <w:r w:rsidRPr="005C6047">
              <w:rPr>
                <w:b/>
              </w:rPr>
              <w:t>LP growth</w:t>
            </w:r>
          </w:p>
        </w:tc>
      </w:tr>
      <w:tr w:rsidR="00EF7245" w:rsidRPr="00654F9E" w14:paraId="265E46DC" w14:textId="77777777" w:rsidTr="00754E46">
        <w:trPr>
          <w:cantSplit/>
        </w:trPr>
        <w:tc>
          <w:tcPr>
            <w:cnfStyle w:val="001000000000" w:firstRow="0" w:lastRow="0" w:firstColumn="1" w:lastColumn="0" w:oddVBand="0" w:evenVBand="0" w:oddHBand="0" w:evenHBand="0" w:firstRowFirstColumn="0" w:firstRowLastColumn="0" w:lastRowFirstColumn="0" w:lastRowLastColumn="0"/>
            <w:tcW w:w="0" w:type="pct"/>
          </w:tcPr>
          <w:p w14:paraId="1D95F784" w14:textId="77777777" w:rsidR="00EF7245" w:rsidRPr="00705B49" w:rsidRDefault="00EF7245" w:rsidP="00F93F41">
            <w:pPr>
              <w:keepNext/>
              <w:spacing w:before="40" w:after="40"/>
              <w:rPr>
                <w:rFonts w:eastAsia="Times New Roman" w:cs="Calibri"/>
                <w:b w:val="0"/>
                <w:szCs w:val="22"/>
                <w:lang w:eastAsia="en-AU"/>
              </w:rPr>
            </w:pPr>
            <w:r w:rsidRPr="00705B49">
              <w:rPr>
                <w:rFonts w:cs="Calibri"/>
                <w:b w:val="0"/>
                <w:szCs w:val="22"/>
              </w:rPr>
              <w:t>Post-adoption</w:t>
            </w:r>
          </w:p>
        </w:tc>
        <w:tc>
          <w:tcPr>
            <w:tcW w:w="0" w:type="pct"/>
            <w:vAlign w:val="bottom"/>
          </w:tcPr>
          <w:p w14:paraId="1D454D6F"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0.042*** </w:t>
            </w:r>
            <w:r w:rsidRPr="00705B49">
              <w:rPr>
                <w:rFonts w:cs="Calibri"/>
                <w:szCs w:val="22"/>
              </w:rPr>
              <w:br/>
              <w:t>(0.016)</w:t>
            </w:r>
          </w:p>
        </w:tc>
        <w:tc>
          <w:tcPr>
            <w:tcW w:w="0" w:type="pct"/>
            <w:vAlign w:val="bottom"/>
          </w:tcPr>
          <w:p w14:paraId="06B863EF"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0.148*** </w:t>
            </w:r>
            <w:r w:rsidRPr="00705B49">
              <w:rPr>
                <w:rFonts w:cs="Calibri"/>
                <w:szCs w:val="22"/>
              </w:rPr>
              <w:br/>
              <w:t>(0.047)</w:t>
            </w:r>
          </w:p>
        </w:tc>
        <w:tc>
          <w:tcPr>
            <w:tcW w:w="0" w:type="pct"/>
            <w:vAlign w:val="bottom"/>
          </w:tcPr>
          <w:p w14:paraId="6ADE7BAC"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0.032 </w:t>
            </w:r>
            <w:r w:rsidRPr="00705B49">
              <w:rPr>
                <w:rFonts w:cs="Calibri"/>
                <w:szCs w:val="22"/>
              </w:rPr>
              <w:br/>
              <w:t>(0.025)</w:t>
            </w:r>
          </w:p>
        </w:tc>
        <w:tc>
          <w:tcPr>
            <w:tcW w:w="0" w:type="pct"/>
            <w:vAlign w:val="bottom"/>
          </w:tcPr>
          <w:p w14:paraId="743B69FF"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0.135** </w:t>
            </w:r>
            <w:r w:rsidRPr="00705B49">
              <w:rPr>
                <w:rFonts w:cs="Calibri"/>
                <w:szCs w:val="22"/>
              </w:rPr>
              <w:br/>
              <w:t>(0.064)</w:t>
            </w:r>
          </w:p>
        </w:tc>
      </w:tr>
      <w:tr w:rsidR="00EF7245" w:rsidRPr="00654F9E" w14:paraId="4A0FC7E6" w14:textId="77777777" w:rsidTr="00EF72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4" w:space="0" w:color="4BB3B5"/>
            </w:tcBorders>
            <w:vAlign w:val="bottom"/>
          </w:tcPr>
          <w:p w14:paraId="09D13D11" w14:textId="77777777" w:rsidR="00EF7245" w:rsidRPr="00705B49" w:rsidRDefault="00EF7245" w:rsidP="00EF7245">
            <w:pPr>
              <w:keepNext/>
              <w:spacing w:before="40" w:after="40"/>
              <w:rPr>
                <w:rFonts w:eastAsia="Times New Roman" w:cs="Calibri"/>
                <w:szCs w:val="22"/>
                <w:lang w:eastAsia="en-AU"/>
              </w:rPr>
            </w:pPr>
            <w:r w:rsidRPr="00705B49">
              <w:rPr>
                <w:rFonts w:cs="Calibri"/>
                <w:szCs w:val="22"/>
              </w:rPr>
              <w:t>R</w:t>
            </w:r>
            <w:r w:rsidRPr="00705B49">
              <w:rPr>
                <w:rFonts w:cs="Calibri"/>
                <w:szCs w:val="22"/>
                <w:vertAlign w:val="superscript"/>
              </w:rPr>
              <w:t>2</w:t>
            </w:r>
          </w:p>
        </w:tc>
        <w:tc>
          <w:tcPr>
            <w:tcW w:w="1103" w:type="pct"/>
            <w:tcBorders>
              <w:bottom w:val="single" w:sz="4" w:space="0" w:color="4BB3B5"/>
            </w:tcBorders>
            <w:vAlign w:val="bottom"/>
          </w:tcPr>
          <w:p w14:paraId="3B20722B"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0.049</w:t>
            </w:r>
          </w:p>
        </w:tc>
        <w:tc>
          <w:tcPr>
            <w:tcW w:w="845" w:type="pct"/>
            <w:tcBorders>
              <w:bottom w:val="single" w:sz="4" w:space="0" w:color="4BB3B5"/>
            </w:tcBorders>
            <w:vAlign w:val="bottom"/>
          </w:tcPr>
          <w:p w14:paraId="66C8AFEA"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0.057</w:t>
            </w:r>
          </w:p>
        </w:tc>
        <w:tc>
          <w:tcPr>
            <w:tcW w:w="845" w:type="pct"/>
            <w:tcBorders>
              <w:bottom w:val="single" w:sz="4" w:space="0" w:color="4BB3B5"/>
            </w:tcBorders>
            <w:vAlign w:val="bottom"/>
          </w:tcPr>
          <w:p w14:paraId="3C118B1C"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0.026</w:t>
            </w:r>
          </w:p>
        </w:tc>
        <w:tc>
          <w:tcPr>
            <w:tcW w:w="975" w:type="pct"/>
            <w:tcBorders>
              <w:bottom w:val="single" w:sz="4" w:space="0" w:color="4BB3B5"/>
            </w:tcBorders>
            <w:vAlign w:val="bottom"/>
          </w:tcPr>
          <w:p w14:paraId="0812889E"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0.053</w:t>
            </w:r>
          </w:p>
        </w:tc>
      </w:tr>
      <w:tr w:rsidR="00EF7245" w:rsidRPr="00654F9E" w14:paraId="56E5FB1D" w14:textId="77777777" w:rsidTr="00EF7245">
        <w:trPr>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12" w:space="0" w:color="4BB3B5"/>
            </w:tcBorders>
            <w:vAlign w:val="bottom"/>
          </w:tcPr>
          <w:p w14:paraId="5A74ACBA" w14:textId="77777777" w:rsidR="00EF7245" w:rsidRPr="00705B49" w:rsidRDefault="00EF7245" w:rsidP="00EF7245">
            <w:pPr>
              <w:keepNext/>
              <w:spacing w:before="40" w:after="40"/>
              <w:rPr>
                <w:rFonts w:eastAsia="Times New Roman" w:cs="Calibri"/>
                <w:szCs w:val="22"/>
                <w:lang w:eastAsia="en-AU"/>
              </w:rPr>
            </w:pPr>
            <w:r w:rsidRPr="00705B49">
              <w:rPr>
                <w:rFonts w:cs="Calibri"/>
                <w:szCs w:val="22"/>
              </w:rPr>
              <w:t>N (observations)</w:t>
            </w:r>
          </w:p>
        </w:tc>
        <w:tc>
          <w:tcPr>
            <w:tcW w:w="1103" w:type="pct"/>
            <w:tcBorders>
              <w:bottom w:val="single" w:sz="12" w:space="0" w:color="4BB3B5"/>
            </w:tcBorders>
            <w:vAlign w:val="bottom"/>
          </w:tcPr>
          <w:p w14:paraId="4913442C"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2,325</w:t>
            </w:r>
          </w:p>
        </w:tc>
        <w:tc>
          <w:tcPr>
            <w:tcW w:w="845" w:type="pct"/>
            <w:tcBorders>
              <w:bottom w:val="single" w:sz="12" w:space="0" w:color="4BB3B5"/>
            </w:tcBorders>
            <w:vAlign w:val="bottom"/>
          </w:tcPr>
          <w:p w14:paraId="032B1558"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3,214</w:t>
            </w:r>
          </w:p>
        </w:tc>
        <w:tc>
          <w:tcPr>
            <w:tcW w:w="845" w:type="pct"/>
            <w:tcBorders>
              <w:bottom w:val="single" w:sz="12" w:space="0" w:color="4BB3B5"/>
            </w:tcBorders>
            <w:vAlign w:val="bottom"/>
          </w:tcPr>
          <w:p w14:paraId="26DE7DC7"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2,325</w:t>
            </w:r>
          </w:p>
        </w:tc>
        <w:tc>
          <w:tcPr>
            <w:tcW w:w="975" w:type="pct"/>
            <w:tcBorders>
              <w:bottom w:val="single" w:sz="12" w:space="0" w:color="4BB3B5"/>
            </w:tcBorders>
            <w:vAlign w:val="bottom"/>
          </w:tcPr>
          <w:p w14:paraId="408C0699"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3,214</w:t>
            </w:r>
          </w:p>
        </w:tc>
      </w:tr>
      <w:tr w:rsidR="00EF7245" w:rsidRPr="00654F9E" w14:paraId="1AF4E289" w14:textId="77777777" w:rsidTr="00754E4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4BB3B5"/>
            </w:tcBorders>
          </w:tcPr>
          <w:p w14:paraId="4FDF7814" w14:textId="77777777" w:rsidR="00EF7245" w:rsidRPr="00705B49" w:rsidRDefault="00EF7245" w:rsidP="00F93F41">
            <w:pPr>
              <w:keepNext/>
              <w:spacing w:before="40" w:after="40"/>
              <w:rPr>
                <w:rFonts w:eastAsia="Times New Roman" w:cs="Calibri"/>
                <w:b w:val="0"/>
                <w:szCs w:val="22"/>
                <w:lang w:eastAsia="en-AU"/>
              </w:rPr>
            </w:pPr>
            <w:r w:rsidRPr="00705B49">
              <w:rPr>
                <w:rFonts w:cs="Calibri"/>
                <w:b w:val="0"/>
                <w:szCs w:val="22"/>
              </w:rPr>
              <w:t>Post-adoption (lagged)</w:t>
            </w:r>
          </w:p>
        </w:tc>
        <w:tc>
          <w:tcPr>
            <w:tcW w:w="0" w:type="pct"/>
            <w:tcBorders>
              <w:top w:val="single" w:sz="12" w:space="0" w:color="4BB3B5"/>
            </w:tcBorders>
            <w:vAlign w:val="bottom"/>
          </w:tcPr>
          <w:p w14:paraId="4B0E6A5C"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 xml:space="preserve">0.008 </w:t>
            </w:r>
            <w:r w:rsidRPr="00705B49">
              <w:rPr>
                <w:rFonts w:cs="Calibri"/>
                <w:szCs w:val="22"/>
              </w:rPr>
              <w:br/>
              <w:t>(0.018)</w:t>
            </w:r>
          </w:p>
        </w:tc>
        <w:tc>
          <w:tcPr>
            <w:tcW w:w="0" w:type="pct"/>
            <w:tcBorders>
              <w:top w:val="single" w:sz="12" w:space="0" w:color="4BB3B5"/>
            </w:tcBorders>
            <w:vAlign w:val="bottom"/>
          </w:tcPr>
          <w:p w14:paraId="03133620"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 xml:space="preserve">-0.013 </w:t>
            </w:r>
            <w:r w:rsidRPr="00705B49">
              <w:rPr>
                <w:rFonts w:cs="Calibri"/>
                <w:szCs w:val="22"/>
              </w:rPr>
              <w:br/>
              <w:t>(0.035)</w:t>
            </w:r>
          </w:p>
        </w:tc>
        <w:tc>
          <w:tcPr>
            <w:tcW w:w="0" w:type="pct"/>
            <w:tcBorders>
              <w:top w:val="single" w:sz="12" w:space="0" w:color="4BB3B5"/>
            </w:tcBorders>
            <w:vAlign w:val="bottom"/>
          </w:tcPr>
          <w:p w14:paraId="13100FEB"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 xml:space="preserve">-0.001 </w:t>
            </w:r>
            <w:r w:rsidRPr="00705B49">
              <w:rPr>
                <w:rFonts w:cs="Calibri"/>
                <w:szCs w:val="22"/>
              </w:rPr>
              <w:br/>
              <w:t>(0.029)</w:t>
            </w:r>
          </w:p>
        </w:tc>
        <w:tc>
          <w:tcPr>
            <w:tcW w:w="0" w:type="pct"/>
            <w:tcBorders>
              <w:top w:val="single" w:sz="12" w:space="0" w:color="4BB3B5"/>
            </w:tcBorders>
            <w:vAlign w:val="bottom"/>
          </w:tcPr>
          <w:p w14:paraId="6A3F56E1"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 xml:space="preserve">0.036 </w:t>
            </w:r>
            <w:r w:rsidRPr="00705B49">
              <w:rPr>
                <w:rFonts w:cs="Calibri"/>
                <w:szCs w:val="22"/>
              </w:rPr>
              <w:br/>
              <w:t>(0.044)</w:t>
            </w:r>
          </w:p>
        </w:tc>
      </w:tr>
      <w:tr w:rsidR="00EF7245" w:rsidRPr="00654F9E" w14:paraId="100FDEAC" w14:textId="77777777" w:rsidTr="00EF7245">
        <w:trPr>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4" w:space="0" w:color="4BB3B5"/>
            </w:tcBorders>
            <w:vAlign w:val="bottom"/>
          </w:tcPr>
          <w:p w14:paraId="3FA371B8" w14:textId="77777777" w:rsidR="00EF7245" w:rsidRPr="00705B49" w:rsidRDefault="00EF7245" w:rsidP="00EF7245">
            <w:pPr>
              <w:keepNext/>
              <w:spacing w:before="40" w:after="40"/>
              <w:rPr>
                <w:rFonts w:eastAsia="Times New Roman" w:cs="Calibri"/>
                <w:szCs w:val="22"/>
                <w:lang w:eastAsia="en-AU"/>
              </w:rPr>
            </w:pPr>
            <w:r w:rsidRPr="00705B49">
              <w:rPr>
                <w:rFonts w:cs="Calibri"/>
                <w:szCs w:val="22"/>
              </w:rPr>
              <w:t>R</w:t>
            </w:r>
            <w:r w:rsidRPr="00705B49">
              <w:rPr>
                <w:rFonts w:cs="Calibri"/>
                <w:szCs w:val="22"/>
                <w:vertAlign w:val="superscript"/>
              </w:rPr>
              <w:t>2</w:t>
            </w:r>
          </w:p>
        </w:tc>
        <w:tc>
          <w:tcPr>
            <w:tcW w:w="1103" w:type="pct"/>
            <w:tcBorders>
              <w:bottom w:val="single" w:sz="4" w:space="0" w:color="4BB3B5"/>
            </w:tcBorders>
            <w:vAlign w:val="bottom"/>
          </w:tcPr>
          <w:p w14:paraId="7C4E7269"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0.041</w:t>
            </w:r>
          </w:p>
        </w:tc>
        <w:tc>
          <w:tcPr>
            <w:tcW w:w="845" w:type="pct"/>
            <w:tcBorders>
              <w:bottom w:val="single" w:sz="4" w:space="0" w:color="4BB3B5"/>
            </w:tcBorders>
            <w:vAlign w:val="bottom"/>
          </w:tcPr>
          <w:p w14:paraId="68882CCA"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0.046</w:t>
            </w:r>
          </w:p>
        </w:tc>
        <w:tc>
          <w:tcPr>
            <w:tcW w:w="845" w:type="pct"/>
            <w:tcBorders>
              <w:bottom w:val="single" w:sz="4" w:space="0" w:color="4BB3B5"/>
            </w:tcBorders>
            <w:vAlign w:val="bottom"/>
          </w:tcPr>
          <w:p w14:paraId="4B2B2AF5"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0.042</w:t>
            </w:r>
          </w:p>
        </w:tc>
        <w:tc>
          <w:tcPr>
            <w:tcW w:w="975" w:type="pct"/>
            <w:tcBorders>
              <w:bottom w:val="single" w:sz="4" w:space="0" w:color="4BB3B5"/>
            </w:tcBorders>
            <w:vAlign w:val="bottom"/>
          </w:tcPr>
          <w:p w14:paraId="521BD038"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0.039</w:t>
            </w:r>
          </w:p>
        </w:tc>
      </w:tr>
      <w:tr w:rsidR="00EF7245" w:rsidRPr="00654F9E" w14:paraId="6D275CAF" w14:textId="77777777" w:rsidTr="00EF72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12" w:space="0" w:color="4BB3B5"/>
            </w:tcBorders>
            <w:vAlign w:val="bottom"/>
          </w:tcPr>
          <w:p w14:paraId="4BDE164B" w14:textId="77777777" w:rsidR="00EF7245" w:rsidRPr="00705B49" w:rsidRDefault="00EF7245" w:rsidP="00EF7245">
            <w:pPr>
              <w:keepNext/>
              <w:spacing w:before="40" w:after="40"/>
              <w:rPr>
                <w:rFonts w:eastAsia="Times New Roman" w:cs="Calibri"/>
                <w:szCs w:val="22"/>
                <w:lang w:eastAsia="en-AU"/>
              </w:rPr>
            </w:pPr>
            <w:r w:rsidRPr="00705B49">
              <w:rPr>
                <w:rFonts w:cs="Calibri"/>
                <w:szCs w:val="22"/>
              </w:rPr>
              <w:t>N (observations)</w:t>
            </w:r>
          </w:p>
        </w:tc>
        <w:tc>
          <w:tcPr>
            <w:tcW w:w="1103" w:type="pct"/>
            <w:tcBorders>
              <w:bottom w:val="single" w:sz="12" w:space="0" w:color="4BB3B5"/>
            </w:tcBorders>
            <w:vAlign w:val="bottom"/>
          </w:tcPr>
          <w:p w14:paraId="220A22B9"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1,906</w:t>
            </w:r>
          </w:p>
        </w:tc>
        <w:tc>
          <w:tcPr>
            <w:tcW w:w="845" w:type="pct"/>
            <w:tcBorders>
              <w:bottom w:val="single" w:sz="12" w:space="0" w:color="4BB3B5"/>
            </w:tcBorders>
            <w:vAlign w:val="bottom"/>
          </w:tcPr>
          <w:p w14:paraId="79E2E720"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2,510</w:t>
            </w:r>
          </w:p>
        </w:tc>
        <w:tc>
          <w:tcPr>
            <w:tcW w:w="845" w:type="pct"/>
            <w:tcBorders>
              <w:bottom w:val="single" w:sz="12" w:space="0" w:color="4BB3B5"/>
            </w:tcBorders>
            <w:vAlign w:val="bottom"/>
          </w:tcPr>
          <w:p w14:paraId="10C9A140"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1,906</w:t>
            </w:r>
          </w:p>
        </w:tc>
        <w:tc>
          <w:tcPr>
            <w:tcW w:w="975" w:type="pct"/>
            <w:tcBorders>
              <w:bottom w:val="single" w:sz="12" w:space="0" w:color="4BB3B5"/>
            </w:tcBorders>
            <w:vAlign w:val="bottom"/>
          </w:tcPr>
          <w:p w14:paraId="223BDA03" w14:textId="77777777" w:rsidR="00EF7245" w:rsidRPr="00705B49" w:rsidRDefault="00EF7245" w:rsidP="00EF7245">
            <w:pPr>
              <w:keepNext/>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2,510</w:t>
            </w:r>
          </w:p>
        </w:tc>
      </w:tr>
      <w:tr w:rsidR="00EF7245" w:rsidRPr="00654F9E" w14:paraId="540B9E45" w14:textId="77777777" w:rsidTr="00EF7245">
        <w:trPr>
          <w:cantSplit/>
        </w:trPr>
        <w:tc>
          <w:tcPr>
            <w:cnfStyle w:val="001000000000" w:firstRow="0" w:lastRow="0" w:firstColumn="1" w:lastColumn="0" w:oddVBand="0" w:evenVBand="0" w:oddHBand="0" w:evenHBand="0" w:firstRowFirstColumn="0" w:firstRowLastColumn="0" w:lastRowFirstColumn="0" w:lastRowLastColumn="0"/>
            <w:tcW w:w="1232" w:type="pct"/>
            <w:tcBorders>
              <w:top w:val="single" w:sz="12" w:space="0" w:color="4BB3B5"/>
            </w:tcBorders>
            <w:vAlign w:val="bottom"/>
          </w:tcPr>
          <w:p w14:paraId="1A1B9D3D" w14:textId="77777777" w:rsidR="00EF7245" w:rsidRPr="00705B49" w:rsidRDefault="00EF7245" w:rsidP="00EF7245">
            <w:pPr>
              <w:keepNext/>
              <w:spacing w:before="40" w:after="40"/>
              <w:rPr>
                <w:rFonts w:eastAsia="Times New Roman" w:cs="Calibri"/>
                <w:b w:val="0"/>
                <w:szCs w:val="22"/>
                <w:lang w:eastAsia="en-AU"/>
              </w:rPr>
            </w:pPr>
            <w:r w:rsidRPr="00705B49">
              <w:rPr>
                <w:rFonts w:cs="Calibri"/>
                <w:b w:val="0"/>
                <w:szCs w:val="22"/>
              </w:rPr>
              <w:t xml:space="preserve">Post-adoption </w:t>
            </w:r>
            <w:r w:rsidRPr="00705B49">
              <w:rPr>
                <w:rFonts w:cs="Calibri"/>
                <w:b w:val="0"/>
                <w:szCs w:val="22"/>
              </w:rPr>
              <w:br/>
              <w:t>(2-year lag)</w:t>
            </w:r>
          </w:p>
        </w:tc>
        <w:tc>
          <w:tcPr>
            <w:tcW w:w="1103" w:type="pct"/>
            <w:tcBorders>
              <w:top w:val="single" w:sz="12" w:space="0" w:color="4BB3B5"/>
            </w:tcBorders>
            <w:vAlign w:val="bottom"/>
          </w:tcPr>
          <w:p w14:paraId="306BE3C9"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-0.019 </w:t>
            </w:r>
            <w:r w:rsidRPr="00705B49">
              <w:rPr>
                <w:rFonts w:cs="Calibri"/>
                <w:szCs w:val="22"/>
              </w:rPr>
              <w:br/>
              <w:t>(0.022)</w:t>
            </w:r>
          </w:p>
        </w:tc>
        <w:tc>
          <w:tcPr>
            <w:tcW w:w="845" w:type="pct"/>
            <w:tcBorders>
              <w:top w:val="single" w:sz="12" w:space="0" w:color="4BB3B5"/>
            </w:tcBorders>
            <w:vAlign w:val="bottom"/>
          </w:tcPr>
          <w:p w14:paraId="360E5975"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0.01 </w:t>
            </w:r>
            <w:r w:rsidRPr="00705B49">
              <w:rPr>
                <w:rFonts w:cs="Calibri"/>
                <w:szCs w:val="22"/>
              </w:rPr>
              <w:br/>
              <w:t>(0.042)</w:t>
            </w:r>
          </w:p>
        </w:tc>
        <w:tc>
          <w:tcPr>
            <w:tcW w:w="845" w:type="pct"/>
            <w:tcBorders>
              <w:top w:val="single" w:sz="12" w:space="0" w:color="4BB3B5"/>
            </w:tcBorders>
            <w:vAlign w:val="bottom"/>
          </w:tcPr>
          <w:p w14:paraId="5F8AA343"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-0.01 </w:t>
            </w:r>
            <w:r w:rsidRPr="00705B49">
              <w:rPr>
                <w:rFonts w:cs="Calibri"/>
                <w:szCs w:val="22"/>
              </w:rPr>
              <w:br/>
              <w:t>(0.034)</w:t>
            </w:r>
          </w:p>
        </w:tc>
        <w:tc>
          <w:tcPr>
            <w:tcW w:w="975" w:type="pct"/>
            <w:tcBorders>
              <w:top w:val="single" w:sz="12" w:space="0" w:color="4BB3B5"/>
            </w:tcBorders>
            <w:vAlign w:val="bottom"/>
          </w:tcPr>
          <w:p w14:paraId="64A61F4C" w14:textId="77777777" w:rsidR="00EF7245" w:rsidRPr="00705B49" w:rsidRDefault="00EF7245" w:rsidP="00EF7245">
            <w:pPr>
              <w:keepNext/>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 xml:space="preserve">-0.139 </w:t>
            </w:r>
            <w:r w:rsidRPr="00705B49">
              <w:rPr>
                <w:rFonts w:cs="Calibri"/>
                <w:szCs w:val="22"/>
              </w:rPr>
              <w:br/>
              <w:t>(0.12)</w:t>
            </w:r>
          </w:p>
        </w:tc>
      </w:tr>
      <w:tr w:rsidR="00EF7245" w:rsidRPr="00654F9E" w14:paraId="7351C0F2" w14:textId="77777777" w:rsidTr="00EF72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4" w:space="0" w:color="4BB3B5"/>
            </w:tcBorders>
            <w:vAlign w:val="bottom"/>
          </w:tcPr>
          <w:p w14:paraId="5CC399FA" w14:textId="77777777" w:rsidR="00EF7245" w:rsidRPr="00705B49" w:rsidRDefault="00EF7245" w:rsidP="00EF7245">
            <w:pPr>
              <w:spacing w:before="40" w:after="40"/>
              <w:rPr>
                <w:rFonts w:eastAsia="Times New Roman" w:cs="Calibri"/>
                <w:szCs w:val="22"/>
                <w:lang w:eastAsia="en-AU"/>
              </w:rPr>
            </w:pPr>
            <w:r w:rsidRPr="00705B49">
              <w:rPr>
                <w:rFonts w:cs="Calibri"/>
                <w:szCs w:val="22"/>
              </w:rPr>
              <w:t>R</w:t>
            </w:r>
            <w:r w:rsidRPr="00705B49">
              <w:rPr>
                <w:rFonts w:cs="Calibri"/>
                <w:szCs w:val="22"/>
                <w:vertAlign w:val="superscript"/>
              </w:rPr>
              <w:t>2</w:t>
            </w:r>
          </w:p>
        </w:tc>
        <w:tc>
          <w:tcPr>
            <w:tcW w:w="1103" w:type="pct"/>
            <w:tcBorders>
              <w:bottom w:val="single" w:sz="4" w:space="0" w:color="4BB3B5"/>
            </w:tcBorders>
            <w:vAlign w:val="bottom"/>
          </w:tcPr>
          <w:p w14:paraId="56F6EEA6"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0.045</w:t>
            </w:r>
          </w:p>
        </w:tc>
        <w:tc>
          <w:tcPr>
            <w:tcW w:w="845" w:type="pct"/>
            <w:tcBorders>
              <w:bottom w:val="single" w:sz="4" w:space="0" w:color="4BB3B5"/>
            </w:tcBorders>
            <w:vAlign w:val="bottom"/>
          </w:tcPr>
          <w:p w14:paraId="5A2E468C"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0.045</w:t>
            </w:r>
          </w:p>
        </w:tc>
        <w:tc>
          <w:tcPr>
            <w:tcW w:w="845" w:type="pct"/>
            <w:tcBorders>
              <w:bottom w:val="single" w:sz="4" w:space="0" w:color="4BB3B5"/>
            </w:tcBorders>
            <w:vAlign w:val="bottom"/>
          </w:tcPr>
          <w:p w14:paraId="3C554672"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0.09</w:t>
            </w:r>
          </w:p>
        </w:tc>
        <w:tc>
          <w:tcPr>
            <w:tcW w:w="975" w:type="pct"/>
            <w:tcBorders>
              <w:bottom w:val="single" w:sz="4" w:space="0" w:color="4BB3B5"/>
            </w:tcBorders>
            <w:vAlign w:val="bottom"/>
          </w:tcPr>
          <w:p w14:paraId="2E7C583C"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0.203</w:t>
            </w:r>
          </w:p>
        </w:tc>
      </w:tr>
      <w:tr w:rsidR="00EF7245" w:rsidRPr="00654F9E" w14:paraId="591F2368" w14:textId="77777777" w:rsidTr="00EF7245">
        <w:trPr>
          <w:cantSplit/>
        </w:trPr>
        <w:tc>
          <w:tcPr>
            <w:cnfStyle w:val="001000000000" w:firstRow="0" w:lastRow="0" w:firstColumn="1" w:lastColumn="0" w:oddVBand="0" w:evenVBand="0" w:oddHBand="0" w:evenHBand="0" w:firstRowFirstColumn="0" w:firstRowLastColumn="0" w:lastRowFirstColumn="0" w:lastRowLastColumn="0"/>
            <w:tcW w:w="1232" w:type="pct"/>
            <w:tcBorders>
              <w:bottom w:val="single" w:sz="12" w:space="0" w:color="4BB3B5"/>
            </w:tcBorders>
            <w:vAlign w:val="bottom"/>
          </w:tcPr>
          <w:p w14:paraId="22640B3D" w14:textId="77777777" w:rsidR="00EF7245" w:rsidRPr="00705B49" w:rsidRDefault="00EF7245" w:rsidP="00EF7245">
            <w:pPr>
              <w:spacing w:before="40" w:after="40"/>
              <w:rPr>
                <w:rFonts w:eastAsia="Times New Roman" w:cs="Calibri"/>
                <w:szCs w:val="22"/>
                <w:lang w:eastAsia="en-AU"/>
              </w:rPr>
            </w:pPr>
            <w:r w:rsidRPr="00705B49">
              <w:rPr>
                <w:rFonts w:cs="Calibri"/>
                <w:szCs w:val="22"/>
              </w:rPr>
              <w:t>N (observations)</w:t>
            </w:r>
          </w:p>
        </w:tc>
        <w:tc>
          <w:tcPr>
            <w:tcW w:w="1103" w:type="pct"/>
            <w:tcBorders>
              <w:bottom w:val="single" w:sz="12" w:space="0" w:color="4BB3B5"/>
            </w:tcBorders>
            <w:vAlign w:val="bottom"/>
          </w:tcPr>
          <w:p w14:paraId="730FD86E"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1,626</w:t>
            </w:r>
          </w:p>
        </w:tc>
        <w:tc>
          <w:tcPr>
            <w:tcW w:w="845" w:type="pct"/>
            <w:tcBorders>
              <w:bottom w:val="single" w:sz="12" w:space="0" w:color="4BB3B5"/>
            </w:tcBorders>
            <w:vAlign w:val="bottom"/>
          </w:tcPr>
          <w:p w14:paraId="41EEF9C8"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1,626</w:t>
            </w:r>
          </w:p>
        </w:tc>
        <w:tc>
          <w:tcPr>
            <w:tcW w:w="845" w:type="pct"/>
            <w:tcBorders>
              <w:bottom w:val="single" w:sz="12" w:space="0" w:color="4BB3B5"/>
            </w:tcBorders>
            <w:vAlign w:val="bottom"/>
          </w:tcPr>
          <w:p w14:paraId="07F15762"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1,626</w:t>
            </w:r>
          </w:p>
        </w:tc>
        <w:tc>
          <w:tcPr>
            <w:tcW w:w="975" w:type="pct"/>
            <w:tcBorders>
              <w:bottom w:val="single" w:sz="12" w:space="0" w:color="4BB3B5"/>
            </w:tcBorders>
            <w:vAlign w:val="bottom"/>
          </w:tcPr>
          <w:p w14:paraId="50B20964"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2,068</w:t>
            </w:r>
          </w:p>
        </w:tc>
      </w:tr>
      <w:tr w:rsidR="00EF7245" w:rsidRPr="00654F9E" w14:paraId="6A31306F" w14:textId="77777777" w:rsidTr="00EF72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tcBorders>
              <w:top w:val="single" w:sz="12" w:space="0" w:color="4BB3B5"/>
            </w:tcBorders>
            <w:vAlign w:val="bottom"/>
          </w:tcPr>
          <w:p w14:paraId="1A9E4412" w14:textId="77777777" w:rsidR="00EF7245" w:rsidRPr="00705B49" w:rsidRDefault="00EF7245" w:rsidP="00EF7245">
            <w:pPr>
              <w:spacing w:before="40" w:after="40"/>
              <w:rPr>
                <w:rFonts w:eastAsia="Times New Roman" w:cs="Calibri"/>
                <w:b w:val="0"/>
                <w:szCs w:val="22"/>
                <w:lang w:eastAsia="en-AU"/>
              </w:rPr>
            </w:pPr>
            <w:r w:rsidRPr="00705B49">
              <w:rPr>
                <w:rFonts w:cs="Calibri"/>
                <w:b w:val="0"/>
                <w:szCs w:val="22"/>
              </w:rPr>
              <w:t>Post-adoption (sustained impact)</w:t>
            </w:r>
          </w:p>
        </w:tc>
        <w:tc>
          <w:tcPr>
            <w:tcW w:w="1103" w:type="pct"/>
            <w:tcBorders>
              <w:top w:val="single" w:sz="12" w:space="0" w:color="4BB3B5"/>
            </w:tcBorders>
            <w:vAlign w:val="bottom"/>
          </w:tcPr>
          <w:p w14:paraId="44A6209C"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0.021</w:t>
            </w:r>
            <w:r w:rsidRPr="00705B49">
              <w:rPr>
                <w:rFonts w:cs="Calibri"/>
                <w:szCs w:val="22"/>
              </w:rPr>
              <w:br/>
              <w:t>(0.013)</w:t>
            </w:r>
          </w:p>
        </w:tc>
        <w:tc>
          <w:tcPr>
            <w:tcW w:w="845" w:type="pct"/>
            <w:tcBorders>
              <w:top w:val="single" w:sz="12" w:space="0" w:color="4BB3B5"/>
            </w:tcBorders>
            <w:vAlign w:val="bottom"/>
          </w:tcPr>
          <w:p w14:paraId="343DD1BF"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 xml:space="preserve">0.11*** </w:t>
            </w:r>
            <w:r w:rsidRPr="00705B49">
              <w:rPr>
                <w:rFonts w:cs="Calibri"/>
                <w:szCs w:val="22"/>
              </w:rPr>
              <w:br/>
              <w:t>(0.035)</w:t>
            </w:r>
          </w:p>
        </w:tc>
        <w:tc>
          <w:tcPr>
            <w:tcW w:w="845" w:type="pct"/>
            <w:tcBorders>
              <w:top w:val="single" w:sz="12" w:space="0" w:color="4BB3B5"/>
            </w:tcBorders>
            <w:vAlign w:val="bottom"/>
          </w:tcPr>
          <w:p w14:paraId="42A45465"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 xml:space="preserve">0.051*** </w:t>
            </w:r>
            <w:r w:rsidRPr="00705B49">
              <w:rPr>
                <w:rFonts w:cs="Calibri"/>
                <w:szCs w:val="22"/>
              </w:rPr>
              <w:br/>
              <w:t>(0.019)</w:t>
            </w:r>
          </w:p>
        </w:tc>
        <w:tc>
          <w:tcPr>
            <w:tcW w:w="975" w:type="pct"/>
            <w:tcBorders>
              <w:top w:val="single" w:sz="12" w:space="0" w:color="4BB3B5"/>
            </w:tcBorders>
            <w:vAlign w:val="bottom"/>
          </w:tcPr>
          <w:p w14:paraId="35466F86"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 xml:space="preserve">0.091** </w:t>
            </w:r>
            <w:r w:rsidRPr="00705B49">
              <w:rPr>
                <w:rFonts w:cs="Calibri"/>
                <w:szCs w:val="22"/>
              </w:rPr>
              <w:br/>
              <w:t>(0.045)</w:t>
            </w:r>
          </w:p>
        </w:tc>
      </w:tr>
      <w:tr w:rsidR="00EF7245" w:rsidRPr="00654F9E" w14:paraId="7AC8AB38" w14:textId="77777777" w:rsidTr="00EF7245">
        <w:trPr>
          <w:cantSplit/>
        </w:trPr>
        <w:tc>
          <w:tcPr>
            <w:cnfStyle w:val="001000000000" w:firstRow="0" w:lastRow="0" w:firstColumn="1" w:lastColumn="0" w:oddVBand="0" w:evenVBand="0" w:oddHBand="0" w:evenHBand="0" w:firstRowFirstColumn="0" w:firstRowLastColumn="0" w:lastRowFirstColumn="0" w:lastRowLastColumn="0"/>
            <w:tcW w:w="1232" w:type="pct"/>
            <w:vAlign w:val="bottom"/>
          </w:tcPr>
          <w:p w14:paraId="7C1BFA79" w14:textId="77777777" w:rsidR="00EF7245" w:rsidRPr="00705B49" w:rsidRDefault="00EF7245" w:rsidP="00EF7245">
            <w:pPr>
              <w:spacing w:before="40" w:after="40"/>
              <w:rPr>
                <w:rFonts w:eastAsia="Times New Roman" w:cs="Calibri"/>
                <w:szCs w:val="22"/>
                <w:lang w:eastAsia="en-AU"/>
              </w:rPr>
            </w:pPr>
            <w:r w:rsidRPr="00705B49">
              <w:rPr>
                <w:rFonts w:cs="Calibri"/>
                <w:i/>
                <w:szCs w:val="22"/>
              </w:rPr>
              <w:t>R</w:t>
            </w:r>
            <w:r w:rsidRPr="00705B49">
              <w:rPr>
                <w:rFonts w:cs="Calibri"/>
                <w:i/>
                <w:szCs w:val="22"/>
                <w:vertAlign w:val="superscript"/>
              </w:rPr>
              <w:t>2</w:t>
            </w:r>
          </w:p>
        </w:tc>
        <w:tc>
          <w:tcPr>
            <w:tcW w:w="1103" w:type="pct"/>
            <w:vAlign w:val="bottom"/>
          </w:tcPr>
          <w:p w14:paraId="5864E03A"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0.030</w:t>
            </w:r>
          </w:p>
        </w:tc>
        <w:tc>
          <w:tcPr>
            <w:tcW w:w="845" w:type="pct"/>
            <w:vAlign w:val="bottom"/>
          </w:tcPr>
          <w:p w14:paraId="30FAFD0B"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0.056</w:t>
            </w:r>
          </w:p>
        </w:tc>
        <w:tc>
          <w:tcPr>
            <w:tcW w:w="845" w:type="pct"/>
            <w:vAlign w:val="bottom"/>
          </w:tcPr>
          <w:p w14:paraId="27CA5F05"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0.024</w:t>
            </w:r>
          </w:p>
        </w:tc>
        <w:tc>
          <w:tcPr>
            <w:tcW w:w="975" w:type="pct"/>
            <w:vAlign w:val="bottom"/>
          </w:tcPr>
          <w:p w14:paraId="19AC1C5C" w14:textId="77777777" w:rsidR="00EF7245" w:rsidRPr="00705B49" w:rsidRDefault="00EF7245" w:rsidP="00EF7245">
            <w:pPr>
              <w:spacing w:before="40" w:after="40"/>
              <w:ind w:right="407"/>
              <w:jc w:val="right"/>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cs="Calibri"/>
                <w:szCs w:val="22"/>
              </w:rPr>
              <w:t>0.046</w:t>
            </w:r>
          </w:p>
        </w:tc>
      </w:tr>
      <w:tr w:rsidR="00EF7245" w:rsidRPr="00654F9E" w14:paraId="2B94D325" w14:textId="77777777" w:rsidTr="00EF72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2" w:type="pct"/>
            <w:vAlign w:val="bottom"/>
          </w:tcPr>
          <w:p w14:paraId="7F5D6D37" w14:textId="77777777" w:rsidR="00EF7245" w:rsidRPr="00705B49" w:rsidRDefault="00EF7245" w:rsidP="00EF7245">
            <w:pPr>
              <w:spacing w:before="40" w:after="40"/>
              <w:rPr>
                <w:rFonts w:eastAsia="Times New Roman" w:cs="Calibri"/>
                <w:szCs w:val="22"/>
                <w:lang w:eastAsia="en-AU"/>
              </w:rPr>
            </w:pPr>
            <w:r w:rsidRPr="00705B49">
              <w:rPr>
                <w:rFonts w:cs="Calibri"/>
                <w:szCs w:val="22"/>
              </w:rPr>
              <w:t>N (observations)</w:t>
            </w:r>
          </w:p>
        </w:tc>
        <w:tc>
          <w:tcPr>
            <w:tcW w:w="1103" w:type="pct"/>
            <w:vAlign w:val="bottom"/>
          </w:tcPr>
          <w:p w14:paraId="3E33CA25"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3,794</w:t>
            </w:r>
          </w:p>
        </w:tc>
        <w:tc>
          <w:tcPr>
            <w:tcW w:w="845" w:type="pct"/>
            <w:vAlign w:val="bottom"/>
          </w:tcPr>
          <w:p w14:paraId="63DECE52"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5,076</w:t>
            </w:r>
          </w:p>
        </w:tc>
        <w:tc>
          <w:tcPr>
            <w:tcW w:w="845" w:type="pct"/>
            <w:vAlign w:val="bottom"/>
          </w:tcPr>
          <w:p w14:paraId="759E1AAB"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3,794</w:t>
            </w:r>
          </w:p>
        </w:tc>
        <w:tc>
          <w:tcPr>
            <w:tcW w:w="975" w:type="pct"/>
            <w:vAlign w:val="bottom"/>
          </w:tcPr>
          <w:p w14:paraId="4D720E20" w14:textId="77777777" w:rsidR="00EF7245" w:rsidRPr="00705B49" w:rsidRDefault="00EF7245" w:rsidP="00EF7245">
            <w:pPr>
              <w:spacing w:before="40" w:after="40"/>
              <w:ind w:right="407"/>
              <w:jc w:val="right"/>
              <w:cnfStyle w:val="000000010000" w:firstRow="0" w:lastRow="0" w:firstColumn="0" w:lastColumn="0" w:oddVBand="0" w:evenVBand="0" w:oddHBand="0" w:evenHBand="1" w:firstRowFirstColumn="0" w:firstRowLastColumn="0" w:lastRowFirstColumn="0" w:lastRowLastColumn="0"/>
              <w:rPr>
                <w:rFonts w:eastAsia="Times New Roman" w:cs="Calibri"/>
                <w:szCs w:val="22"/>
                <w:lang w:eastAsia="en-AU"/>
              </w:rPr>
            </w:pPr>
            <w:r w:rsidRPr="00705B49">
              <w:rPr>
                <w:rFonts w:cs="Calibri"/>
                <w:szCs w:val="22"/>
              </w:rPr>
              <w:t>5,076</w:t>
            </w:r>
          </w:p>
        </w:tc>
      </w:tr>
    </w:tbl>
    <w:p w14:paraId="0774ED0A" w14:textId="77777777" w:rsidR="00494CC3" w:rsidRPr="00705B49" w:rsidRDefault="00494CC3" w:rsidP="00494CC3">
      <w:pPr>
        <w:pStyle w:val="Sourcenotes"/>
        <w:rPr>
          <w:lang w:val="en-AU"/>
        </w:rPr>
      </w:pPr>
      <w:r w:rsidRPr="00705B49">
        <w:rPr>
          <w:lang w:val="en-US"/>
        </w:rPr>
        <w:t>Source:</w:t>
      </w:r>
      <w:r w:rsidRPr="00705B49">
        <w:rPr>
          <w:lang w:val="en-AU"/>
        </w:rPr>
        <w:t xml:space="preserve"> BCARR analysis of BLADE data from </w:t>
      </w:r>
      <w:r w:rsidRPr="00705B49">
        <w:rPr>
          <w:noProof/>
        </w:rPr>
        <w:t>2009–10 to 2018–19</w:t>
      </w:r>
      <w:r w:rsidRPr="00705B49">
        <w:rPr>
          <w:noProof/>
          <w:lang w:val="en-US"/>
        </w:rPr>
        <w:t>.</w:t>
      </w:r>
      <w:r w:rsidRPr="00705B49">
        <w:rPr>
          <w:lang w:val="en-AU"/>
        </w:rPr>
        <w:t xml:space="preserve"> Numbers indicate impact on productivity, *, **, *** indicates statistical significance at the 10%, 5%, 1% levels respectively. Controls and intercept coefficients are not shown. 1: Individual fixed-effects regressions are used for all models, with the exception of post adoption sustained impacts, where the multiple number of periods per firm allows for two-way fixed effects. Robust standard errors in parentheses.</w:t>
      </w:r>
    </w:p>
    <w:p w14:paraId="2BB64DC2" w14:textId="77777777" w:rsidR="00494CC3" w:rsidRPr="00705B49" w:rsidRDefault="00494CC3" w:rsidP="00494CC3">
      <w:r w:rsidRPr="00705B49">
        <w:t xml:space="preserve">The results should be treated with caution, as endogeneity has not been accounted for. Endogeneity in this analysis involves wrongly attributing productivity growth increases to broadband adoption, when the causal effect may be the other way around (i.e. higher productivity businesses being more likely to self-select better broadband technologies). Despite this limitation, some endogeneity is avoided by the introduction of the NBN. During the NBN rollout, many firms may have been forced to switch from DSL-based connections to fibre-based connections, mitigating some of the causality issues that arises from firms self-selecting better broadband technologies. </w:t>
      </w:r>
    </w:p>
    <w:p w14:paraId="0BD1DD01" w14:textId="77777777" w:rsidR="00494CC3" w:rsidRPr="00705B49" w:rsidRDefault="00494CC3" w:rsidP="00FF191D">
      <w:pPr>
        <w:pStyle w:val="Tablefigureheading"/>
      </w:pPr>
      <w:bookmarkStart w:id="198" w:name="_Toc115175403"/>
      <w:bookmarkStart w:id="199" w:name="_Toc129767635"/>
      <w:r w:rsidRPr="00705B49">
        <w:lastRenderedPageBreak/>
        <w:t xml:space="preserve">Table </w:t>
      </w:r>
      <w:fldSimple w:instr=" SEQ Table \* ARABIC ">
        <w:r w:rsidRPr="00705B49">
          <w:rPr>
            <w:noProof/>
          </w:rPr>
          <w:t>17</w:t>
        </w:r>
      </w:fldSimple>
      <w:r w:rsidRPr="00705B49">
        <w:t>. MFP Regression results – Division controls, effect of fibre/cable broadband adoption</w:t>
      </w:r>
      <w:bookmarkEnd w:id="198"/>
      <w:bookmarkEnd w:id="199"/>
    </w:p>
    <w:tbl>
      <w:tblPr>
        <w:tblStyle w:val="DefaultTable1"/>
        <w:tblW w:w="5102" w:type="pct"/>
        <w:tblLayout w:type="fixed"/>
        <w:tblLook w:val="04A0" w:firstRow="1" w:lastRow="0" w:firstColumn="1" w:lastColumn="0" w:noHBand="0" w:noVBand="1"/>
        <w:tblCaption w:val="Table 17. MFP Regression results – Division controls, effect of fibre/cable broadband adoption"/>
        <w:tblDescription w:val="Table 17. MFP Regression results – Division controls, effect of fibre/cable broadband adoption"/>
      </w:tblPr>
      <w:tblGrid>
        <w:gridCol w:w="3133"/>
        <w:gridCol w:w="1091"/>
        <w:gridCol w:w="1091"/>
        <w:gridCol w:w="1085"/>
        <w:gridCol w:w="1029"/>
        <w:gridCol w:w="1056"/>
        <w:gridCol w:w="1183"/>
      </w:tblGrid>
      <w:tr w:rsidR="00494CC3" w:rsidRPr="00705B49" w14:paraId="7856D860" w14:textId="77777777" w:rsidTr="00747265">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bottom w:val="single" w:sz="4" w:space="0" w:color="595959" w:themeColor="text1" w:themeTint="A6"/>
            </w:tcBorders>
            <w:shd w:val="clear" w:color="auto" w:fill="081E3E"/>
            <w:noWrap/>
            <w:hideMark/>
          </w:tcPr>
          <w:p w14:paraId="0D181475" w14:textId="77777777" w:rsidR="00494CC3" w:rsidRPr="00705B49" w:rsidRDefault="00494CC3" w:rsidP="00EF7245">
            <w:pPr>
              <w:keepNext/>
              <w:spacing w:before="40" w:after="40"/>
              <w:rPr>
                <w:rFonts w:ascii="Times New Roman" w:eastAsia="Times New Roman" w:hAnsi="Times New Roman" w:cs="Times New Roman"/>
                <w:szCs w:val="24"/>
                <w:lang w:eastAsia="en-AU"/>
              </w:rPr>
            </w:pPr>
            <w:r w:rsidRPr="00705B49">
              <w:rPr>
                <w:rFonts w:eastAsia="Times New Roman" w:cs="Calibri"/>
                <w:szCs w:val="22"/>
                <w:lang w:eastAsia="en-AU"/>
              </w:rPr>
              <w:t>Division</w:t>
            </w:r>
          </w:p>
        </w:tc>
        <w:tc>
          <w:tcPr>
            <w:tcW w:w="564" w:type="pct"/>
            <w:tcBorders>
              <w:bottom w:val="single" w:sz="4" w:space="0" w:color="595959" w:themeColor="text1" w:themeTint="A6"/>
            </w:tcBorders>
            <w:shd w:val="clear" w:color="auto" w:fill="081E3E"/>
            <w:noWrap/>
            <w:hideMark/>
          </w:tcPr>
          <w:p w14:paraId="6FD57C9B" w14:textId="77777777" w:rsidR="00494CC3" w:rsidRPr="00705B49" w:rsidRDefault="00494CC3"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A</w:t>
            </w:r>
          </w:p>
        </w:tc>
        <w:tc>
          <w:tcPr>
            <w:tcW w:w="564" w:type="pct"/>
            <w:tcBorders>
              <w:bottom w:val="single" w:sz="4" w:space="0" w:color="595959" w:themeColor="text1" w:themeTint="A6"/>
            </w:tcBorders>
            <w:shd w:val="clear" w:color="auto" w:fill="081E3E"/>
            <w:noWrap/>
            <w:hideMark/>
          </w:tcPr>
          <w:p w14:paraId="6C1A37AC" w14:textId="77777777" w:rsidR="00494CC3" w:rsidRPr="00705B49" w:rsidRDefault="00494CC3"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B</w:t>
            </w:r>
          </w:p>
        </w:tc>
        <w:tc>
          <w:tcPr>
            <w:tcW w:w="561" w:type="pct"/>
            <w:tcBorders>
              <w:bottom w:val="single" w:sz="4" w:space="0" w:color="595959" w:themeColor="text1" w:themeTint="A6"/>
            </w:tcBorders>
            <w:shd w:val="clear" w:color="auto" w:fill="081E3E"/>
            <w:noWrap/>
            <w:hideMark/>
          </w:tcPr>
          <w:p w14:paraId="44D6BAF1" w14:textId="77777777" w:rsidR="00494CC3" w:rsidRPr="00705B49" w:rsidRDefault="00494CC3"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C</w:t>
            </w:r>
          </w:p>
        </w:tc>
        <w:tc>
          <w:tcPr>
            <w:tcW w:w="532" w:type="pct"/>
            <w:tcBorders>
              <w:bottom w:val="single" w:sz="4" w:space="0" w:color="595959" w:themeColor="text1" w:themeTint="A6"/>
            </w:tcBorders>
            <w:shd w:val="clear" w:color="auto" w:fill="081E3E"/>
            <w:noWrap/>
            <w:hideMark/>
          </w:tcPr>
          <w:p w14:paraId="7CCE9A52" w14:textId="77777777" w:rsidR="00494CC3" w:rsidRPr="00705B49" w:rsidRDefault="00494CC3"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D</w:t>
            </w:r>
          </w:p>
        </w:tc>
        <w:tc>
          <w:tcPr>
            <w:tcW w:w="546" w:type="pct"/>
            <w:tcBorders>
              <w:bottom w:val="single" w:sz="4" w:space="0" w:color="595959" w:themeColor="text1" w:themeTint="A6"/>
            </w:tcBorders>
            <w:shd w:val="clear" w:color="auto" w:fill="081E3E"/>
            <w:noWrap/>
            <w:hideMark/>
          </w:tcPr>
          <w:p w14:paraId="1D0335C6" w14:textId="77777777" w:rsidR="00494CC3" w:rsidRPr="00705B49" w:rsidRDefault="00494CC3"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E</w:t>
            </w:r>
          </w:p>
        </w:tc>
        <w:tc>
          <w:tcPr>
            <w:tcW w:w="612" w:type="pct"/>
            <w:tcBorders>
              <w:bottom w:val="single" w:sz="4" w:space="0" w:color="595959" w:themeColor="text1" w:themeTint="A6"/>
            </w:tcBorders>
            <w:shd w:val="clear" w:color="auto" w:fill="081E3E"/>
            <w:noWrap/>
            <w:hideMark/>
          </w:tcPr>
          <w:p w14:paraId="1F32BBAF" w14:textId="77777777" w:rsidR="00494CC3" w:rsidRPr="00705B49" w:rsidRDefault="00494CC3"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F</w:t>
            </w:r>
          </w:p>
        </w:tc>
      </w:tr>
      <w:tr w:rsidR="00494CC3" w:rsidRPr="00705B49" w14:paraId="4B27E4A9"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bottom w:val="single" w:sz="4" w:space="0" w:color="4BB3B5"/>
            </w:tcBorders>
            <w:noWrap/>
            <w:hideMark/>
          </w:tcPr>
          <w:p w14:paraId="36B7D6BB" w14:textId="77777777" w:rsidR="00494CC3" w:rsidRPr="00705B49" w:rsidRDefault="00494CC3" w:rsidP="00EF7245">
            <w:pPr>
              <w:keepNext/>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Mining</w:t>
            </w:r>
          </w:p>
        </w:tc>
        <w:tc>
          <w:tcPr>
            <w:tcW w:w="564" w:type="pct"/>
            <w:tcBorders>
              <w:bottom w:val="single" w:sz="4" w:space="0" w:color="4BB3B5"/>
            </w:tcBorders>
            <w:noWrap/>
            <w:hideMark/>
          </w:tcPr>
          <w:p w14:paraId="45B5A783"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0.045*** (0.01)</w:t>
            </w:r>
          </w:p>
        </w:tc>
        <w:tc>
          <w:tcPr>
            <w:tcW w:w="564" w:type="pct"/>
            <w:tcBorders>
              <w:bottom w:val="single" w:sz="4" w:space="0" w:color="4BB3B5"/>
            </w:tcBorders>
            <w:noWrap/>
            <w:hideMark/>
          </w:tcPr>
          <w:p w14:paraId="64E835CA"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0.045*** (0.01)</w:t>
            </w:r>
          </w:p>
        </w:tc>
        <w:tc>
          <w:tcPr>
            <w:tcW w:w="561" w:type="pct"/>
            <w:tcBorders>
              <w:bottom w:val="single" w:sz="4" w:space="0" w:color="4BB3B5"/>
            </w:tcBorders>
            <w:noWrap/>
            <w:hideMark/>
          </w:tcPr>
          <w:p w14:paraId="3B64611F"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0.016 (0.069)</w:t>
            </w:r>
          </w:p>
        </w:tc>
        <w:tc>
          <w:tcPr>
            <w:tcW w:w="532" w:type="pct"/>
            <w:tcBorders>
              <w:bottom w:val="single" w:sz="4" w:space="0" w:color="4BB3B5"/>
            </w:tcBorders>
            <w:noWrap/>
            <w:hideMark/>
          </w:tcPr>
          <w:p w14:paraId="14EEBAD4"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0.066 (0.073)</w:t>
            </w:r>
          </w:p>
        </w:tc>
        <w:tc>
          <w:tcPr>
            <w:tcW w:w="546" w:type="pct"/>
            <w:tcBorders>
              <w:bottom w:val="single" w:sz="4" w:space="0" w:color="4BB3B5"/>
            </w:tcBorders>
            <w:noWrap/>
            <w:hideMark/>
          </w:tcPr>
          <w:p w14:paraId="25822551"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0.022 (0.073)</w:t>
            </w:r>
          </w:p>
        </w:tc>
        <w:tc>
          <w:tcPr>
            <w:tcW w:w="612" w:type="pct"/>
            <w:tcBorders>
              <w:bottom w:val="single" w:sz="4" w:space="0" w:color="4BB3B5"/>
            </w:tcBorders>
            <w:noWrap/>
            <w:hideMark/>
          </w:tcPr>
          <w:p w14:paraId="0CDE6726"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0.014 (0.054)</w:t>
            </w:r>
          </w:p>
        </w:tc>
      </w:tr>
      <w:tr w:rsidR="00494CC3" w:rsidRPr="00705B49" w14:paraId="3F2344AE"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547C08A7" w14:textId="77777777" w:rsidR="00494CC3" w:rsidRPr="00705B49" w:rsidRDefault="00494CC3" w:rsidP="00EF7245">
            <w:pPr>
              <w:keepNext/>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Manufacturing</w:t>
            </w:r>
          </w:p>
        </w:tc>
        <w:tc>
          <w:tcPr>
            <w:tcW w:w="564" w:type="pct"/>
            <w:tcBorders>
              <w:top w:val="single" w:sz="4" w:space="0" w:color="4BB3B5"/>
              <w:bottom w:val="single" w:sz="4" w:space="0" w:color="4BB3B5"/>
            </w:tcBorders>
            <w:noWrap/>
            <w:hideMark/>
          </w:tcPr>
          <w:p w14:paraId="3564BFAB"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-0.033 (0.008)</w:t>
            </w:r>
          </w:p>
        </w:tc>
        <w:tc>
          <w:tcPr>
            <w:tcW w:w="564" w:type="pct"/>
            <w:tcBorders>
              <w:top w:val="single" w:sz="4" w:space="0" w:color="4BB3B5"/>
              <w:bottom w:val="single" w:sz="4" w:space="0" w:color="4BB3B5"/>
            </w:tcBorders>
            <w:noWrap/>
            <w:hideMark/>
          </w:tcPr>
          <w:p w14:paraId="7519C428"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-0.033 (0.008)</w:t>
            </w:r>
          </w:p>
        </w:tc>
        <w:tc>
          <w:tcPr>
            <w:tcW w:w="561" w:type="pct"/>
            <w:tcBorders>
              <w:top w:val="single" w:sz="4" w:space="0" w:color="4BB3B5"/>
              <w:bottom w:val="single" w:sz="4" w:space="0" w:color="4BB3B5"/>
            </w:tcBorders>
            <w:noWrap/>
            <w:hideMark/>
          </w:tcPr>
          <w:p w14:paraId="788725D8"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-0.052 (0.065)</w:t>
            </w:r>
          </w:p>
        </w:tc>
        <w:tc>
          <w:tcPr>
            <w:tcW w:w="532" w:type="pct"/>
            <w:tcBorders>
              <w:top w:val="single" w:sz="4" w:space="0" w:color="4BB3B5"/>
              <w:bottom w:val="single" w:sz="4" w:space="0" w:color="4BB3B5"/>
            </w:tcBorders>
            <w:noWrap/>
            <w:hideMark/>
          </w:tcPr>
          <w:p w14:paraId="73C3BE49"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0.049 (0.069)</w:t>
            </w:r>
          </w:p>
        </w:tc>
        <w:tc>
          <w:tcPr>
            <w:tcW w:w="546" w:type="pct"/>
            <w:tcBorders>
              <w:top w:val="single" w:sz="4" w:space="0" w:color="4BB3B5"/>
              <w:bottom w:val="single" w:sz="4" w:space="0" w:color="4BB3B5"/>
            </w:tcBorders>
            <w:noWrap/>
            <w:hideMark/>
          </w:tcPr>
          <w:p w14:paraId="3767E93C"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-0.015 (0.068)</w:t>
            </w:r>
          </w:p>
        </w:tc>
        <w:tc>
          <w:tcPr>
            <w:tcW w:w="612" w:type="pct"/>
            <w:tcBorders>
              <w:top w:val="single" w:sz="4" w:space="0" w:color="4BB3B5"/>
              <w:bottom w:val="single" w:sz="4" w:space="0" w:color="4BB3B5"/>
            </w:tcBorders>
            <w:noWrap/>
            <w:hideMark/>
          </w:tcPr>
          <w:p w14:paraId="286B803C"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-0.025 (0.052)</w:t>
            </w:r>
          </w:p>
        </w:tc>
      </w:tr>
      <w:tr w:rsidR="00494CC3" w:rsidRPr="00705B49" w14:paraId="16124F17"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470E9A9B" w14:textId="77777777" w:rsidR="00494CC3" w:rsidRPr="00705B49" w:rsidRDefault="00494CC3" w:rsidP="00EF7245">
            <w:pPr>
              <w:keepNext/>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Electricity, Gas, Water and Waste Services</w:t>
            </w:r>
          </w:p>
        </w:tc>
        <w:tc>
          <w:tcPr>
            <w:tcW w:w="564" w:type="pct"/>
            <w:tcBorders>
              <w:top w:val="single" w:sz="4" w:space="0" w:color="4BB3B5"/>
              <w:bottom w:val="single" w:sz="4" w:space="0" w:color="4BB3B5"/>
            </w:tcBorders>
            <w:noWrap/>
            <w:hideMark/>
          </w:tcPr>
          <w:p w14:paraId="164E0C85"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-0.018*** (0.013)</w:t>
            </w:r>
          </w:p>
        </w:tc>
        <w:tc>
          <w:tcPr>
            <w:tcW w:w="564" w:type="pct"/>
            <w:tcBorders>
              <w:top w:val="single" w:sz="4" w:space="0" w:color="4BB3B5"/>
              <w:bottom w:val="single" w:sz="4" w:space="0" w:color="4BB3B5"/>
            </w:tcBorders>
            <w:noWrap/>
            <w:hideMark/>
          </w:tcPr>
          <w:p w14:paraId="4B43067C"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-0.018*** (0.013)</w:t>
            </w:r>
          </w:p>
        </w:tc>
        <w:tc>
          <w:tcPr>
            <w:tcW w:w="561" w:type="pct"/>
            <w:tcBorders>
              <w:top w:val="single" w:sz="4" w:space="0" w:color="4BB3B5"/>
              <w:bottom w:val="single" w:sz="4" w:space="0" w:color="4BB3B5"/>
            </w:tcBorders>
            <w:noWrap/>
            <w:hideMark/>
          </w:tcPr>
          <w:p w14:paraId="655C976A"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-0.071 (0.077)</w:t>
            </w:r>
          </w:p>
        </w:tc>
        <w:tc>
          <w:tcPr>
            <w:tcW w:w="532" w:type="pct"/>
            <w:tcBorders>
              <w:top w:val="single" w:sz="4" w:space="0" w:color="4BB3B5"/>
              <w:bottom w:val="single" w:sz="4" w:space="0" w:color="4BB3B5"/>
            </w:tcBorders>
            <w:noWrap/>
            <w:hideMark/>
          </w:tcPr>
          <w:p w14:paraId="2C29AB94"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0.035 (0.083)</w:t>
            </w:r>
          </w:p>
        </w:tc>
        <w:tc>
          <w:tcPr>
            <w:tcW w:w="546" w:type="pct"/>
            <w:tcBorders>
              <w:top w:val="single" w:sz="4" w:space="0" w:color="4BB3B5"/>
              <w:bottom w:val="single" w:sz="4" w:space="0" w:color="4BB3B5"/>
            </w:tcBorders>
            <w:noWrap/>
            <w:hideMark/>
          </w:tcPr>
          <w:p w14:paraId="55A82016"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-0.022 (0.083)</w:t>
            </w:r>
          </w:p>
        </w:tc>
        <w:tc>
          <w:tcPr>
            <w:tcW w:w="612" w:type="pct"/>
            <w:tcBorders>
              <w:top w:val="single" w:sz="4" w:space="0" w:color="4BB3B5"/>
              <w:bottom w:val="single" w:sz="4" w:space="0" w:color="4BB3B5"/>
            </w:tcBorders>
            <w:noWrap/>
            <w:hideMark/>
          </w:tcPr>
          <w:p w14:paraId="2DE3C53C"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-0.053 (0.061)</w:t>
            </w:r>
          </w:p>
        </w:tc>
      </w:tr>
      <w:tr w:rsidR="00494CC3" w:rsidRPr="00705B49" w14:paraId="01D501E1"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5770D2FC" w14:textId="77777777" w:rsidR="00494CC3" w:rsidRPr="00705B49" w:rsidRDefault="00494CC3" w:rsidP="00EF7245">
            <w:pPr>
              <w:keepNext/>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Construction</w:t>
            </w:r>
          </w:p>
        </w:tc>
        <w:tc>
          <w:tcPr>
            <w:tcW w:w="564" w:type="pct"/>
            <w:tcBorders>
              <w:top w:val="single" w:sz="4" w:space="0" w:color="4BB3B5"/>
              <w:bottom w:val="single" w:sz="4" w:space="0" w:color="4BB3B5"/>
            </w:tcBorders>
            <w:noWrap/>
            <w:hideMark/>
          </w:tcPr>
          <w:p w14:paraId="1E5AFF24"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-0.048*** (0.009)</w:t>
            </w:r>
          </w:p>
        </w:tc>
        <w:tc>
          <w:tcPr>
            <w:tcW w:w="564" w:type="pct"/>
            <w:tcBorders>
              <w:top w:val="single" w:sz="4" w:space="0" w:color="4BB3B5"/>
              <w:bottom w:val="single" w:sz="4" w:space="0" w:color="4BB3B5"/>
            </w:tcBorders>
            <w:noWrap/>
            <w:hideMark/>
          </w:tcPr>
          <w:p w14:paraId="23FAC9A4"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-0.048*** (0.009)</w:t>
            </w:r>
          </w:p>
        </w:tc>
        <w:tc>
          <w:tcPr>
            <w:tcW w:w="561" w:type="pct"/>
            <w:tcBorders>
              <w:top w:val="single" w:sz="4" w:space="0" w:color="4BB3B5"/>
              <w:bottom w:val="single" w:sz="4" w:space="0" w:color="4BB3B5"/>
            </w:tcBorders>
            <w:noWrap/>
            <w:hideMark/>
          </w:tcPr>
          <w:p w14:paraId="67166FF1"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0.007 (0.067)</w:t>
            </w:r>
          </w:p>
        </w:tc>
        <w:tc>
          <w:tcPr>
            <w:tcW w:w="532" w:type="pct"/>
            <w:tcBorders>
              <w:top w:val="single" w:sz="4" w:space="0" w:color="4BB3B5"/>
              <w:bottom w:val="single" w:sz="4" w:space="0" w:color="4BB3B5"/>
            </w:tcBorders>
            <w:noWrap/>
            <w:hideMark/>
          </w:tcPr>
          <w:p w14:paraId="62D168CF"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0.053 (0.072)</w:t>
            </w:r>
          </w:p>
        </w:tc>
        <w:tc>
          <w:tcPr>
            <w:tcW w:w="546" w:type="pct"/>
            <w:tcBorders>
              <w:top w:val="single" w:sz="4" w:space="0" w:color="4BB3B5"/>
              <w:bottom w:val="single" w:sz="4" w:space="0" w:color="4BB3B5"/>
            </w:tcBorders>
            <w:noWrap/>
            <w:hideMark/>
          </w:tcPr>
          <w:p w14:paraId="16AEBB7F"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0.006 (0.071)</w:t>
            </w:r>
          </w:p>
        </w:tc>
        <w:tc>
          <w:tcPr>
            <w:tcW w:w="612" w:type="pct"/>
            <w:tcBorders>
              <w:top w:val="single" w:sz="4" w:space="0" w:color="4BB3B5"/>
              <w:bottom w:val="single" w:sz="4" w:space="0" w:color="4BB3B5"/>
            </w:tcBorders>
            <w:noWrap/>
            <w:hideMark/>
          </w:tcPr>
          <w:p w14:paraId="485BB900"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 (0.055)</w:t>
            </w:r>
          </w:p>
        </w:tc>
      </w:tr>
      <w:tr w:rsidR="00494CC3" w:rsidRPr="00705B49" w14:paraId="672872E4"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63B5D626" w14:textId="77777777" w:rsidR="00494CC3" w:rsidRPr="00705B49" w:rsidRDefault="00494CC3" w:rsidP="00EF7245">
            <w:pPr>
              <w:keepNext/>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Wholesale Trade</w:t>
            </w:r>
          </w:p>
        </w:tc>
        <w:tc>
          <w:tcPr>
            <w:tcW w:w="564" w:type="pct"/>
            <w:tcBorders>
              <w:top w:val="single" w:sz="4" w:space="0" w:color="4BB3B5"/>
              <w:bottom w:val="single" w:sz="4" w:space="0" w:color="4BB3B5"/>
            </w:tcBorders>
            <w:noWrap/>
            <w:hideMark/>
          </w:tcPr>
          <w:p w14:paraId="51E55F99"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-0.034*** (0.009)</w:t>
            </w:r>
          </w:p>
        </w:tc>
        <w:tc>
          <w:tcPr>
            <w:tcW w:w="564" w:type="pct"/>
            <w:tcBorders>
              <w:top w:val="single" w:sz="4" w:space="0" w:color="4BB3B5"/>
              <w:bottom w:val="single" w:sz="4" w:space="0" w:color="4BB3B5"/>
            </w:tcBorders>
            <w:noWrap/>
            <w:hideMark/>
          </w:tcPr>
          <w:p w14:paraId="679161B9"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-0.034*** (0.009)</w:t>
            </w:r>
          </w:p>
        </w:tc>
        <w:tc>
          <w:tcPr>
            <w:tcW w:w="561" w:type="pct"/>
            <w:tcBorders>
              <w:top w:val="single" w:sz="4" w:space="0" w:color="4BB3B5"/>
              <w:bottom w:val="single" w:sz="4" w:space="0" w:color="4BB3B5"/>
            </w:tcBorders>
            <w:noWrap/>
            <w:hideMark/>
          </w:tcPr>
          <w:p w14:paraId="4F5EDAAF"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 (0.065)</w:t>
            </w:r>
          </w:p>
        </w:tc>
        <w:tc>
          <w:tcPr>
            <w:tcW w:w="532" w:type="pct"/>
            <w:tcBorders>
              <w:top w:val="single" w:sz="4" w:space="0" w:color="4BB3B5"/>
              <w:bottom w:val="single" w:sz="4" w:space="0" w:color="4BB3B5"/>
            </w:tcBorders>
            <w:noWrap/>
            <w:hideMark/>
          </w:tcPr>
          <w:p w14:paraId="04F85BAC"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0.101 (0.07)</w:t>
            </w:r>
          </w:p>
        </w:tc>
        <w:tc>
          <w:tcPr>
            <w:tcW w:w="546" w:type="pct"/>
            <w:tcBorders>
              <w:top w:val="single" w:sz="4" w:space="0" w:color="4BB3B5"/>
              <w:bottom w:val="single" w:sz="4" w:space="0" w:color="4BB3B5"/>
            </w:tcBorders>
            <w:noWrap/>
            <w:hideMark/>
          </w:tcPr>
          <w:p w14:paraId="46E17EC5"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0.037 (0.068)</w:t>
            </w:r>
          </w:p>
        </w:tc>
        <w:tc>
          <w:tcPr>
            <w:tcW w:w="612" w:type="pct"/>
            <w:tcBorders>
              <w:top w:val="single" w:sz="4" w:space="0" w:color="4BB3B5"/>
              <w:bottom w:val="single" w:sz="4" w:space="0" w:color="4BB3B5"/>
            </w:tcBorders>
            <w:noWrap/>
            <w:hideMark/>
          </w:tcPr>
          <w:p w14:paraId="53C928A0" w14:textId="77777777" w:rsidR="00494CC3" w:rsidRPr="00705B49" w:rsidRDefault="00494CC3" w:rsidP="00EF7245">
            <w:pPr>
              <w:keepNext/>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0.007 (0.053)</w:t>
            </w:r>
          </w:p>
        </w:tc>
      </w:tr>
      <w:tr w:rsidR="00494CC3" w:rsidRPr="00705B49" w14:paraId="5CEEB0E6"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15CC7CD5" w14:textId="77777777" w:rsidR="00494CC3" w:rsidRPr="00705B49" w:rsidRDefault="00494CC3" w:rsidP="00EF7245">
            <w:pPr>
              <w:keepNext/>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Retail Trade</w:t>
            </w:r>
          </w:p>
        </w:tc>
        <w:tc>
          <w:tcPr>
            <w:tcW w:w="564" w:type="pct"/>
            <w:tcBorders>
              <w:top w:val="single" w:sz="4" w:space="0" w:color="4BB3B5"/>
              <w:bottom w:val="single" w:sz="4" w:space="0" w:color="4BB3B5"/>
            </w:tcBorders>
            <w:noWrap/>
            <w:hideMark/>
          </w:tcPr>
          <w:p w14:paraId="60DDAF59"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 (0.009)</w:t>
            </w:r>
          </w:p>
        </w:tc>
        <w:tc>
          <w:tcPr>
            <w:tcW w:w="564" w:type="pct"/>
            <w:tcBorders>
              <w:top w:val="single" w:sz="4" w:space="0" w:color="4BB3B5"/>
              <w:bottom w:val="single" w:sz="4" w:space="0" w:color="4BB3B5"/>
            </w:tcBorders>
            <w:noWrap/>
            <w:hideMark/>
          </w:tcPr>
          <w:p w14:paraId="339CDD79"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 (0.009)</w:t>
            </w:r>
          </w:p>
        </w:tc>
        <w:tc>
          <w:tcPr>
            <w:tcW w:w="561" w:type="pct"/>
            <w:tcBorders>
              <w:top w:val="single" w:sz="4" w:space="0" w:color="4BB3B5"/>
              <w:bottom w:val="single" w:sz="4" w:space="0" w:color="4BB3B5"/>
            </w:tcBorders>
            <w:noWrap/>
            <w:hideMark/>
          </w:tcPr>
          <w:p w14:paraId="23E93344"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 (0.069)</w:t>
            </w:r>
          </w:p>
        </w:tc>
        <w:tc>
          <w:tcPr>
            <w:tcW w:w="532" w:type="pct"/>
            <w:tcBorders>
              <w:top w:val="single" w:sz="4" w:space="0" w:color="4BB3B5"/>
              <w:bottom w:val="single" w:sz="4" w:space="0" w:color="4BB3B5"/>
            </w:tcBorders>
            <w:noWrap/>
            <w:hideMark/>
          </w:tcPr>
          <w:p w14:paraId="4460760B"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0.026 (0.073)</w:t>
            </w:r>
          </w:p>
        </w:tc>
        <w:tc>
          <w:tcPr>
            <w:tcW w:w="546" w:type="pct"/>
            <w:tcBorders>
              <w:top w:val="single" w:sz="4" w:space="0" w:color="4BB3B5"/>
              <w:bottom w:val="single" w:sz="4" w:space="0" w:color="4BB3B5"/>
            </w:tcBorders>
            <w:noWrap/>
            <w:hideMark/>
          </w:tcPr>
          <w:p w14:paraId="439D62A1"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0.003 (0.072)</w:t>
            </w:r>
          </w:p>
        </w:tc>
        <w:tc>
          <w:tcPr>
            <w:tcW w:w="612" w:type="pct"/>
            <w:tcBorders>
              <w:top w:val="single" w:sz="4" w:space="0" w:color="4BB3B5"/>
              <w:bottom w:val="single" w:sz="4" w:space="0" w:color="4BB3B5"/>
            </w:tcBorders>
            <w:noWrap/>
            <w:hideMark/>
          </w:tcPr>
          <w:p w14:paraId="07DDA424" w14:textId="77777777" w:rsidR="00494CC3" w:rsidRPr="00705B49" w:rsidRDefault="00494CC3" w:rsidP="00EF7245">
            <w:pPr>
              <w:keepNext/>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0.003 (0.056)</w:t>
            </w:r>
          </w:p>
        </w:tc>
      </w:tr>
      <w:tr w:rsidR="00494CC3" w:rsidRPr="00705B49" w14:paraId="6AAB5840"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4C054DC2"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Accommodation and Food Services</w:t>
            </w:r>
          </w:p>
        </w:tc>
        <w:tc>
          <w:tcPr>
            <w:tcW w:w="564" w:type="pct"/>
            <w:tcBorders>
              <w:top w:val="single" w:sz="4" w:space="0" w:color="4BB3B5"/>
              <w:bottom w:val="single" w:sz="4" w:space="0" w:color="4BB3B5"/>
            </w:tcBorders>
            <w:noWrap/>
            <w:hideMark/>
          </w:tcPr>
          <w:p w14:paraId="0284DC07"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-0.056*** (0.009)</w:t>
            </w:r>
          </w:p>
        </w:tc>
        <w:tc>
          <w:tcPr>
            <w:tcW w:w="564" w:type="pct"/>
            <w:tcBorders>
              <w:top w:val="single" w:sz="4" w:space="0" w:color="4BB3B5"/>
              <w:bottom w:val="single" w:sz="4" w:space="0" w:color="4BB3B5"/>
            </w:tcBorders>
            <w:noWrap/>
            <w:hideMark/>
          </w:tcPr>
          <w:p w14:paraId="3DF9B622"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-0.056*** (0.009)</w:t>
            </w:r>
          </w:p>
        </w:tc>
        <w:tc>
          <w:tcPr>
            <w:tcW w:w="561" w:type="pct"/>
            <w:tcBorders>
              <w:top w:val="single" w:sz="4" w:space="0" w:color="4BB3B5"/>
              <w:bottom w:val="single" w:sz="4" w:space="0" w:color="4BB3B5"/>
            </w:tcBorders>
            <w:noWrap/>
            <w:hideMark/>
          </w:tcPr>
          <w:p w14:paraId="2FCD1C08"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 (0.072)</w:t>
            </w:r>
          </w:p>
        </w:tc>
        <w:tc>
          <w:tcPr>
            <w:tcW w:w="532" w:type="pct"/>
            <w:tcBorders>
              <w:top w:val="single" w:sz="4" w:space="0" w:color="4BB3B5"/>
              <w:bottom w:val="single" w:sz="4" w:space="0" w:color="4BB3B5"/>
            </w:tcBorders>
            <w:noWrap/>
            <w:hideMark/>
          </w:tcPr>
          <w:p w14:paraId="6AB93C0A"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-0.017 (0.077)</w:t>
            </w:r>
          </w:p>
        </w:tc>
        <w:tc>
          <w:tcPr>
            <w:tcW w:w="546" w:type="pct"/>
            <w:tcBorders>
              <w:top w:val="single" w:sz="4" w:space="0" w:color="4BB3B5"/>
              <w:bottom w:val="single" w:sz="4" w:space="0" w:color="4BB3B5"/>
            </w:tcBorders>
            <w:noWrap/>
            <w:hideMark/>
          </w:tcPr>
          <w:p w14:paraId="5F41435E"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-0.019 (0.077)</w:t>
            </w:r>
          </w:p>
        </w:tc>
        <w:tc>
          <w:tcPr>
            <w:tcW w:w="612" w:type="pct"/>
            <w:tcBorders>
              <w:top w:val="single" w:sz="4" w:space="0" w:color="4BB3B5"/>
              <w:bottom w:val="single" w:sz="4" w:space="0" w:color="4BB3B5"/>
            </w:tcBorders>
            <w:noWrap/>
            <w:hideMark/>
          </w:tcPr>
          <w:p w14:paraId="65C25107"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0.008 (0.06)</w:t>
            </w:r>
          </w:p>
        </w:tc>
      </w:tr>
      <w:tr w:rsidR="00494CC3" w:rsidRPr="00705B49" w14:paraId="1CCD3DFE"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4A657FDE"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Transport, Postal and Warehousing</w:t>
            </w:r>
          </w:p>
        </w:tc>
        <w:tc>
          <w:tcPr>
            <w:tcW w:w="564" w:type="pct"/>
            <w:tcBorders>
              <w:top w:val="single" w:sz="4" w:space="0" w:color="4BB3B5"/>
              <w:bottom w:val="single" w:sz="4" w:space="0" w:color="4BB3B5"/>
            </w:tcBorders>
            <w:noWrap/>
            <w:hideMark/>
          </w:tcPr>
          <w:p w14:paraId="32E741B7"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-0.029*** (0.009)</w:t>
            </w:r>
          </w:p>
        </w:tc>
        <w:tc>
          <w:tcPr>
            <w:tcW w:w="564" w:type="pct"/>
            <w:tcBorders>
              <w:top w:val="single" w:sz="4" w:space="0" w:color="4BB3B5"/>
              <w:bottom w:val="single" w:sz="4" w:space="0" w:color="4BB3B5"/>
            </w:tcBorders>
            <w:noWrap/>
            <w:hideMark/>
          </w:tcPr>
          <w:p w14:paraId="6CD0C9B1"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-0.029*** (0.009)</w:t>
            </w:r>
          </w:p>
        </w:tc>
        <w:tc>
          <w:tcPr>
            <w:tcW w:w="561" w:type="pct"/>
            <w:tcBorders>
              <w:top w:val="single" w:sz="4" w:space="0" w:color="4BB3B5"/>
              <w:bottom w:val="single" w:sz="4" w:space="0" w:color="4BB3B5"/>
            </w:tcBorders>
            <w:noWrap/>
            <w:hideMark/>
          </w:tcPr>
          <w:p w14:paraId="20D67EB1"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0.017 (0.066)</w:t>
            </w:r>
          </w:p>
        </w:tc>
        <w:tc>
          <w:tcPr>
            <w:tcW w:w="532" w:type="pct"/>
            <w:tcBorders>
              <w:top w:val="single" w:sz="4" w:space="0" w:color="4BB3B5"/>
              <w:bottom w:val="single" w:sz="4" w:space="0" w:color="4BB3B5"/>
            </w:tcBorders>
            <w:noWrap/>
            <w:hideMark/>
          </w:tcPr>
          <w:p w14:paraId="5FC71BA6"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0.103 (0.071)</w:t>
            </w:r>
          </w:p>
        </w:tc>
        <w:tc>
          <w:tcPr>
            <w:tcW w:w="546" w:type="pct"/>
            <w:tcBorders>
              <w:top w:val="single" w:sz="4" w:space="0" w:color="4BB3B5"/>
              <w:bottom w:val="single" w:sz="4" w:space="0" w:color="4BB3B5"/>
            </w:tcBorders>
            <w:noWrap/>
            <w:hideMark/>
          </w:tcPr>
          <w:p w14:paraId="747C96DA"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0.079 (0.07)</w:t>
            </w:r>
          </w:p>
        </w:tc>
        <w:tc>
          <w:tcPr>
            <w:tcW w:w="612" w:type="pct"/>
            <w:tcBorders>
              <w:top w:val="single" w:sz="4" w:space="0" w:color="4BB3B5"/>
              <w:bottom w:val="single" w:sz="4" w:space="0" w:color="4BB3B5"/>
            </w:tcBorders>
            <w:noWrap/>
            <w:hideMark/>
          </w:tcPr>
          <w:p w14:paraId="6AB42A72"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0.007 (0.054)</w:t>
            </w:r>
          </w:p>
        </w:tc>
      </w:tr>
      <w:tr w:rsidR="00494CC3" w:rsidRPr="00705B49" w14:paraId="58EF2FEF"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08D0064E"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Information Media and Telecommunications</w:t>
            </w:r>
          </w:p>
        </w:tc>
        <w:tc>
          <w:tcPr>
            <w:tcW w:w="564" w:type="pct"/>
            <w:tcBorders>
              <w:top w:val="single" w:sz="4" w:space="0" w:color="4BB3B5"/>
              <w:bottom w:val="single" w:sz="4" w:space="0" w:color="4BB3B5"/>
            </w:tcBorders>
            <w:noWrap/>
            <w:hideMark/>
          </w:tcPr>
          <w:p w14:paraId="2F8E8753"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-0.026** (0.01)</w:t>
            </w:r>
          </w:p>
        </w:tc>
        <w:tc>
          <w:tcPr>
            <w:tcW w:w="564" w:type="pct"/>
            <w:tcBorders>
              <w:top w:val="single" w:sz="4" w:space="0" w:color="4BB3B5"/>
              <w:bottom w:val="single" w:sz="4" w:space="0" w:color="4BB3B5"/>
            </w:tcBorders>
            <w:noWrap/>
            <w:hideMark/>
          </w:tcPr>
          <w:p w14:paraId="09EA3C58"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-0.026** (0.01)</w:t>
            </w:r>
          </w:p>
        </w:tc>
        <w:tc>
          <w:tcPr>
            <w:tcW w:w="561" w:type="pct"/>
            <w:tcBorders>
              <w:top w:val="single" w:sz="4" w:space="0" w:color="4BB3B5"/>
              <w:bottom w:val="single" w:sz="4" w:space="0" w:color="4BB3B5"/>
            </w:tcBorders>
            <w:noWrap/>
            <w:hideMark/>
          </w:tcPr>
          <w:p w14:paraId="7A19B07E"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0.016 (0.067)</w:t>
            </w:r>
          </w:p>
        </w:tc>
        <w:tc>
          <w:tcPr>
            <w:tcW w:w="532" w:type="pct"/>
            <w:tcBorders>
              <w:top w:val="single" w:sz="4" w:space="0" w:color="4BB3B5"/>
              <w:bottom w:val="single" w:sz="4" w:space="0" w:color="4BB3B5"/>
            </w:tcBorders>
            <w:noWrap/>
            <w:hideMark/>
          </w:tcPr>
          <w:p w14:paraId="4694B846"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0.089 (0.072)</w:t>
            </w:r>
          </w:p>
        </w:tc>
        <w:tc>
          <w:tcPr>
            <w:tcW w:w="546" w:type="pct"/>
            <w:tcBorders>
              <w:top w:val="single" w:sz="4" w:space="0" w:color="4BB3B5"/>
              <w:bottom w:val="single" w:sz="4" w:space="0" w:color="4BB3B5"/>
            </w:tcBorders>
            <w:noWrap/>
            <w:hideMark/>
          </w:tcPr>
          <w:p w14:paraId="526E41DA"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0.025 (0.071)</w:t>
            </w:r>
          </w:p>
        </w:tc>
        <w:tc>
          <w:tcPr>
            <w:tcW w:w="612" w:type="pct"/>
            <w:tcBorders>
              <w:top w:val="single" w:sz="4" w:space="0" w:color="4BB3B5"/>
              <w:bottom w:val="single" w:sz="4" w:space="0" w:color="4BB3B5"/>
            </w:tcBorders>
            <w:noWrap/>
            <w:hideMark/>
          </w:tcPr>
          <w:p w14:paraId="6AE11BAA"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0.006 (0.054)</w:t>
            </w:r>
          </w:p>
        </w:tc>
      </w:tr>
      <w:tr w:rsidR="00494CC3" w:rsidRPr="00705B49" w14:paraId="6B791395"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6B0EC24E"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Financial and Insurance Services</w:t>
            </w:r>
          </w:p>
        </w:tc>
        <w:tc>
          <w:tcPr>
            <w:tcW w:w="564" w:type="pct"/>
            <w:tcBorders>
              <w:top w:val="single" w:sz="4" w:space="0" w:color="4BB3B5"/>
              <w:bottom w:val="single" w:sz="4" w:space="0" w:color="4BB3B5"/>
            </w:tcBorders>
            <w:noWrap/>
            <w:hideMark/>
          </w:tcPr>
          <w:p w14:paraId="30412C6A"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-0.023* (0.012)</w:t>
            </w:r>
          </w:p>
        </w:tc>
        <w:tc>
          <w:tcPr>
            <w:tcW w:w="564" w:type="pct"/>
            <w:tcBorders>
              <w:top w:val="single" w:sz="4" w:space="0" w:color="4BB3B5"/>
              <w:bottom w:val="single" w:sz="4" w:space="0" w:color="4BB3B5"/>
            </w:tcBorders>
            <w:noWrap/>
            <w:hideMark/>
          </w:tcPr>
          <w:p w14:paraId="4F519E92"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-0.023* (0.012)</w:t>
            </w:r>
          </w:p>
        </w:tc>
        <w:tc>
          <w:tcPr>
            <w:tcW w:w="561" w:type="pct"/>
            <w:tcBorders>
              <w:top w:val="single" w:sz="4" w:space="0" w:color="4BB3B5"/>
              <w:bottom w:val="single" w:sz="4" w:space="0" w:color="4BB3B5"/>
            </w:tcBorders>
            <w:noWrap/>
            <w:hideMark/>
          </w:tcPr>
          <w:p w14:paraId="093D2C7F"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-0.034 (0.071)</w:t>
            </w:r>
          </w:p>
        </w:tc>
        <w:tc>
          <w:tcPr>
            <w:tcW w:w="532" w:type="pct"/>
            <w:tcBorders>
              <w:top w:val="single" w:sz="4" w:space="0" w:color="4BB3B5"/>
              <w:bottom w:val="single" w:sz="4" w:space="0" w:color="4BB3B5"/>
            </w:tcBorders>
            <w:noWrap/>
            <w:hideMark/>
          </w:tcPr>
          <w:p w14:paraId="0AE0B55E"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0.084 (0.075)</w:t>
            </w:r>
          </w:p>
        </w:tc>
        <w:tc>
          <w:tcPr>
            <w:tcW w:w="546" w:type="pct"/>
            <w:tcBorders>
              <w:top w:val="single" w:sz="4" w:space="0" w:color="4BB3B5"/>
              <w:bottom w:val="single" w:sz="4" w:space="0" w:color="4BB3B5"/>
            </w:tcBorders>
            <w:noWrap/>
            <w:hideMark/>
          </w:tcPr>
          <w:p w14:paraId="699A9796"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0.063 (0.075)</w:t>
            </w:r>
          </w:p>
        </w:tc>
        <w:tc>
          <w:tcPr>
            <w:tcW w:w="612" w:type="pct"/>
            <w:tcBorders>
              <w:top w:val="single" w:sz="4" w:space="0" w:color="4BB3B5"/>
              <w:bottom w:val="single" w:sz="4" w:space="0" w:color="4BB3B5"/>
            </w:tcBorders>
            <w:noWrap/>
            <w:hideMark/>
          </w:tcPr>
          <w:p w14:paraId="6AB6376C"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0.025 (0.057)</w:t>
            </w:r>
          </w:p>
        </w:tc>
      </w:tr>
      <w:tr w:rsidR="00494CC3" w:rsidRPr="00705B49" w14:paraId="0663ECAF"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1EF123CE"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Rental, Hiring and Real Estate Services</w:t>
            </w:r>
          </w:p>
        </w:tc>
        <w:tc>
          <w:tcPr>
            <w:tcW w:w="564" w:type="pct"/>
            <w:tcBorders>
              <w:top w:val="single" w:sz="4" w:space="0" w:color="4BB3B5"/>
              <w:bottom w:val="single" w:sz="4" w:space="0" w:color="4BB3B5"/>
            </w:tcBorders>
            <w:noWrap/>
            <w:hideMark/>
          </w:tcPr>
          <w:p w14:paraId="23F7663C"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-0.017*** (0.009)</w:t>
            </w:r>
          </w:p>
        </w:tc>
        <w:tc>
          <w:tcPr>
            <w:tcW w:w="564" w:type="pct"/>
            <w:tcBorders>
              <w:top w:val="single" w:sz="4" w:space="0" w:color="4BB3B5"/>
              <w:bottom w:val="single" w:sz="4" w:space="0" w:color="4BB3B5"/>
            </w:tcBorders>
            <w:noWrap/>
            <w:hideMark/>
          </w:tcPr>
          <w:p w14:paraId="6519E1D0"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-0.017*** (0.009)</w:t>
            </w:r>
          </w:p>
        </w:tc>
        <w:tc>
          <w:tcPr>
            <w:tcW w:w="561" w:type="pct"/>
            <w:tcBorders>
              <w:top w:val="single" w:sz="4" w:space="0" w:color="4BB3B5"/>
              <w:bottom w:val="single" w:sz="4" w:space="0" w:color="4BB3B5"/>
            </w:tcBorders>
            <w:noWrap/>
            <w:hideMark/>
          </w:tcPr>
          <w:p w14:paraId="2CF8D67C"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-0.001 (0.069)</w:t>
            </w:r>
          </w:p>
        </w:tc>
        <w:tc>
          <w:tcPr>
            <w:tcW w:w="532" w:type="pct"/>
            <w:tcBorders>
              <w:top w:val="single" w:sz="4" w:space="0" w:color="4BB3B5"/>
              <w:bottom w:val="single" w:sz="4" w:space="0" w:color="4BB3B5"/>
            </w:tcBorders>
            <w:noWrap/>
            <w:hideMark/>
          </w:tcPr>
          <w:p w14:paraId="6149186E"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0.081 (0.073)</w:t>
            </w:r>
          </w:p>
        </w:tc>
        <w:tc>
          <w:tcPr>
            <w:tcW w:w="546" w:type="pct"/>
            <w:tcBorders>
              <w:top w:val="single" w:sz="4" w:space="0" w:color="4BB3B5"/>
              <w:bottom w:val="single" w:sz="4" w:space="0" w:color="4BB3B5"/>
            </w:tcBorders>
            <w:noWrap/>
            <w:hideMark/>
          </w:tcPr>
          <w:p w14:paraId="4C3B1571"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 (0.073)</w:t>
            </w:r>
          </w:p>
        </w:tc>
        <w:tc>
          <w:tcPr>
            <w:tcW w:w="612" w:type="pct"/>
            <w:tcBorders>
              <w:top w:val="single" w:sz="4" w:space="0" w:color="4BB3B5"/>
              <w:bottom w:val="single" w:sz="4" w:space="0" w:color="4BB3B5"/>
            </w:tcBorders>
            <w:noWrap/>
            <w:hideMark/>
          </w:tcPr>
          <w:p w14:paraId="11B275F5"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 (0.057)</w:t>
            </w:r>
          </w:p>
        </w:tc>
      </w:tr>
      <w:tr w:rsidR="00494CC3" w:rsidRPr="00705B49" w14:paraId="0A25E16B"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427B9D49"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Professional, Scientific and Technical Services</w:t>
            </w:r>
          </w:p>
        </w:tc>
        <w:tc>
          <w:tcPr>
            <w:tcW w:w="564" w:type="pct"/>
            <w:tcBorders>
              <w:top w:val="single" w:sz="4" w:space="0" w:color="4BB3B5"/>
              <w:bottom w:val="single" w:sz="4" w:space="0" w:color="4BB3B5"/>
            </w:tcBorders>
            <w:noWrap/>
            <w:hideMark/>
          </w:tcPr>
          <w:p w14:paraId="1B4DDDB4"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-0.033*** (0.008)</w:t>
            </w:r>
          </w:p>
        </w:tc>
        <w:tc>
          <w:tcPr>
            <w:tcW w:w="564" w:type="pct"/>
            <w:tcBorders>
              <w:top w:val="single" w:sz="4" w:space="0" w:color="4BB3B5"/>
              <w:bottom w:val="single" w:sz="4" w:space="0" w:color="4BB3B5"/>
            </w:tcBorders>
            <w:noWrap/>
            <w:hideMark/>
          </w:tcPr>
          <w:p w14:paraId="153EF040"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-0.033*** (0.008)</w:t>
            </w:r>
          </w:p>
        </w:tc>
        <w:tc>
          <w:tcPr>
            <w:tcW w:w="561" w:type="pct"/>
            <w:tcBorders>
              <w:top w:val="single" w:sz="4" w:space="0" w:color="4BB3B5"/>
              <w:bottom w:val="single" w:sz="4" w:space="0" w:color="4BB3B5"/>
            </w:tcBorders>
            <w:noWrap/>
            <w:hideMark/>
          </w:tcPr>
          <w:p w14:paraId="2A938105"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-0.009 (0.064)</w:t>
            </w:r>
          </w:p>
        </w:tc>
        <w:tc>
          <w:tcPr>
            <w:tcW w:w="532" w:type="pct"/>
            <w:tcBorders>
              <w:top w:val="single" w:sz="4" w:space="0" w:color="4BB3B5"/>
              <w:bottom w:val="single" w:sz="4" w:space="0" w:color="4BB3B5"/>
            </w:tcBorders>
            <w:noWrap/>
            <w:hideMark/>
          </w:tcPr>
          <w:p w14:paraId="77C97860"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0.081 (0.069)</w:t>
            </w:r>
          </w:p>
        </w:tc>
        <w:tc>
          <w:tcPr>
            <w:tcW w:w="546" w:type="pct"/>
            <w:tcBorders>
              <w:top w:val="single" w:sz="4" w:space="0" w:color="4BB3B5"/>
              <w:bottom w:val="single" w:sz="4" w:space="0" w:color="4BB3B5"/>
            </w:tcBorders>
            <w:noWrap/>
            <w:hideMark/>
          </w:tcPr>
          <w:p w14:paraId="071BF9BB"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0.041 (0.068)</w:t>
            </w:r>
          </w:p>
        </w:tc>
        <w:tc>
          <w:tcPr>
            <w:tcW w:w="612" w:type="pct"/>
            <w:tcBorders>
              <w:top w:val="single" w:sz="4" w:space="0" w:color="4BB3B5"/>
              <w:bottom w:val="single" w:sz="4" w:space="0" w:color="4BB3B5"/>
            </w:tcBorders>
            <w:noWrap/>
            <w:hideMark/>
          </w:tcPr>
          <w:p w14:paraId="57484257"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0.013 (0.052)</w:t>
            </w:r>
          </w:p>
        </w:tc>
      </w:tr>
      <w:tr w:rsidR="00494CC3" w:rsidRPr="00705B49" w14:paraId="1890CC68"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6A45893B"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Administrative and Support Services</w:t>
            </w:r>
          </w:p>
        </w:tc>
        <w:tc>
          <w:tcPr>
            <w:tcW w:w="564" w:type="pct"/>
            <w:tcBorders>
              <w:top w:val="single" w:sz="4" w:space="0" w:color="4BB3B5"/>
              <w:bottom w:val="single" w:sz="4" w:space="0" w:color="4BB3B5"/>
            </w:tcBorders>
            <w:noWrap/>
            <w:hideMark/>
          </w:tcPr>
          <w:p w14:paraId="08AE8197"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-0.063*** (0.009)</w:t>
            </w:r>
          </w:p>
        </w:tc>
        <w:tc>
          <w:tcPr>
            <w:tcW w:w="564" w:type="pct"/>
            <w:tcBorders>
              <w:top w:val="single" w:sz="4" w:space="0" w:color="4BB3B5"/>
              <w:bottom w:val="single" w:sz="4" w:space="0" w:color="4BB3B5"/>
            </w:tcBorders>
            <w:noWrap/>
            <w:hideMark/>
          </w:tcPr>
          <w:p w14:paraId="29AE3993"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-0.063*** (0.009)</w:t>
            </w:r>
          </w:p>
        </w:tc>
        <w:tc>
          <w:tcPr>
            <w:tcW w:w="561" w:type="pct"/>
            <w:tcBorders>
              <w:top w:val="single" w:sz="4" w:space="0" w:color="4BB3B5"/>
              <w:bottom w:val="single" w:sz="4" w:space="0" w:color="4BB3B5"/>
            </w:tcBorders>
            <w:noWrap/>
            <w:hideMark/>
          </w:tcPr>
          <w:p w14:paraId="1BE38D54"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-0.071 (0.066)</w:t>
            </w:r>
          </w:p>
        </w:tc>
        <w:tc>
          <w:tcPr>
            <w:tcW w:w="532" w:type="pct"/>
            <w:tcBorders>
              <w:top w:val="single" w:sz="4" w:space="0" w:color="4BB3B5"/>
              <w:bottom w:val="single" w:sz="4" w:space="0" w:color="4BB3B5"/>
            </w:tcBorders>
            <w:noWrap/>
            <w:hideMark/>
          </w:tcPr>
          <w:p w14:paraId="03B18997"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0.018* (0.071)</w:t>
            </w:r>
          </w:p>
        </w:tc>
        <w:tc>
          <w:tcPr>
            <w:tcW w:w="546" w:type="pct"/>
            <w:tcBorders>
              <w:top w:val="single" w:sz="4" w:space="0" w:color="4BB3B5"/>
              <w:bottom w:val="single" w:sz="4" w:space="0" w:color="4BB3B5"/>
            </w:tcBorders>
            <w:noWrap/>
            <w:hideMark/>
          </w:tcPr>
          <w:p w14:paraId="4CF81090"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-0.016 (0.071)</w:t>
            </w:r>
          </w:p>
        </w:tc>
        <w:tc>
          <w:tcPr>
            <w:tcW w:w="612" w:type="pct"/>
            <w:tcBorders>
              <w:top w:val="single" w:sz="4" w:space="0" w:color="4BB3B5"/>
              <w:bottom w:val="single" w:sz="4" w:space="0" w:color="4BB3B5"/>
            </w:tcBorders>
            <w:noWrap/>
            <w:hideMark/>
          </w:tcPr>
          <w:p w14:paraId="63A052AE"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-0.049 (0.054)</w:t>
            </w:r>
          </w:p>
        </w:tc>
      </w:tr>
      <w:tr w:rsidR="00494CC3" w:rsidRPr="00705B49" w14:paraId="5171AFFB"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05FE7A8A"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Arts and Recreation Services</w:t>
            </w:r>
          </w:p>
        </w:tc>
        <w:tc>
          <w:tcPr>
            <w:tcW w:w="564" w:type="pct"/>
            <w:tcBorders>
              <w:top w:val="single" w:sz="4" w:space="0" w:color="4BB3B5"/>
              <w:bottom w:val="single" w:sz="4" w:space="0" w:color="4BB3B5"/>
            </w:tcBorders>
            <w:noWrap/>
            <w:hideMark/>
          </w:tcPr>
          <w:p w14:paraId="0EAFC1EC"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 (0.009)</w:t>
            </w:r>
          </w:p>
        </w:tc>
        <w:tc>
          <w:tcPr>
            <w:tcW w:w="564" w:type="pct"/>
            <w:tcBorders>
              <w:top w:val="single" w:sz="4" w:space="0" w:color="4BB3B5"/>
              <w:bottom w:val="single" w:sz="4" w:space="0" w:color="4BB3B5"/>
            </w:tcBorders>
            <w:noWrap/>
            <w:hideMark/>
          </w:tcPr>
          <w:p w14:paraId="07AF40A5"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-0.04*** (0.009)</w:t>
            </w:r>
          </w:p>
        </w:tc>
        <w:tc>
          <w:tcPr>
            <w:tcW w:w="561" w:type="pct"/>
            <w:tcBorders>
              <w:top w:val="single" w:sz="4" w:space="0" w:color="4BB3B5"/>
              <w:bottom w:val="single" w:sz="4" w:space="0" w:color="4BB3B5"/>
            </w:tcBorders>
            <w:noWrap/>
            <w:hideMark/>
          </w:tcPr>
          <w:p w14:paraId="694FBF79"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0.02 (0.07)</w:t>
            </w:r>
          </w:p>
        </w:tc>
        <w:tc>
          <w:tcPr>
            <w:tcW w:w="532" w:type="pct"/>
            <w:tcBorders>
              <w:top w:val="single" w:sz="4" w:space="0" w:color="4BB3B5"/>
              <w:bottom w:val="single" w:sz="4" w:space="0" w:color="4BB3B5"/>
            </w:tcBorders>
            <w:noWrap/>
            <w:hideMark/>
          </w:tcPr>
          <w:p w14:paraId="33717460"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0.138* (0.075)</w:t>
            </w:r>
          </w:p>
        </w:tc>
        <w:tc>
          <w:tcPr>
            <w:tcW w:w="546" w:type="pct"/>
            <w:tcBorders>
              <w:top w:val="single" w:sz="4" w:space="0" w:color="4BB3B5"/>
              <w:bottom w:val="single" w:sz="4" w:space="0" w:color="4BB3B5"/>
            </w:tcBorders>
            <w:noWrap/>
            <w:hideMark/>
          </w:tcPr>
          <w:p w14:paraId="228A648A"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0.108 (0.074)</w:t>
            </w:r>
          </w:p>
        </w:tc>
        <w:tc>
          <w:tcPr>
            <w:tcW w:w="612" w:type="pct"/>
            <w:tcBorders>
              <w:top w:val="single" w:sz="4" w:space="0" w:color="4BB3B5"/>
              <w:bottom w:val="single" w:sz="4" w:space="0" w:color="4BB3B5"/>
            </w:tcBorders>
            <w:noWrap/>
            <w:hideMark/>
          </w:tcPr>
          <w:p w14:paraId="323FB78F" w14:textId="77777777" w:rsidR="00494CC3" w:rsidRPr="00705B49" w:rsidRDefault="00494CC3" w:rsidP="00EF7245">
            <w:pPr>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0.067 (0.057)</w:t>
            </w:r>
          </w:p>
        </w:tc>
      </w:tr>
      <w:tr w:rsidR="00494CC3" w:rsidRPr="00705B49" w14:paraId="74B654A7"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hideMark/>
          </w:tcPr>
          <w:p w14:paraId="11791185" w14:textId="77777777" w:rsidR="00494CC3" w:rsidRPr="00705B49" w:rsidRDefault="00494CC3" w:rsidP="00EF7245">
            <w:pPr>
              <w:spacing w:before="40" w:after="40"/>
              <w:rPr>
                <w:rFonts w:eastAsia="Times New Roman" w:cstheme="minorHAnsi"/>
                <w:b w:val="0"/>
                <w:color w:val="auto"/>
                <w:szCs w:val="22"/>
                <w:lang w:eastAsia="en-AU"/>
              </w:rPr>
            </w:pPr>
            <w:r w:rsidRPr="00705B49">
              <w:rPr>
                <w:rFonts w:eastAsia="Times New Roman" w:cstheme="minorHAnsi"/>
                <w:b w:val="0"/>
                <w:color w:val="auto"/>
                <w:szCs w:val="22"/>
                <w:lang w:eastAsia="en-AU"/>
              </w:rPr>
              <w:t>Other Services</w:t>
            </w:r>
          </w:p>
        </w:tc>
        <w:tc>
          <w:tcPr>
            <w:tcW w:w="564" w:type="pct"/>
            <w:tcBorders>
              <w:top w:val="single" w:sz="4" w:space="0" w:color="4BB3B5"/>
              <w:bottom w:val="single" w:sz="4" w:space="0" w:color="4BB3B5"/>
            </w:tcBorders>
            <w:noWrap/>
            <w:hideMark/>
          </w:tcPr>
          <w:p w14:paraId="6CA1CCEB"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-0.059*** (0.009)</w:t>
            </w:r>
          </w:p>
        </w:tc>
        <w:tc>
          <w:tcPr>
            <w:tcW w:w="564" w:type="pct"/>
            <w:tcBorders>
              <w:top w:val="single" w:sz="4" w:space="0" w:color="4BB3B5"/>
              <w:bottom w:val="single" w:sz="4" w:space="0" w:color="4BB3B5"/>
            </w:tcBorders>
            <w:noWrap/>
            <w:hideMark/>
          </w:tcPr>
          <w:p w14:paraId="163F36A7"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-0.059*** (0.009)</w:t>
            </w:r>
          </w:p>
        </w:tc>
        <w:tc>
          <w:tcPr>
            <w:tcW w:w="561" w:type="pct"/>
            <w:tcBorders>
              <w:top w:val="single" w:sz="4" w:space="0" w:color="4BB3B5"/>
              <w:bottom w:val="single" w:sz="4" w:space="0" w:color="4BB3B5"/>
            </w:tcBorders>
            <w:noWrap/>
            <w:hideMark/>
          </w:tcPr>
          <w:p w14:paraId="12207212"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-0.004*** (0.071)</w:t>
            </w:r>
          </w:p>
        </w:tc>
        <w:tc>
          <w:tcPr>
            <w:tcW w:w="532" w:type="pct"/>
            <w:tcBorders>
              <w:top w:val="single" w:sz="4" w:space="0" w:color="4BB3B5"/>
              <w:bottom w:val="single" w:sz="4" w:space="0" w:color="4BB3B5"/>
            </w:tcBorders>
            <w:noWrap/>
            <w:hideMark/>
          </w:tcPr>
          <w:p w14:paraId="01C4E85F"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0.137*** (0.077)</w:t>
            </w:r>
          </w:p>
        </w:tc>
        <w:tc>
          <w:tcPr>
            <w:tcW w:w="546" w:type="pct"/>
            <w:tcBorders>
              <w:top w:val="single" w:sz="4" w:space="0" w:color="4BB3B5"/>
              <w:bottom w:val="single" w:sz="4" w:space="0" w:color="4BB3B5"/>
            </w:tcBorders>
            <w:noWrap/>
            <w:hideMark/>
          </w:tcPr>
          <w:p w14:paraId="7A133117"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0.101*** (0.076)</w:t>
            </w:r>
          </w:p>
        </w:tc>
        <w:tc>
          <w:tcPr>
            <w:tcW w:w="612" w:type="pct"/>
            <w:tcBorders>
              <w:top w:val="single" w:sz="4" w:space="0" w:color="4BB3B5"/>
              <w:bottom w:val="single" w:sz="4" w:space="0" w:color="4BB3B5"/>
            </w:tcBorders>
            <w:noWrap/>
            <w:hideMark/>
          </w:tcPr>
          <w:p w14:paraId="4D4F427B" w14:textId="77777777" w:rsidR="00494CC3" w:rsidRPr="00705B49" w:rsidRDefault="00494CC3" w:rsidP="00EF7245">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eastAsia="Times New Roman" w:cstheme="minorHAnsi"/>
                <w:color w:val="000000"/>
                <w:szCs w:val="22"/>
                <w:lang w:eastAsia="en-AU"/>
              </w:rPr>
              <w:t>-0.019*** (0.06)</w:t>
            </w:r>
          </w:p>
        </w:tc>
      </w:tr>
    </w:tbl>
    <w:p w14:paraId="11DA810F" w14:textId="77777777" w:rsidR="00494CC3" w:rsidRPr="00705B49" w:rsidRDefault="00494CC3" w:rsidP="00494CC3">
      <w:pPr>
        <w:pStyle w:val="Sourcenotes"/>
        <w:rPr>
          <w:lang w:val="en-AU"/>
        </w:rPr>
      </w:pPr>
      <w:r w:rsidRPr="00705B49">
        <w:rPr>
          <w:lang w:val="en-US"/>
        </w:rPr>
        <w:t>Source:</w:t>
      </w:r>
      <w:r w:rsidRPr="00705B49">
        <w:rPr>
          <w:lang w:val="en-AU"/>
        </w:rPr>
        <w:t xml:space="preserve"> BCARR analysis of BLADE data from </w:t>
      </w:r>
      <w:r w:rsidRPr="00705B49">
        <w:rPr>
          <w:noProof/>
        </w:rPr>
        <w:t>2009–10 to 2018–19</w:t>
      </w:r>
      <w:r w:rsidRPr="00705B49">
        <w:rPr>
          <w:noProof/>
          <w:lang w:val="en-US"/>
        </w:rPr>
        <w:t>.</w:t>
      </w:r>
      <w:r w:rsidRPr="00705B49">
        <w:rPr>
          <w:lang w:val="en-AU"/>
        </w:rPr>
        <w:t xml:space="preserve"> Numbers indicate impact on productivity *, **, *** indicates statistical significance at the 10%, 5%, 1% levels respectively. Controls and intercept coefficients are not shown. Models A-F are all pooled OLS regression models, but differ in the choice of explanatory variable of interest, where (A): regression using broadband type (with HFC/Cable aggregated), (B): regression using broadband type, (C): regression using broadband adoption (pre-post), (D): regression using lagged broadband adoption (pre-post), where productivity growth is measured one year after adopting broadband, (E): regression using lagged broadband adoption (pre-post), where productivity growth is measured one year after adopting broadband, (F): regression using broadband adoption (pre-post), where productivity growth is measured using an equal number of years pre and post-broadband adoption at the firm-level. Robust standard errors in parentheses.</w:t>
      </w:r>
    </w:p>
    <w:p w14:paraId="0695CFA1" w14:textId="77777777" w:rsidR="00494CC3" w:rsidRDefault="00494CC3" w:rsidP="00FF191D">
      <w:pPr>
        <w:pStyle w:val="Tablefigureheading"/>
      </w:pPr>
      <w:bookmarkStart w:id="200" w:name="_Toc115175404"/>
      <w:bookmarkStart w:id="201" w:name="_Toc129767636"/>
      <w:r w:rsidRPr="00705B49">
        <w:lastRenderedPageBreak/>
        <w:t xml:space="preserve">Table </w:t>
      </w:r>
      <w:fldSimple w:instr=" SEQ Table \* ARABIC ">
        <w:r w:rsidRPr="00705B49">
          <w:rPr>
            <w:noProof/>
          </w:rPr>
          <w:t>18</w:t>
        </w:r>
      </w:fldSimple>
      <w:r w:rsidRPr="00705B49">
        <w:t>. LP Regression results – Division controls, effect of fibre/cable broadband adoption</w:t>
      </w:r>
      <w:bookmarkEnd w:id="200"/>
      <w:bookmarkEnd w:id="201"/>
    </w:p>
    <w:tbl>
      <w:tblPr>
        <w:tblStyle w:val="DefaultTable1"/>
        <w:tblW w:w="5102" w:type="pct"/>
        <w:tblLayout w:type="fixed"/>
        <w:tblLook w:val="04A0" w:firstRow="1" w:lastRow="0" w:firstColumn="1" w:lastColumn="0" w:noHBand="0" w:noVBand="1"/>
        <w:tblCaption w:val="Table 17. MFP Regression results – Division controls, effect of fibre/cable broadband adoption"/>
        <w:tblDescription w:val="Table 17. MFP Regression results – Division controls, effect of fibre/cable broadband adoption"/>
      </w:tblPr>
      <w:tblGrid>
        <w:gridCol w:w="3133"/>
        <w:gridCol w:w="1091"/>
        <w:gridCol w:w="1091"/>
        <w:gridCol w:w="1085"/>
        <w:gridCol w:w="1029"/>
        <w:gridCol w:w="1056"/>
        <w:gridCol w:w="1183"/>
      </w:tblGrid>
      <w:tr w:rsidR="00EF7245" w:rsidRPr="00705B49" w14:paraId="17F03990" w14:textId="77777777" w:rsidTr="00747265">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bottom w:val="single" w:sz="4" w:space="0" w:color="595959" w:themeColor="text1" w:themeTint="A6"/>
            </w:tcBorders>
            <w:shd w:val="clear" w:color="auto" w:fill="081E3E"/>
            <w:noWrap/>
            <w:hideMark/>
          </w:tcPr>
          <w:p w14:paraId="3C4B094A" w14:textId="77777777" w:rsidR="00EF7245" w:rsidRPr="00705B49" w:rsidRDefault="00EF7245" w:rsidP="00EF7245">
            <w:pPr>
              <w:keepNext/>
              <w:spacing w:before="40" w:after="40"/>
              <w:rPr>
                <w:rFonts w:ascii="Times New Roman" w:eastAsia="Times New Roman" w:hAnsi="Times New Roman" w:cs="Times New Roman"/>
                <w:szCs w:val="24"/>
                <w:lang w:eastAsia="en-AU"/>
              </w:rPr>
            </w:pPr>
            <w:r w:rsidRPr="00705B49">
              <w:rPr>
                <w:rFonts w:eastAsia="Times New Roman" w:cs="Calibri"/>
                <w:szCs w:val="22"/>
                <w:lang w:eastAsia="en-AU"/>
              </w:rPr>
              <w:t>Division</w:t>
            </w:r>
          </w:p>
        </w:tc>
        <w:tc>
          <w:tcPr>
            <w:tcW w:w="564" w:type="pct"/>
            <w:tcBorders>
              <w:bottom w:val="single" w:sz="4" w:space="0" w:color="595959" w:themeColor="text1" w:themeTint="A6"/>
            </w:tcBorders>
            <w:shd w:val="clear" w:color="auto" w:fill="081E3E"/>
            <w:noWrap/>
            <w:hideMark/>
          </w:tcPr>
          <w:p w14:paraId="25B01F65" w14:textId="77777777" w:rsidR="00EF7245" w:rsidRPr="00705B49" w:rsidRDefault="00EF7245"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A</w:t>
            </w:r>
          </w:p>
        </w:tc>
        <w:tc>
          <w:tcPr>
            <w:tcW w:w="564" w:type="pct"/>
            <w:tcBorders>
              <w:bottom w:val="single" w:sz="4" w:space="0" w:color="595959" w:themeColor="text1" w:themeTint="A6"/>
            </w:tcBorders>
            <w:shd w:val="clear" w:color="auto" w:fill="081E3E"/>
            <w:noWrap/>
            <w:hideMark/>
          </w:tcPr>
          <w:p w14:paraId="70B1326A" w14:textId="77777777" w:rsidR="00EF7245" w:rsidRPr="00705B49" w:rsidRDefault="00EF7245"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B</w:t>
            </w:r>
          </w:p>
        </w:tc>
        <w:tc>
          <w:tcPr>
            <w:tcW w:w="561" w:type="pct"/>
            <w:tcBorders>
              <w:bottom w:val="single" w:sz="4" w:space="0" w:color="595959" w:themeColor="text1" w:themeTint="A6"/>
            </w:tcBorders>
            <w:shd w:val="clear" w:color="auto" w:fill="081E3E"/>
            <w:noWrap/>
            <w:hideMark/>
          </w:tcPr>
          <w:p w14:paraId="58E80CB5" w14:textId="77777777" w:rsidR="00EF7245" w:rsidRPr="00705B49" w:rsidRDefault="00EF7245"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C</w:t>
            </w:r>
          </w:p>
        </w:tc>
        <w:tc>
          <w:tcPr>
            <w:tcW w:w="532" w:type="pct"/>
            <w:tcBorders>
              <w:bottom w:val="single" w:sz="4" w:space="0" w:color="595959" w:themeColor="text1" w:themeTint="A6"/>
            </w:tcBorders>
            <w:shd w:val="clear" w:color="auto" w:fill="081E3E"/>
            <w:noWrap/>
            <w:hideMark/>
          </w:tcPr>
          <w:p w14:paraId="593C73DD" w14:textId="77777777" w:rsidR="00EF7245" w:rsidRPr="00705B49" w:rsidRDefault="00EF7245"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D</w:t>
            </w:r>
          </w:p>
        </w:tc>
        <w:tc>
          <w:tcPr>
            <w:tcW w:w="546" w:type="pct"/>
            <w:tcBorders>
              <w:bottom w:val="single" w:sz="4" w:space="0" w:color="595959" w:themeColor="text1" w:themeTint="A6"/>
            </w:tcBorders>
            <w:shd w:val="clear" w:color="auto" w:fill="081E3E"/>
            <w:noWrap/>
            <w:hideMark/>
          </w:tcPr>
          <w:p w14:paraId="7F35C5A4" w14:textId="77777777" w:rsidR="00EF7245" w:rsidRPr="00705B49" w:rsidRDefault="00EF7245"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E</w:t>
            </w:r>
          </w:p>
        </w:tc>
        <w:tc>
          <w:tcPr>
            <w:tcW w:w="612" w:type="pct"/>
            <w:tcBorders>
              <w:bottom w:val="single" w:sz="4" w:space="0" w:color="595959" w:themeColor="text1" w:themeTint="A6"/>
            </w:tcBorders>
            <w:shd w:val="clear" w:color="auto" w:fill="081E3E"/>
            <w:noWrap/>
            <w:hideMark/>
          </w:tcPr>
          <w:p w14:paraId="4CEC150C" w14:textId="77777777" w:rsidR="00EF7245" w:rsidRPr="00705B49" w:rsidRDefault="00EF7245" w:rsidP="00EF7245">
            <w:pPr>
              <w:keepNext/>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2"/>
                <w:lang w:eastAsia="en-AU"/>
              </w:rPr>
            </w:pPr>
            <w:r w:rsidRPr="00705B49">
              <w:rPr>
                <w:rFonts w:eastAsia="Times New Roman" w:cs="Calibri"/>
                <w:szCs w:val="22"/>
                <w:lang w:eastAsia="en-AU"/>
              </w:rPr>
              <w:t>F</w:t>
            </w:r>
          </w:p>
        </w:tc>
      </w:tr>
      <w:tr w:rsidR="00EF7245" w:rsidRPr="00705B49" w14:paraId="1C507734"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bottom w:val="single" w:sz="4" w:space="0" w:color="4BB3B5"/>
            </w:tcBorders>
            <w:noWrap/>
          </w:tcPr>
          <w:p w14:paraId="75DD18BC" w14:textId="77777777" w:rsidR="00EF7245" w:rsidRPr="00705B49" w:rsidRDefault="00EF7245" w:rsidP="00EF7245">
            <w:pPr>
              <w:keepNext/>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Mining</w:t>
            </w:r>
          </w:p>
        </w:tc>
        <w:tc>
          <w:tcPr>
            <w:tcW w:w="564" w:type="pct"/>
            <w:tcBorders>
              <w:bottom w:val="single" w:sz="4" w:space="0" w:color="4BB3B5"/>
            </w:tcBorders>
            <w:noWrap/>
            <w:vAlign w:val="bottom"/>
          </w:tcPr>
          <w:p w14:paraId="3E0AD2D1"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0.144 (0.031)</w:t>
            </w:r>
          </w:p>
        </w:tc>
        <w:tc>
          <w:tcPr>
            <w:tcW w:w="564" w:type="pct"/>
            <w:tcBorders>
              <w:bottom w:val="single" w:sz="4" w:space="0" w:color="4BB3B5"/>
            </w:tcBorders>
            <w:noWrap/>
            <w:vAlign w:val="bottom"/>
          </w:tcPr>
          <w:p w14:paraId="404672C5"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0.144 (0.031)</w:t>
            </w:r>
          </w:p>
        </w:tc>
        <w:tc>
          <w:tcPr>
            <w:tcW w:w="561" w:type="pct"/>
            <w:tcBorders>
              <w:bottom w:val="single" w:sz="4" w:space="0" w:color="4BB3B5"/>
            </w:tcBorders>
            <w:noWrap/>
            <w:vAlign w:val="bottom"/>
          </w:tcPr>
          <w:p w14:paraId="69ADB70C"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0.055 (0.204)</w:t>
            </w:r>
          </w:p>
        </w:tc>
        <w:tc>
          <w:tcPr>
            <w:tcW w:w="532" w:type="pct"/>
            <w:tcBorders>
              <w:bottom w:val="single" w:sz="4" w:space="0" w:color="4BB3B5"/>
            </w:tcBorders>
            <w:noWrap/>
            <w:vAlign w:val="bottom"/>
          </w:tcPr>
          <w:p w14:paraId="48542C23"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-0.101 (0.137)</w:t>
            </w:r>
          </w:p>
        </w:tc>
        <w:tc>
          <w:tcPr>
            <w:tcW w:w="546" w:type="pct"/>
            <w:tcBorders>
              <w:bottom w:val="single" w:sz="4" w:space="0" w:color="4BB3B5"/>
            </w:tcBorders>
            <w:noWrap/>
            <w:vAlign w:val="bottom"/>
          </w:tcPr>
          <w:p w14:paraId="602E2051"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-0.249 (0.189)</w:t>
            </w:r>
          </w:p>
        </w:tc>
        <w:tc>
          <w:tcPr>
            <w:tcW w:w="612" w:type="pct"/>
            <w:tcBorders>
              <w:bottom w:val="single" w:sz="4" w:space="0" w:color="4BB3B5"/>
            </w:tcBorders>
            <w:noWrap/>
            <w:vAlign w:val="bottom"/>
          </w:tcPr>
          <w:p w14:paraId="649AA8F4"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0.089 (0.142)</w:t>
            </w:r>
          </w:p>
        </w:tc>
      </w:tr>
      <w:tr w:rsidR="00EF7245" w:rsidRPr="00705B49" w14:paraId="4DDA190B"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55F9C235" w14:textId="77777777" w:rsidR="00EF7245" w:rsidRPr="00705B49" w:rsidRDefault="00EF7245" w:rsidP="00EF7245">
            <w:pPr>
              <w:keepNext/>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Manufacturing</w:t>
            </w:r>
          </w:p>
        </w:tc>
        <w:tc>
          <w:tcPr>
            <w:tcW w:w="564" w:type="pct"/>
            <w:tcBorders>
              <w:top w:val="single" w:sz="4" w:space="0" w:color="4BB3B5"/>
              <w:bottom w:val="single" w:sz="4" w:space="0" w:color="4BB3B5"/>
            </w:tcBorders>
            <w:noWrap/>
            <w:vAlign w:val="bottom"/>
          </w:tcPr>
          <w:p w14:paraId="699C4D8F" w14:textId="77777777" w:rsidR="00EF7245" w:rsidRPr="00705B49" w:rsidRDefault="00EF7245" w:rsidP="00EF7245">
            <w:pPr>
              <w:keepNext/>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-0.037 (0.026)</w:t>
            </w:r>
          </w:p>
        </w:tc>
        <w:tc>
          <w:tcPr>
            <w:tcW w:w="564" w:type="pct"/>
            <w:tcBorders>
              <w:top w:val="single" w:sz="4" w:space="0" w:color="4BB3B5"/>
              <w:bottom w:val="single" w:sz="4" w:space="0" w:color="4BB3B5"/>
            </w:tcBorders>
            <w:noWrap/>
            <w:vAlign w:val="bottom"/>
          </w:tcPr>
          <w:p w14:paraId="2C584CC7" w14:textId="77777777" w:rsidR="00EF7245" w:rsidRPr="00705B49" w:rsidRDefault="00EF7245" w:rsidP="00EF7245">
            <w:pPr>
              <w:keepNext/>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-0.037 (0.026)</w:t>
            </w:r>
          </w:p>
        </w:tc>
        <w:tc>
          <w:tcPr>
            <w:tcW w:w="561" w:type="pct"/>
            <w:tcBorders>
              <w:top w:val="single" w:sz="4" w:space="0" w:color="4BB3B5"/>
              <w:bottom w:val="single" w:sz="4" w:space="0" w:color="4BB3B5"/>
            </w:tcBorders>
            <w:noWrap/>
            <w:vAlign w:val="bottom"/>
          </w:tcPr>
          <w:p w14:paraId="5286425D" w14:textId="77777777" w:rsidR="00EF7245" w:rsidRPr="00705B49" w:rsidRDefault="00EF7245" w:rsidP="00EF7245">
            <w:pPr>
              <w:keepNext/>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0.135 (0.188)</w:t>
            </w:r>
          </w:p>
        </w:tc>
        <w:tc>
          <w:tcPr>
            <w:tcW w:w="532" w:type="pct"/>
            <w:tcBorders>
              <w:top w:val="single" w:sz="4" w:space="0" w:color="4BB3B5"/>
              <w:bottom w:val="single" w:sz="4" w:space="0" w:color="4BB3B5"/>
            </w:tcBorders>
            <w:noWrap/>
            <w:vAlign w:val="bottom"/>
          </w:tcPr>
          <w:p w14:paraId="03ACBBFC" w14:textId="77777777" w:rsidR="00EF7245" w:rsidRPr="00705B49" w:rsidRDefault="00EF7245" w:rsidP="00EF7245">
            <w:pPr>
              <w:keepNext/>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-0.123 (0.127)</w:t>
            </w:r>
          </w:p>
        </w:tc>
        <w:tc>
          <w:tcPr>
            <w:tcW w:w="546" w:type="pct"/>
            <w:tcBorders>
              <w:top w:val="single" w:sz="4" w:space="0" w:color="4BB3B5"/>
              <w:bottom w:val="single" w:sz="4" w:space="0" w:color="4BB3B5"/>
            </w:tcBorders>
            <w:noWrap/>
            <w:vAlign w:val="bottom"/>
          </w:tcPr>
          <w:p w14:paraId="14B46FFE" w14:textId="77777777" w:rsidR="00EF7245" w:rsidRPr="00705B49" w:rsidRDefault="00EF7245" w:rsidP="00EF7245">
            <w:pPr>
              <w:keepNext/>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-0.159 (0.175)</w:t>
            </w:r>
          </w:p>
        </w:tc>
        <w:tc>
          <w:tcPr>
            <w:tcW w:w="612" w:type="pct"/>
            <w:tcBorders>
              <w:top w:val="single" w:sz="4" w:space="0" w:color="4BB3B5"/>
              <w:bottom w:val="single" w:sz="4" w:space="0" w:color="4BB3B5"/>
            </w:tcBorders>
            <w:noWrap/>
            <w:vAlign w:val="bottom"/>
          </w:tcPr>
          <w:p w14:paraId="693914A6" w14:textId="77777777" w:rsidR="00EF7245" w:rsidRPr="00705B49" w:rsidRDefault="00EF7245" w:rsidP="00EF7245">
            <w:pPr>
              <w:keepNext/>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0.112 (0.134)</w:t>
            </w:r>
          </w:p>
        </w:tc>
      </w:tr>
      <w:tr w:rsidR="00EF7245" w:rsidRPr="00705B49" w14:paraId="47951D69"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42FF94AF" w14:textId="77777777" w:rsidR="00EF7245" w:rsidRPr="00705B49" w:rsidRDefault="00EF7245" w:rsidP="00EF7245">
            <w:pPr>
              <w:keepNext/>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Electricity, Gas, Water and Waste Services</w:t>
            </w:r>
          </w:p>
        </w:tc>
        <w:tc>
          <w:tcPr>
            <w:tcW w:w="564" w:type="pct"/>
            <w:tcBorders>
              <w:top w:val="single" w:sz="4" w:space="0" w:color="4BB3B5"/>
              <w:bottom w:val="single" w:sz="4" w:space="0" w:color="4BB3B5"/>
            </w:tcBorders>
            <w:noWrap/>
            <w:vAlign w:val="bottom"/>
          </w:tcPr>
          <w:p w14:paraId="61F7E7AC"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-0.067 (0.041)</w:t>
            </w:r>
          </w:p>
        </w:tc>
        <w:tc>
          <w:tcPr>
            <w:tcW w:w="564" w:type="pct"/>
            <w:tcBorders>
              <w:top w:val="single" w:sz="4" w:space="0" w:color="4BB3B5"/>
              <w:bottom w:val="single" w:sz="4" w:space="0" w:color="4BB3B5"/>
            </w:tcBorders>
            <w:noWrap/>
            <w:vAlign w:val="bottom"/>
          </w:tcPr>
          <w:p w14:paraId="7E7F931D"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-0.067 (0.041)</w:t>
            </w:r>
          </w:p>
        </w:tc>
        <w:tc>
          <w:tcPr>
            <w:tcW w:w="561" w:type="pct"/>
            <w:tcBorders>
              <w:top w:val="single" w:sz="4" w:space="0" w:color="4BB3B5"/>
              <w:bottom w:val="single" w:sz="4" w:space="0" w:color="4BB3B5"/>
            </w:tcBorders>
            <w:noWrap/>
            <w:vAlign w:val="bottom"/>
          </w:tcPr>
          <w:p w14:paraId="7F3BB35F"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-0.096 (0.228)</w:t>
            </w:r>
          </w:p>
        </w:tc>
        <w:tc>
          <w:tcPr>
            <w:tcW w:w="532" w:type="pct"/>
            <w:tcBorders>
              <w:top w:val="single" w:sz="4" w:space="0" w:color="4BB3B5"/>
              <w:bottom w:val="single" w:sz="4" w:space="0" w:color="4BB3B5"/>
            </w:tcBorders>
            <w:noWrap/>
            <w:vAlign w:val="bottom"/>
          </w:tcPr>
          <w:p w14:paraId="305D3CD2"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-0.137 (0.16)</w:t>
            </w:r>
          </w:p>
        </w:tc>
        <w:tc>
          <w:tcPr>
            <w:tcW w:w="546" w:type="pct"/>
            <w:tcBorders>
              <w:top w:val="single" w:sz="4" w:space="0" w:color="4BB3B5"/>
              <w:bottom w:val="single" w:sz="4" w:space="0" w:color="4BB3B5"/>
            </w:tcBorders>
            <w:noWrap/>
            <w:vAlign w:val="bottom"/>
          </w:tcPr>
          <w:p w14:paraId="03F32121"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-0.213 (0.215)</w:t>
            </w:r>
          </w:p>
        </w:tc>
        <w:tc>
          <w:tcPr>
            <w:tcW w:w="612" w:type="pct"/>
            <w:tcBorders>
              <w:top w:val="single" w:sz="4" w:space="0" w:color="4BB3B5"/>
              <w:bottom w:val="single" w:sz="4" w:space="0" w:color="4BB3B5"/>
            </w:tcBorders>
            <w:noWrap/>
            <w:vAlign w:val="bottom"/>
          </w:tcPr>
          <w:p w14:paraId="214AA47D" w14:textId="77777777" w:rsidR="00EF7245" w:rsidRPr="00705B49" w:rsidRDefault="00EF7245" w:rsidP="00EF7245">
            <w:pPr>
              <w:keepNext/>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-0.06 (0.161)</w:t>
            </w:r>
          </w:p>
        </w:tc>
      </w:tr>
      <w:tr w:rsidR="00EF7245" w:rsidRPr="00705B49" w14:paraId="5B91E19E"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3E96225B"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Construction</w:t>
            </w:r>
          </w:p>
        </w:tc>
        <w:tc>
          <w:tcPr>
            <w:tcW w:w="564" w:type="pct"/>
            <w:tcBorders>
              <w:top w:val="single" w:sz="4" w:space="0" w:color="4BB3B5"/>
              <w:bottom w:val="single" w:sz="4" w:space="0" w:color="4BB3B5"/>
            </w:tcBorders>
            <w:noWrap/>
            <w:vAlign w:val="bottom"/>
          </w:tcPr>
          <w:p w14:paraId="20B0D567"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-0.025*** (0.028)</w:t>
            </w:r>
          </w:p>
        </w:tc>
        <w:tc>
          <w:tcPr>
            <w:tcW w:w="564" w:type="pct"/>
            <w:tcBorders>
              <w:top w:val="single" w:sz="4" w:space="0" w:color="4BB3B5"/>
              <w:bottom w:val="single" w:sz="4" w:space="0" w:color="4BB3B5"/>
            </w:tcBorders>
            <w:noWrap/>
            <w:vAlign w:val="bottom"/>
          </w:tcPr>
          <w:p w14:paraId="3AF789D0"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-0.025*** (0.028)</w:t>
            </w:r>
          </w:p>
        </w:tc>
        <w:tc>
          <w:tcPr>
            <w:tcW w:w="561" w:type="pct"/>
            <w:tcBorders>
              <w:top w:val="single" w:sz="4" w:space="0" w:color="4BB3B5"/>
              <w:bottom w:val="single" w:sz="4" w:space="0" w:color="4BB3B5"/>
            </w:tcBorders>
            <w:noWrap/>
            <w:vAlign w:val="bottom"/>
          </w:tcPr>
          <w:p w14:paraId="456ECFA6"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-0.131 (0.195)</w:t>
            </w:r>
          </w:p>
        </w:tc>
        <w:tc>
          <w:tcPr>
            <w:tcW w:w="532" w:type="pct"/>
            <w:tcBorders>
              <w:top w:val="single" w:sz="4" w:space="0" w:color="4BB3B5"/>
              <w:bottom w:val="single" w:sz="4" w:space="0" w:color="4BB3B5"/>
            </w:tcBorders>
            <w:noWrap/>
            <w:vAlign w:val="bottom"/>
          </w:tcPr>
          <w:p w14:paraId="4720DA09"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-0.219 (0.133)</w:t>
            </w:r>
          </w:p>
        </w:tc>
        <w:tc>
          <w:tcPr>
            <w:tcW w:w="546" w:type="pct"/>
            <w:tcBorders>
              <w:top w:val="single" w:sz="4" w:space="0" w:color="4BB3B5"/>
              <w:bottom w:val="single" w:sz="4" w:space="0" w:color="4BB3B5"/>
            </w:tcBorders>
            <w:noWrap/>
            <w:vAlign w:val="bottom"/>
          </w:tcPr>
          <w:p w14:paraId="52597717"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-0.284 (0.183)</w:t>
            </w:r>
          </w:p>
        </w:tc>
        <w:tc>
          <w:tcPr>
            <w:tcW w:w="612" w:type="pct"/>
            <w:tcBorders>
              <w:top w:val="single" w:sz="4" w:space="0" w:color="4BB3B5"/>
              <w:bottom w:val="single" w:sz="4" w:space="0" w:color="4BB3B5"/>
            </w:tcBorders>
            <w:noWrap/>
            <w:vAlign w:val="bottom"/>
          </w:tcPr>
          <w:p w14:paraId="4D3A95CE"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-0.085 (0.141)</w:t>
            </w:r>
          </w:p>
        </w:tc>
      </w:tr>
      <w:tr w:rsidR="00EF7245" w:rsidRPr="00705B49" w14:paraId="4E5718FF"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068945D1"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Wholesale Trade</w:t>
            </w:r>
          </w:p>
        </w:tc>
        <w:tc>
          <w:tcPr>
            <w:tcW w:w="564" w:type="pct"/>
            <w:tcBorders>
              <w:top w:val="single" w:sz="4" w:space="0" w:color="4BB3B5"/>
              <w:bottom w:val="single" w:sz="4" w:space="0" w:color="4BB3B5"/>
            </w:tcBorders>
            <w:noWrap/>
            <w:vAlign w:val="bottom"/>
          </w:tcPr>
          <w:p w14:paraId="5B48071D"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-0.073*** (0.028)</w:t>
            </w:r>
          </w:p>
        </w:tc>
        <w:tc>
          <w:tcPr>
            <w:tcW w:w="564" w:type="pct"/>
            <w:tcBorders>
              <w:top w:val="single" w:sz="4" w:space="0" w:color="4BB3B5"/>
              <w:bottom w:val="single" w:sz="4" w:space="0" w:color="4BB3B5"/>
            </w:tcBorders>
            <w:noWrap/>
            <w:vAlign w:val="bottom"/>
          </w:tcPr>
          <w:p w14:paraId="7545D978"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-0.073*** (0.028)</w:t>
            </w:r>
          </w:p>
        </w:tc>
        <w:tc>
          <w:tcPr>
            <w:tcW w:w="561" w:type="pct"/>
            <w:tcBorders>
              <w:top w:val="single" w:sz="4" w:space="0" w:color="4BB3B5"/>
              <w:bottom w:val="single" w:sz="4" w:space="0" w:color="4BB3B5"/>
            </w:tcBorders>
            <w:noWrap/>
            <w:vAlign w:val="bottom"/>
          </w:tcPr>
          <w:p w14:paraId="13B4CD0D"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-0.015 (0.19)</w:t>
            </w:r>
          </w:p>
        </w:tc>
        <w:tc>
          <w:tcPr>
            <w:tcW w:w="532" w:type="pct"/>
            <w:tcBorders>
              <w:top w:val="single" w:sz="4" w:space="0" w:color="4BB3B5"/>
              <w:bottom w:val="single" w:sz="4" w:space="0" w:color="4BB3B5"/>
            </w:tcBorders>
            <w:noWrap/>
            <w:vAlign w:val="bottom"/>
          </w:tcPr>
          <w:p w14:paraId="1A2B3A53"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-0.118 (0.129)</w:t>
            </w:r>
          </w:p>
        </w:tc>
        <w:tc>
          <w:tcPr>
            <w:tcW w:w="546" w:type="pct"/>
            <w:tcBorders>
              <w:top w:val="single" w:sz="4" w:space="0" w:color="4BB3B5"/>
              <w:bottom w:val="single" w:sz="4" w:space="0" w:color="4BB3B5"/>
            </w:tcBorders>
            <w:noWrap/>
            <w:vAlign w:val="bottom"/>
          </w:tcPr>
          <w:p w14:paraId="07694A63"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-0.209* (0.176)</w:t>
            </w:r>
          </w:p>
        </w:tc>
        <w:tc>
          <w:tcPr>
            <w:tcW w:w="612" w:type="pct"/>
            <w:tcBorders>
              <w:top w:val="single" w:sz="4" w:space="0" w:color="4BB3B5"/>
              <w:bottom w:val="single" w:sz="4" w:space="0" w:color="4BB3B5"/>
            </w:tcBorders>
            <w:noWrap/>
            <w:vAlign w:val="bottom"/>
          </w:tcPr>
          <w:p w14:paraId="6D576F56"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0.043 (0.136)</w:t>
            </w:r>
          </w:p>
        </w:tc>
      </w:tr>
      <w:tr w:rsidR="00EF7245" w:rsidRPr="00705B49" w14:paraId="44C54B4F"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7E66D80F"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Retail Trade</w:t>
            </w:r>
          </w:p>
        </w:tc>
        <w:tc>
          <w:tcPr>
            <w:tcW w:w="564" w:type="pct"/>
            <w:tcBorders>
              <w:top w:val="single" w:sz="4" w:space="0" w:color="4BB3B5"/>
              <w:bottom w:val="single" w:sz="4" w:space="0" w:color="4BB3B5"/>
            </w:tcBorders>
            <w:noWrap/>
            <w:vAlign w:val="bottom"/>
          </w:tcPr>
          <w:p w14:paraId="4A7BA718"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-0.144*** (0.028)</w:t>
            </w:r>
          </w:p>
        </w:tc>
        <w:tc>
          <w:tcPr>
            <w:tcW w:w="564" w:type="pct"/>
            <w:tcBorders>
              <w:top w:val="single" w:sz="4" w:space="0" w:color="4BB3B5"/>
              <w:bottom w:val="single" w:sz="4" w:space="0" w:color="4BB3B5"/>
            </w:tcBorders>
            <w:noWrap/>
            <w:vAlign w:val="bottom"/>
          </w:tcPr>
          <w:p w14:paraId="04C61013"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-0.144*** (0.028)</w:t>
            </w:r>
          </w:p>
        </w:tc>
        <w:tc>
          <w:tcPr>
            <w:tcW w:w="561" w:type="pct"/>
            <w:tcBorders>
              <w:top w:val="single" w:sz="4" w:space="0" w:color="4BB3B5"/>
              <w:bottom w:val="single" w:sz="4" w:space="0" w:color="4BB3B5"/>
            </w:tcBorders>
            <w:noWrap/>
            <w:vAlign w:val="bottom"/>
          </w:tcPr>
          <w:p w14:paraId="3D635FE6"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-0.171 (0.2)</w:t>
            </w:r>
          </w:p>
        </w:tc>
        <w:tc>
          <w:tcPr>
            <w:tcW w:w="532" w:type="pct"/>
            <w:tcBorders>
              <w:top w:val="single" w:sz="4" w:space="0" w:color="4BB3B5"/>
              <w:bottom w:val="single" w:sz="4" w:space="0" w:color="4BB3B5"/>
            </w:tcBorders>
            <w:noWrap/>
            <w:vAlign w:val="bottom"/>
          </w:tcPr>
          <w:p w14:paraId="2862E0D5"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-0.186 (0.134)</w:t>
            </w:r>
          </w:p>
        </w:tc>
        <w:tc>
          <w:tcPr>
            <w:tcW w:w="546" w:type="pct"/>
            <w:tcBorders>
              <w:top w:val="single" w:sz="4" w:space="0" w:color="4BB3B5"/>
              <w:bottom w:val="single" w:sz="4" w:space="0" w:color="4BB3B5"/>
            </w:tcBorders>
            <w:noWrap/>
            <w:vAlign w:val="bottom"/>
          </w:tcPr>
          <w:p w14:paraId="745822E4"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-0.334 (0.185)</w:t>
            </w:r>
          </w:p>
        </w:tc>
        <w:tc>
          <w:tcPr>
            <w:tcW w:w="612" w:type="pct"/>
            <w:tcBorders>
              <w:top w:val="single" w:sz="4" w:space="0" w:color="4BB3B5"/>
              <w:bottom w:val="single" w:sz="4" w:space="0" w:color="4BB3B5"/>
            </w:tcBorders>
            <w:noWrap/>
            <w:vAlign w:val="bottom"/>
          </w:tcPr>
          <w:p w14:paraId="743F8B06"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-0.105 (0.143)</w:t>
            </w:r>
          </w:p>
        </w:tc>
      </w:tr>
      <w:tr w:rsidR="00EF7245" w:rsidRPr="00705B49" w14:paraId="05938257"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5FE6DF5A"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Accommodation and Food Services</w:t>
            </w:r>
          </w:p>
        </w:tc>
        <w:tc>
          <w:tcPr>
            <w:tcW w:w="564" w:type="pct"/>
            <w:tcBorders>
              <w:top w:val="single" w:sz="4" w:space="0" w:color="4BB3B5"/>
              <w:bottom w:val="single" w:sz="4" w:space="0" w:color="4BB3B5"/>
            </w:tcBorders>
            <w:noWrap/>
            <w:vAlign w:val="bottom"/>
          </w:tcPr>
          <w:p w14:paraId="37136EBD"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-0.118** (0.029)</w:t>
            </w:r>
          </w:p>
        </w:tc>
        <w:tc>
          <w:tcPr>
            <w:tcW w:w="564" w:type="pct"/>
            <w:tcBorders>
              <w:top w:val="single" w:sz="4" w:space="0" w:color="4BB3B5"/>
              <w:bottom w:val="single" w:sz="4" w:space="0" w:color="4BB3B5"/>
            </w:tcBorders>
            <w:noWrap/>
            <w:vAlign w:val="bottom"/>
          </w:tcPr>
          <w:p w14:paraId="7F8C29D7"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-0.117** (0.029)</w:t>
            </w:r>
          </w:p>
        </w:tc>
        <w:tc>
          <w:tcPr>
            <w:tcW w:w="561" w:type="pct"/>
            <w:tcBorders>
              <w:top w:val="single" w:sz="4" w:space="0" w:color="4BB3B5"/>
              <w:bottom w:val="single" w:sz="4" w:space="0" w:color="4BB3B5"/>
            </w:tcBorders>
            <w:noWrap/>
            <w:vAlign w:val="bottom"/>
          </w:tcPr>
          <w:p w14:paraId="3F2E0D80"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0.072 (0.213)</w:t>
            </w:r>
          </w:p>
        </w:tc>
        <w:tc>
          <w:tcPr>
            <w:tcW w:w="532" w:type="pct"/>
            <w:tcBorders>
              <w:top w:val="single" w:sz="4" w:space="0" w:color="4BB3B5"/>
              <w:bottom w:val="single" w:sz="4" w:space="0" w:color="4BB3B5"/>
            </w:tcBorders>
            <w:noWrap/>
            <w:vAlign w:val="bottom"/>
          </w:tcPr>
          <w:p w14:paraId="64C8ACA8"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-0.209 (0.145)</w:t>
            </w:r>
          </w:p>
        </w:tc>
        <w:tc>
          <w:tcPr>
            <w:tcW w:w="546" w:type="pct"/>
            <w:tcBorders>
              <w:top w:val="single" w:sz="4" w:space="0" w:color="4BB3B5"/>
              <w:bottom w:val="single" w:sz="4" w:space="0" w:color="4BB3B5"/>
            </w:tcBorders>
            <w:noWrap/>
            <w:vAlign w:val="bottom"/>
          </w:tcPr>
          <w:p w14:paraId="01949BFA"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-0.177 (0.199)</w:t>
            </w:r>
          </w:p>
        </w:tc>
        <w:tc>
          <w:tcPr>
            <w:tcW w:w="612" w:type="pct"/>
            <w:tcBorders>
              <w:top w:val="single" w:sz="4" w:space="0" w:color="4BB3B5"/>
              <w:bottom w:val="single" w:sz="4" w:space="0" w:color="4BB3B5"/>
            </w:tcBorders>
            <w:noWrap/>
            <w:vAlign w:val="bottom"/>
          </w:tcPr>
          <w:p w14:paraId="3D306B5C"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0.137 (0.156)</w:t>
            </w:r>
          </w:p>
        </w:tc>
      </w:tr>
      <w:tr w:rsidR="00EF7245" w:rsidRPr="00705B49" w14:paraId="40BE7798"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06FC015A"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Transport, Postal and Warehousing</w:t>
            </w:r>
          </w:p>
        </w:tc>
        <w:tc>
          <w:tcPr>
            <w:tcW w:w="564" w:type="pct"/>
            <w:tcBorders>
              <w:top w:val="single" w:sz="4" w:space="0" w:color="4BB3B5"/>
              <w:bottom w:val="single" w:sz="4" w:space="0" w:color="4BB3B5"/>
            </w:tcBorders>
            <w:noWrap/>
            <w:vAlign w:val="bottom"/>
          </w:tcPr>
          <w:p w14:paraId="0CCC8096"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-0.072 (0.029)</w:t>
            </w:r>
          </w:p>
        </w:tc>
        <w:tc>
          <w:tcPr>
            <w:tcW w:w="564" w:type="pct"/>
            <w:tcBorders>
              <w:top w:val="single" w:sz="4" w:space="0" w:color="4BB3B5"/>
              <w:bottom w:val="single" w:sz="4" w:space="0" w:color="4BB3B5"/>
            </w:tcBorders>
            <w:noWrap/>
            <w:vAlign w:val="bottom"/>
          </w:tcPr>
          <w:p w14:paraId="1C6DB863"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-0.072 (0.029)</w:t>
            </w:r>
          </w:p>
        </w:tc>
        <w:tc>
          <w:tcPr>
            <w:tcW w:w="561" w:type="pct"/>
            <w:tcBorders>
              <w:top w:val="single" w:sz="4" w:space="0" w:color="4BB3B5"/>
              <w:bottom w:val="single" w:sz="4" w:space="0" w:color="4BB3B5"/>
            </w:tcBorders>
            <w:noWrap/>
            <w:vAlign w:val="bottom"/>
          </w:tcPr>
          <w:p w14:paraId="384762CA"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-0.059 (0.195)</w:t>
            </w:r>
          </w:p>
        </w:tc>
        <w:tc>
          <w:tcPr>
            <w:tcW w:w="532" w:type="pct"/>
            <w:tcBorders>
              <w:top w:val="single" w:sz="4" w:space="0" w:color="4BB3B5"/>
              <w:bottom w:val="single" w:sz="4" w:space="0" w:color="4BB3B5"/>
            </w:tcBorders>
            <w:noWrap/>
            <w:vAlign w:val="bottom"/>
          </w:tcPr>
          <w:p w14:paraId="25A5BB66"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-0.114 (0.132)</w:t>
            </w:r>
          </w:p>
        </w:tc>
        <w:tc>
          <w:tcPr>
            <w:tcW w:w="546" w:type="pct"/>
            <w:tcBorders>
              <w:top w:val="single" w:sz="4" w:space="0" w:color="4BB3B5"/>
              <w:bottom w:val="single" w:sz="4" w:space="0" w:color="4BB3B5"/>
            </w:tcBorders>
            <w:noWrap/>
            <w:vAlign w:val="bottom"/>
          </w:tcPr>
          <w:p w14:paraId="6212EDA0"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-0.22 (0.182)</w:t>
            </w:r>
          </w:p>
        </w:tc>
        <w:tc>
          <w:tcPr>
            <w:tcW w:w="612" w:type="pct"/>
            <w:tcBorders>
              <w:top w:val="single" w:sz="4" w:space="0" w:color="4BB3B5"/>
              <w:bottom w:val="single" w:sz="4" w:space="0" w:color="4BB3B5"/>
            </w:tcBorders>
            <w:noWrap/>
            <w:vAlign w:val="bottom"/>
          </w:tcPr>
          <w:p w14:paraId="0B330E76"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-0.032 (0.14)</w:t>
            </w:r>
          </w:p>
        </w:tc>
      </w:tr>
      <w:tr w:rsidR="00EF7245" w:rsidRPr="00705B49" w14:paraId="739A4878"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65FEDAEF"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Information Media and Telecommunications</w:t>
            </w:r>
          </w:p>
        </w:tc>
        <w:tc>
          <w:tcPr>
            <w:tcW w:w="564" w:type="pct"/>
            <w:tcBorders>
              <w:top w:val="single" w:sz="4" w:space="0" w:color="4BB3B5"/>
              <w:bottom w:val="single" w:sz="4" w:space="0" w:color="4BB3B5"/>
            </w:tcBorders>
            <w:noWrap/>
            <w:vAlign w:val="bottom"/>
          </w:tcPr>
          <w:p w14:paraId="7D21DF0F"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0.02 (0.03)</w:t>
            </w:r>
          </w:p>
        </w:tc>
        <w:tc>
          <w:tcPr>
            <w:tcW w:w="564" w:type="pct"/>
            <w:tcBorders>
              <w:top w:val="single" w:sz="4" w:space="0" w:color="4BB3B5"/>
              <w:bottom w:val="single" w:sz="4" w:space="0" w:color="4BB3B5"/>
            </w:tcBorders>
            <w:noWrap/>
            <w:vAlign w:val="bottom"/>
          </w:tcPr>
          <w:p w14:paraId="1777334B"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0.02 (0.03)</w:t>
            </w:r>
          </w:p>
        </w:tc>
        <w:tc>
          <w:tcPr>
            <w:tcW w:w="561" w:type="pct"/>
            <w:tcBorders>
              <w:top w:val="single" w:sz="4" w:space="0" w:color="4BB3B5"/>
              <w:bottom w:val="single" w:sz="4" w:space="0" w:color="4BB3B5"/>
            </w:tcBorders>
            <w:noWrap/>
            <w:vAlign w:val="bottom"/>
          </w:tcPr>
          <w:p w14:paraId="52F78D00"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0.133 (0.192)</w:t>
            </w:r>
          </w:p>
        </w:tc>
        <w:tc>
          <w:tcPr>
            <w:tcW w:w="532" w:type="pct"/>
            <w:tcBorders>
              <w:top w:val="single" w:sz="4" w:space="0" w:color="4BB3B5"/>
              <w:bottom w:val="single" w:sz="4" w:space="0" w:color="4BB3B5"/>
            </w:tcBorders>
            <w:noWrap/>
            <w:vAlign w:val="bottom"/>
          </w:tcPr>
          <w:p w14:paraId="7DE92126"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-0.023 (0.131)</w:t>
            </w:r>
          </w:p>
        </w:tc>
        <w:tc>
          <w:tcPr>
            <w:tcW w:w="546" w:type="pct"/>
            <w:tcBorders>
              <w:top w:val="single" w:sz="4" w:space="0" w:color="4BB3B5"/>
              <w:bottom w:val="single" w:sz="4" w:space="0" w:color="4BB3B5"/>
            </w:tcBorders>
            <w:noWrap/>
            <w:vAlign w:val="bottom"/>
          </w:tcPr>
          <w:p w14:paraId="73A99B13"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-0.181* (0.181)</w:t>
            </w:r>
          </w:p>
        </w:tc>
        <w:tc>
          <w:tcPr>
            <w:tcW w:w="612" w:type="pct"/>
            <w:tcBorders>
              <w:top w:val="single" w:sz="4" w:space="0" w:color="4BB3B5"/>
              <w:bottom w:val="single" w:sz="4" w:space="0" w:color="4BB3B5"/>
            </w:tcBorders>
            <w:noWrap/>
            <w:vAlign w:val="bottom"/>
          </w:tcPr>
          <w:p w14:paraId="4CAF13E0"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0.121 (0.138)</w:t>
            </w:r>
          </w:p>
        </w:tc>
      </w:tr>
      <w:tr w:rsidR="00EF7245" w:rsidRPr="00705B49" w14:paraId="332ABE1F"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00DB2A78"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Financial and Insurance Services</w:t>
            </w:r>
          </w:p>
        </w:tc>
        <w:tc>
          <w:tcPr>
            <w:tcW w:w="564" w:type="pct"/>
            <w:tcBorders>
              <w:top w:val="single" w:sz="4" w:space="0" w:color="4BB3B5"/>
              <w:bottom w:val="single" w:sz="4" w:space="0" w:color="4BB3B5"/>
            </w:tcBorders>
            <w:noWrap/>
            <w:vAlign w:val="bottom"/>
          </w:tcPr>
          <w:p w14:paraId="72F8EF45"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-0.058** (0.037)</w:t>
            </w:r>
          </w:p>
        </w:tc>
        <w:tc>
          <w:tcPr>
            <w:tcW w:w="564" w:type="pct"/>
            <w:tcBorders>
              <w:top w:val="single" w:sz="4" w:space="0" w:color="4BB3B5"/>
              <w:bottom w:val="single" w:sz="4" w:space="0" w:color="4BB3B5"/>
            </w:tcBorders>
            <w:noWrap/>
            <w:vAlign w:val="bottom"/>
          </w:tcPr>
          <w:p w14:paraId="53001451"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-0.058** (0.037)</w:t>
            </w:r>
          </w:p>
        </w:tc>
        <w:tc>
          <w:tcPr>
            <w:tcW w:w="561" w:type="pct"/>
            <w:tcBorders>
              <w:top w:val="single" w:sz="4" w:space="0" w:color="4BB3B5"/>
              <w:bottom w:val="single" w:sz="4" w:space="0" w:color="4BB3B5"/>
            </w:tcBorders>
            <w:noWrap/>
            <w:vAlign w:val="bottom"/>
          </w:tcPr>
          <w:p w14:paraId="45183C2B"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-0.093 (0.209)</w:t>
            </w:r>
          </w:p>
        </w:tc>
        <w:tc>
          <w:tcPr>
            <w:tcW w:w="532" w:type="pct"/>
            <w:tcBorders>
              <w:top w:val="single" w:sz="4" w:space="0" w:color="4BB3B5"/>
              <w:bottom w:val="single" w:sz="4" w:space="0" w:color="4BB3B5"/>
            </w:tcBorders>
            <w:noWrap/>
            <w:vAlign w:val="bottom"/>
          </w:tcPr>
          <w:p w14:paraId="4DC9282B"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-0.226* (0.142)</w:t>
            </w:r>
          </w:p>
        </w:tc>
        <w:tc>
          <w:tcPr>
            <w:tcW w:w="546" w:type="pct"/>
            <w:tcBorders>
              <w:top w:val="single" w:sz="4" w:space="0" w:color="4BB3B5"/>
              <w:bottom w:val="single" w:sz="4" w:space="0" w:color="4BB3B5"/>
            </w:tcBorders>
            <w:noWrap/>
            <w:vAlign w:val="bottom"/>
          </w:tcPr>
          <w:p w14:paraId="3916DEB3"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-0.339** (0.195)</w:t>
            </w:r>
          </w:p>
        </w:tc>
        <w:tc>
          <w:tcPr>
            <w:tcW w:w="612" w:type="pct"/>
            <w:tcBorders>
              <w:top w:val="single" w:sz="4" w:space="0" w:color="4BB3B5"/>
              <w:bottom w:val="single" w:sz="4" w:space="0" w:color="4BB3B5"/>
            </w:tcBorders>
            <w:noWrap/>
            <w:vAlign w:val="bottom"/>
          </w:tcPr>
          <w:p w14:paraId="3D6A5424"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-0.017 (0.149)</w:t>
            </w:r>
          </w:p>
        </w:tc>
      </w:tr>
      <w:tr w:rsidR="00EF7245" w:rsidRPr="00705B49" w14:paraId="51DF2F28"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09CC8B53"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Rental, Hiring and Real Estate Services</w:t>
            </w:r>
          </w:p>
        </w:tc>
        <w:tc>
          <w:tcPr>
            <w:tcW w:w="564" w:type="pct"/>
            <w:tcBorders>
              <w:top w:val="single" w:sz="4" w:space="0" w:color="4BB3B5"/>
              <w:bottom w:val="single" w:sz="4" w:space="0" w:color="4BB3B5"/>
            </w:tcBorders>
            <w:noWrap/>
            <w:vAlign w:val="bottom"/>
          </w:tcPr>
          <w:p w14:paraId="07099D63"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-0.064*** (0.03)</w:t>
            </w:r>
          </w:p>
        </w:tc>
        <w:tc>
          <w:tcPr>
            <w:tcW w:w="564" w:type="pct"/>
            <w:tcBorders>
              <w:top w:val="single" w:sz="4" w:space="0" w:color="4BB3B5"/>
              <w:bottom w:val="single" w:sz="4" w:space="0" w:color="4BB3B5"/>
            </w:tcBorders>
            <w:noWrap/>
            <w:vAlign w:val="bottom"/>
          </w:tcPr>
          <w:p w14:paraId="16E79537"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-0.063*** (0.03)</w:t>
            </w:r>
          </w:p>
        </w:tc>
        <w:tc>
          <w:tcPr>
            <w:tcW w:w="561" w:type="pct"/>
            <w:tcBorders>
              <w:top w:val="single" w:sz="4" w:space="0" w:color="4BB3B5"/>
              <w:bottom w:val="single" w:sz="4" w:space="0" w:color="4BB3B5"/>
            </w:tcBorders>
            <w:noWrap/>
            <w:vAlign w:val="bottom"/>
          </w:tcPr>
          <w:p w14:paraId="4D5425F0"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-0.063 (0.197)</w:t>
            </w:r>
          </w:p>
        </w:tc>
        <w:tc>
          <w:tcPr>
            <w:tcW w:w="532" w:type="pct"/>
            <w:tcBorders>
              <w:top w:val="single" w:sz="4" w:space="0" w:color="4BB3B5"/>
              <w:bottom w:val="single" w:sz="4" w:space="0" w:color="4BB3B5"/>
            </w:tcBorders>
            <w:noWrap/>
            <w:vAlign w:val="bottom"/>
          </w:tcPr>
          <w:p w14:paraId="3040428D"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-0.251 (0.135)</w:t>
            </w:r>
          </w:p>
        </w:tc>
        <w:tc>
          <w:tcPr>
            <w:tcW w:w="546" w:type="pct"/>
            <w:tcBorders>
              <w:top w:val="single" w:sz="4" w:space="0" w:color="4BB3B5"/>
              <w:bottom w:val="single" w:sz="4" w:space="0" w:color="4BB3B5"/>
            </w:tcBorders>
            <w:noWrap/>
            <w:vAlign w:val="bottom"/>
          </w:tcPr>
          <w:p w14:paraId="2C45F750"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-0.394** (0.185)</w:t>
            </w:r>
          </w:p>
        </w:tc>
        <w:tc>
          <w:tcPr>
            <w:tcW w:w="612" w:type="pct"/>
            <w:tcBorders>
              <w:top w:val="single" w:sz="4" w:space="0" w:color="4BB3B5"/>
              <w:bottom w:val="single" w:sz="4" w:space="0" w:color="4BB3B5"/>
            </w:tcBorders>
            <w:noWrap/>
            <w:vAlign w:val="bottom"/>
          </w:tcPr>
          <w:p w14:paraId="132D749C"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-0.053 (0.143)</w:t>
            </w:r>
          </w:p>
        </w:tc>
      </w:tr>
      <w:tr w:rsidR="00EF7245" w:rsidRPr="00705B49" w14:paraId="3EDDAF7D"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7A20EAFE"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Professional, Scientific and Technical Services</w:t>
            </w:r>
          </w:p>
        </w:tc>
        <w:tc>
          <w:tcPr>
            <w:tcW w:w="564" w:type="pct"/>
            <w:tcBorders>
              <w:top w:val="single" w:sz="4" w:space="0" w:color="4BB3B5"/>
              <w:bottom w:val="single" w:sz="4" w:space="0" w:color="4BB3B5"/>
            </w:tcBorders>
            <w:noWrap/>
            <w:vAlign w:val="bottom"/>
          </w:tcPr>
          <w:p w14:paraId="5BE40DD4"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-0.119*** (0.027)</w:t>
            </w:r>
          </w:p>
        </w:tc>
        <w:tc>
          <w:tcPr>
            <w:tcW w:w="564" w:type="pct"/>
            <w:tcBorders>
              <w:top w:val="single" w:sz="4" w:space="0" w:color="4BB3B5"/>
              <w:bottom w:val="single" w:sz="4" w:space="0" w:color="4BB3B5"/>
            </w:tcBorders>
            <w:noWrap/>
            <w:vAlign w:val="bottom"/>
          </w:tcPr>
          <w:p w14:paraId="56F36C16"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-0.119*** (0.027)</w:t>
            </w:r>
          </w:p>
        </w:tc>
        <w:tc>
          <w:tcPr>
            <w:tcW w:w="561" w:type="pct"/>
            <w:tcBorders>
              <w:top w:val="single" w:sz="4" w:space="0" w:color="4BB3B5"/>
              <w:bottom w:val="single" w:sz="4" w:space="0" w:color="4BB3B5"/>
            </w:tcBorders>
            <w:noWrap/>
            <w:vAlign w:val="bottom"/>
          </w:tcPr>
          <w:p w14:paraId="53865B50"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-0.046 (0.185)</w:t>
            </w:r>
          </w:p>
        </w:tc>
        <w:tc>
          <w:tcPr>
            <w:tcW w:w="532" w:type="pct"/>
            <w:tcBorders>
              <w:top w:val="single" w:sz="4" w:space="0" w:color="4BB3B5"/>
              <w:bottom w:val="single" w:sz="4" w:space="0" w:color="4BB3B5"/>
            </w:tcBorders>
            <w:noWrap/>
            <w:vAlign w:val="bottom"/>
          </w:tcPr>
          <w:p w14:paraId="6469E54D"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-0.197* (0.126)</w:t>
            </w:r>
          </w:p>
        </w:tc>
        <w:tc>
          <w:tcPr>
            <w:tcW w:w="546" w:type="pct"/>
            <w:tcBorders>
              <w:top w:val="single" w:sz="4" w:space="0" w:color="4BB3B5"/>
              <w:bottom w:val="single" w:sz="4" w:space="0" w:color="4BB3B5"/>
            </w:tcBorders>
            <w:noWrap/>
            <w:vAlign w:val="bottom"/>
          </w:tcPr>
          <w:p w14:paraId="4D8EA1A0"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-0.354* (0.174)</w:t>
            </w:r>
          </w:p>
        </w:tc>
        <w:tc>
          <w:tcPr>
            <w:tcW w:w="612" w:type="pct"/>
            <w:tcBorders>
              <w:top w:val="single" w:sz="4" w:space="0" w:color="4BB3B5"/>
              <w:bottom w:val="single" w:sz="4" w:space="0" w:color="4BB3B5"/>
            </w:tcBorders>
            <w:noWrap/>
            <w:vAlign w:val="bottom"/>
          </w:tcPr>
          <w:p w14:paraId="73DB4B1E"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-0.038 (0.133)</w:t>
            </w:r>
          </w:p>
        </w:tc>
      </w:tr>
      <w:tr w:rsidR="00EF7245" w:rsidRPr="00705B49" w14:paraId="3E2C3833"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59A23656"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Administrative and Support Services</w:t>
            </w:r>
          </w:p>
        </w:tc>
        <w:tc>
          <w:tcPr>
            <w:tcW w:w="564" w:type="pct"/>
            <w:tcBorders>
              <w:top w:val="single" w:sz="4" w:space="0" w:color="4BB3B5"/>
              <w:bottom w:val="single" w:sz="4" w:space="0" w:color="4BB3B5"/>
            </w:tcBorders>
            <w:noWrap/>
            <w:vAlign w:val="bottom"/>
          </w:tcPr>
          <w:p w14:paraId="3F0B589C"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-0.126*** (0.028)</w:t>
            </w:r>
          </w:p>
        </w:tc>
        <w:tc>
          <w:tcPr>
            <w:tcW w:w="564" w:type="pct"/>
            <w:tcBorders>
              <w:top w:val="single" w:sz="4" w:space="0" w:color="4BB3B5"/>
              <w:bottom w:val="single" w:sz="4" w:space="0" w:color="4BB3B5"/>
            </w:tcBorders>
            <w:noWrap/>
            <w:vAlign w:val="bottom"/>
          </w:tcPr>
          <w:p w14:paraId="31532A92"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-0.125*** (0.028)</w:t>
            </w:r>
          </w:p>
        </w:tc>
        <w:tc>
          <w:tcPr>
            <w:tcW w:w="561" w:type="pct"/>
            <w:tcBorders>
              <w:top w:val="single" w:sz="4" w:space="0" w:color="4BB3B5"/>
              <w:bottom w:val="single" w:sz="4" w:space="0" w:color="4BB3B5"/>
            </w:tcBorders>
            <w:noWrap/>
            <w:vAlign w:val="bottom"/>
          </w:tcPr>
          <w:p w14:paraId="5E94EAF8"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-0.136 (0.193)</w:t>
            </w:r>
          </w:p>
        </w:tc>
        <w:tc>
          <w:tcPr>
            <w:tcW w:w="532" w:type="pct"/>
            <w:tcBorders>
              <w:top w:val="single" w:sz="4" w:space="0" w:color="4BB3B5"/>
              <w:bottom w:val="single" w:sz="4" w:space="0" w:color="4BB3B5"/>
            </w:tcBorders>
            <w:noWrap/>
            <w:vAlign w:val="bottom"/>
          </w:tcPr>
          <w:p w14:paraId="12071452"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-0.24 (0.131)</w:t>
            </w:r>
          </w:p>
        </w:tc>
        <w:tc>
          <w:tcPr>
            <w:tcW w:w="546" w:type="pct"/>
            <w:tcBorders>
              <w:top w:val="single" w:sz="4" w:space="0" w:color="4BB3B5"/>
              <w:bottom w:val="single" w:sz="4" w:space="0" w:color="4BB3B5"/>
            </w:tcBorders>
            <w:noWrap/>
            <w:vAlign w:val="bottom"/>
          </w:tcPr>
          <w:p w14:paraId="34A35AAB"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-0.306 (0.18)</w:t>
            </w:r>
          </w:p>
        </w:tc>
        <w:tc>
          <w:tcPr>
            <w:tcW w:w="612" w:type="pct"/>
            <w:tcBorders>
              <w:top w:val="single" w:sz="4" w:space="0" w:color="4BB3B5"/>
              <w:bottom w:val="single" w:sz="4" w:space="0" w:color="4BB3B5"/>
            </w:tcBorders>
            <w:noWrap/>
            <w:vAlign w:val="bottom"/>
          </w:tcPr>
          <w:p w14:paraId="79DA1388"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-0.085 (0.139)</w:t>
            </w:r>
          </w:p>
        </w:tc>
      </w:tr>
      <w:tr w:rsidR="00EF7245" w:rsidRPr="00705B49" w14:paraId="2FF138A0" w14:textId="77777777" w:rsidTr="00747265">
        <w:trPr>
          <w:cnfStyle w:val="000000010000" w:firstRow="0" w:lastRow="0" w:firstColumn="0" w:lastColumn="0" w:oddVBand="0" w:evenVBand="0" w:oddHBand="0" w:evenHBand="1"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4174D6AB"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Arts and Recreation Services</w:t>
            </w:r>
          </w:p>
        </w:tc>
        <w:tc>
          <w:tcPr>
            <w:tcW w:w="564" w:type="pct"/>
            <w:tcBorders>
              <w:top w:val="single" w:sz="4" w:space="0" w:color="4BB3B5"/>
              <w:bottom w:val="single" w:sz="4" w:space="0" w:color="4BB3B5"/>
            </w:tcBorders>
            <w:noWrap/>
            <w:vAlign w:val="bottom"/>
          </w:tcPr>
          <w:p w14:paraId="3A5C254E"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-0.165*** (0.03)</w:t>
            </w:r>
          </w:p>
        </w:tc>
        <w:tc>
          <w:tcPr>
            <w:tcW w:w="564" w:type="pct"/>
            <w:tcBorders>
              <w:top w:val="single" w:sz="4" w:space="0" w:color="4BB3B5"/>
              <w:bottom w:val="single" w:sz="4" w:space="0" w:color="4BB3B5"/>
            </w:tcBorders>
            <w:noWrap/>
            <w:vAlign w:val="bottom"/>
          </w:tcPr>
          <w:p w14:paraId="7C0FEA3D"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-0.165*** (0.03)</w:t>
            </w:r>
          </w:p>
        </w:tc>
        <w:tc>
          <w:tcPr>
            <w:tcW w:w="561" w:type="pct"/>
            <w:tcBorders>
              <w:top w:val="single" w:sz="4" w:space="0" w:color="4BB3B5"/>
              <w:bottom w:val="single" w:sz="4" w:space="0" w:color="4BB3B5"/>
            </w:tcBorders>
            <w:noWrap/>
            <w:vAlign w:val="bottom"/>
          </w:tcPr>
          <w:p w14:paraId="099A1C40"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0.099 (0.202)</w:t>
            </w:r>
          </w:p>
        </w:tc>
        <w:tc>
          <w:tcPr>
            <w:tcW w:w="532" w:type="pct"/>
            <w:tcBorders>
              <w:top w:val="single" w:sz="4" w:space="0" w:color="4BB3B5"/>
              <w:bottom w:val="single" w:sz="4" w:space="0" w:color="4BB3B5"/>
            </w:tcBorders>
            <w:noWrap/>
            <w:vAlign w:val="bottom"/>
          </w:tcPr>
          <w:p w14:paraId="783A80EA"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-0.116 (0.138)</w:t>
            </w:r>
          </w:p>
        </w:tc>
        <w:tc>
          <w:tcPr>
            <w:tcW w:w="546" w:type="pct"/>
            <w:tcBorders>
              <w:top w:val="single" w:sz="4" w:space="0" w:color="4BB3B5"/>
              <w:bottom w:val="single" w:sz="4" w:space="0" w:color="4BB3B5"/>
            </w:tcBorders>
            <w:noWrap/>
            <w:vAlign w:val="bottom"/>
          </w:tcPr>
          <w:p w14:paraId="77707DA7"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-0.213 (0.189)</w:t>
            </w:r>
          </w:p>
        </w:tc>
        <w:tc>
          <w:tcPr>
            <w:tcW w:w="612" w:type="pct"/>
            <w:tcBorders>
              <w:top w:val="single" w:sz="4" w:space="0" w:color="4BB3B5"/>
              <w:bottom w:val="single" w:sz="4" w:space="0" w:color="4BB3B5"/>
            </w:tcBorders>
            <w:noWrap/>
            <w:vAlign w:val="bottom"/>
          </w:tcPr>
          <w:p w14:paraId="31915832" w14:textId="77777777" w:rsidR="00EF7245" w:rsidRPr="00705B49" w:rsidRDefault="00EF7245" w:rsidP="00EF7245">
            <w:pPr>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0.057 (0.146)</w:t>
            </w:r>
          </w:p>
        </w:tc>
      </w:tr>
      <w:tr w:rsidR="00EF7245" w:rsidRPr="00705B49" w14:paraId="6E6FDC21" w14:textId="77777777" w:rsidTr="00747265">
        <w:trPr>
          <w:trHeight w:val="266"/>
        </w:trPr>
        <w:tc>
          <w:tcPr>
            <w:cnfStyle w:val="001000000000" w:firstRow="0" w:lastRow="0" w:firstColumn="1" w:lastColumn="0" w:oddVBand="0" w:evenVBand="0" w:oddHBand="0" w:evenHBand="0" w:firstRowFirstColumn="0" w:firstRowLastColumn="0" w:lastRowFirstColumn="0" w:lastRowLastColumn="0"/>
            <w:tcW w:w="1620" w:type="pct"/>
            <w:tcBorders>
              <w:top w:val="single" w:sz="4" w:space="0" w:color="4BB3B5"/>
              <w:bottom w:val="single" w:sz="4" w:space="0" w:color="4BB3B5"/>
            </w:tcBorders>
            <w:noWrap/>
          </w:tcPr>
          <w:p w14:paraId="54163062" w14:textId="77777777" w:rsidR="00EF7245" w:rsidRPr="00705B49" w:rsidRDefault="00EF7245" w:rsidP="00EF7245">
            <w:pPr>
              <w:spacing w:before="0" w:after="0"/>
              <w:rPr>
                <w:rFonts w:eastAsia="Times New Roman" w:cstheme="minorHAnsi"/>
                <w:b w:val="0"/>
                <w:color w:val="auto"/>
                <w:szCs w:val="22"/>
                <w:lang w:eastAsia="en-AU"/>
              </w:rPr>
            </w:pPr>
            <w:r w:rsidRPr="00705B49">
              <w:rPr>
                <w:rFonts w:eastAsia="Times New Roman" w:cstheme="minorHAnsi"/>
                <w:b w:val="0"/>
                <w:color w:val="auto"/>
                <w:szCs w:val="22"/>
                <w:lang w:eastAsia="en-AU"/>
              </w:rPr>
              <w:t>Other Services</w:t>
            </w:r>
          </w:p>
        </w:tc>
        <w:tc>
          <w:tcPr>
            <w:tcW w:w="564" w:type="pct"/>
            <w:tcBorders>
              <w:top w:val="single" w:sz="4" w:space="0" w:color="4BB3B5"/>
              <w:bottom w:val="single" w:sz="4" w:space="0" w:color="4BB3B5"/>
            </w:tcBorders>
            <w:noWrap/>
            <w:vAlign w:val="bottom"/>
          </w:tcPr>
          <w:p w14:paraId="724B0CC5"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-0.209*** (0.029)</w:t>
            </w:r>
          </w:p>
        </w:tc>
        <w:tc>
          <w:tcPr>
            <w:tcW w:w="564" w:type="pct"/>
            <w:tcBorders>
              <w:top w:val="single" w:sz="4" w:space="0" w:color="4BB3B5"/>
              <w:bottom w:val="single" w:sz="4" w:space="0" w:color="4BB3B5"/>
            </w:tcBorders>
            <w:noWrap/>
            <w:vAlign w:val="bottom"/>
          </w:tcPr>
          <w:p w14:paraId="4435D45B"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-0.209*** (0.029)</w:t>
            </w:r>
          </w:p>
        </w:tc>
        <w:tc>
          <w:tcPr>
            <w:tcW w:w="561" w:type="pct"/>
            <w:tcBorders>
              <w:top w:val="single" w:sz="4" w:space="0" w:color="4BB3B5"/>
              <w:bottom w:val="single" w:sz="4" w:space="0" w:color="4BB3B5"/>
            </w:tcBorders>
            <w:noWrap/>
            <w:vAlign w:val="bottom"/>
          </w:tcPr>
          <w:p w14:paraId="60208B63"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-0.153*** (0.204)</w:t>
            </w:r>
          </w:p>
        </w:tc>
        <w:tc>
          <w:tcPr>
            <w:tcW w:w="532" w:type="pct"/>
            <w:tcBorders>
              <w:top w:val="single" w:sz="4" w:space="0" w:color="4BB3B5"/>
              <w:bottom w:val="single" w:sz="4" w:space="0" w:color="4BB3B5"/>
            </w:tcBorders>
            <w:noWrap/>
            <w:vAlign w:val="bottom"/>
          </w:tcPr>
          <w:p w14:paraId="5B90371F"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-0.12*** (0.142)</w:t>
            </w:r>
          </w:p>
        </w:tc>
        <w:tc>
          <w:tcPr>
            <w:tcW w:w="546" w:type="pct"/>
            <w:tcBorders>
              <w:top w:val="single" w:sz="4" w:space="0" w:color="4BB3B5"/>
              <w:bottom w:val="single" w:sz="4" w:space="0" w:color="4BB3B5"/>
            </w:tcBorders>
            <w:noWrap/>
            <w:vAlign w:val="bottom"/>
          </w:tcPr>
          <w:p w14:paraId="469F7827"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-0.105*** (0.194)</w:t>
            </w:r>
          </w:p>
        </w:tc>
        <w:tc>
          <w:tcPr>
            <w:tcW w:w="612" w:type="pct"/>
            <w:tcBorders>
              <w:top w:val="single" w:sz="4" w:space="0" w:color="4BB3B5"/>
              <w:bottom w:val="single" w:sz="4" w:space="0" w:color="4BB3B5"/>
            </w:tcBorders>
            <w:noWrap/>
            <w:vAlign w:val="bottom"/>
          </w:tcPr>
          <w:p w14:paraId="6ED14C7A" w14:textId="77777777" w:rsidR="00EF7245" w:rsidRPr="00705B49" w:rsidRDefault="00EF7245" w:rsidP="00EF7245">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2"/>
                <w:lang w:eastAsia="en-AU"/>
              </w:rPr>
            </w:pPr>
            <w:r w:rsidRPr="00705B49">
              <w:rPr>
                <w:rFonts w:cs="Calibri"/>
                <w:color w:val="000000"/>
                <w:szCs w:val="22"/>
              </w:rPr>
              <w:t>-0.08*** (0.151)</w:t>
            </w:r>
          </w:p>
        </w:tc>
      </w:tr>
    </w:tbl>
    <w:p w14:paraId="545CC8E9" w14:textId="77777777" w:rsidR="00494CC3" w:rsidRPr="00705B49" w:rsidRDefault="00494CC3" w:rsidP="00494CC3">
      <w:pPr>
        <w:pStyle w:val="Sourcenotes"/>
        <w:rPr>
          <w:lang w:val="en-AU"/>
        </w:rPr>
      </w:pPr>
      <w:r w:rsidRPr="00705B49">
        <w:rPr>
          <w:lang w:val="en-US"/>
        </w:rPr>
        <w:t>Source:</w:t>
      </w:r>
      <w:r w:rsidRPr="00705B49">
        <w:rPr>
          <w:lang w:val="en-AU"/>
        </w:rPr>
        <w:t xml:space="preserve"> BCARR analysis of BLADE data from </w:t>
      </w:r>
      <w:r w:rsidRPr="00705B49">
        <w:rPr>
          <w:noProof/>
        </w:rPr>
        <w:t>2009–10 to 2018–19</w:t>
      </w:r>
      <w:r w:rsidRPr="00705B49">
        <w:rPr>
          <w:noProof/>
          <w:lang w:val="en-US"/>
        </w:rPr>
        <w:t>.</w:t>
      </w:r>
      <w:r w:rsidRPr="00705B49">
        <w:rPr>
          <w:lang w:val="en-AU"/>
        </w:rPr>
        <w:t xml:space="preserve"> Numbers indicate impact on productivity, standard error, and *, **, *** indicates statistical significance at the 10%, 5%, 1% levels respectively. Controls and intercept coefficients are not shown. Models A-F are all pooled OLS regression models, but differ in the choice of explanatory variable of interest, where (A): regression using broadband type (with HFC/Cable aggregated), (B): regression using broadband type, (C): regression using broadband adoption (pre-post), (D): regression using lagged broadband adoption (pre-post), where productivity growth is measured one year after adopting broadband, (E): regression using lagged broadband adoption (pre-post), where productivity growth is measured one year after adopting broadband, (F): regression using broadband adoption (pre-post), where productivity growth is measured using an equal number of years pre and post-broadband adoption at the firm-level. Robust standard errors in parentheses.</w:t>
      </w:r>
    </w:p>
    <w:p w14:paraId="06947448" w14:textId="77777777" w:rsidR="00494CC3" w:rsidRDefault="00494CC3" w:rsidP="00FF191D">
      <w:pPr>
        <w:pStyle w:val="Tablefigureheading"/>
      </w:pPr>
      <w:bookmarkStart w:id="202" w:name="_Toc115175405"/>
      <w:bookmarkStart w:id="203" w:name="_Toc129767637"/>
      <w:r w:rsidRPr="00705B49">
        <w:lastRenderedPageBreak/>
        <w:t xml:space="preserve">Figure </w:t>
      </w:r>
      <w:fldSimple w:instr=" SEQ Figure \* ARABIC ">
        <w:r w:rsidRPr="00705B49">
          <w:rPr>
            <w:noProof/>
          </w:rPr>
          <w:t>10</w:t>
        </w:r>
      </w:fldSimple>
      <w:r w:rsidRPr="00705B49">
        <w:t>. Median Multifactor Productivity Growth, 2009–10 to 2018–19</w:t>
      </w:r>
      <w:bookmarkEnd w:id="202"/>
      <w:bookmarkEnd w:id="203"/>
    </w:p>
    <w:p w14:paraId="083D9546" w14:textId="77777777" w:rsidR="00EF7245" w:rsidRPr="00EF7245" w:rsidRDefault="00EF7245" w:rsidP="00EF7245">
      <w:pPr>
        <w:pStyle w:val="NoSpacing"/>
      </w:pPr>
      <w:r>
        <w:rPr>
          <w:noProof/>
        </w:rPr>
        <w:drawing>
          <wp:inline distT="0" distB="0" distL="0" distR="0" wp14:anchorId="705D43F7" wp14:editId="450548CD">
            <wp:extent cx="6016625" cy="3594100"/>
            <wp:effectExtent l="0" t="0" r="3175" b="6350"/>
            <wp:docPr id="16" name="Picture 16" descr="This bar chart shows the median multifactor productivity (MFP) growth from 2009-10 to 2018-19. Agriculture, forestry and fishing; mining; and information media and telecommunications show the highest MFP growth. Administrative and support services; construction; and arts and recreation show the lowest MFP growth. The trends are similar for the Business Characteristics Survey (BCS) and Australian Business Register (AB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16625" cy="3594100"/>
                    </a:xfrm>
                    <a:prstGeom prst="rect">
                      <a:avLst/>
                    </a:prstGeom>
                  </pic:spPr>
                </pic:pic>
              </a:graphicData>
            </a:graphic>
          </wp:inline>
        </w:drawing>
      </w:r>
    </w:p>
    <w:p w14:paraId="3D944ADD" w14:textId="77777777" w:rsidR="00494CC3" w:rsidRPr="00F92934" w:rsidRDefault="00494CC3" w:rsidP="00494CC3">
      <w:pPr>
        <w:pStyle w:val="Sourcenotes"/>
        <w:keepNext/>
      </w:pPr>
      <w:bookmarkStart w:id="204" w:name="_Toc115175406"/>
      <w:bookmarkStart w:id="205" w:name="_Hlk116471518"/>
      <w:r w:rsidRPr="00705B49">
        <w:rPr>
          <w:lang w:val="en-AU"/>
        </w:rPr>
        <w:t xml:space="preserve">Source: BCARR analysis of BLADE data. </w:t>
      </w:r>
    </w:p>
    <w:p w14:paraId="7D08CF1B" w14:textId="77777777" w:rsidR="00494CC3" w:rsidRDefault="00494CC3" w:rsidP="00FF191D">
      <w:pPr>
        <w:pStyle w:val="Tablefigureheading"/>
      </w:pPr>
      <w:bookmarkStart w:id="206" w:name="_Toc129767638"/>
      <w:r w:rsidRPr="00705B49">
        <w:t xml:space="preserve">Figure </w:t>
      </w:r>
      <w:fldSimple w:instr=" SEQ Figure \* ARABIC ">
        <w:r w:rsidRPr="00705B49">
          <w:rPr>
            <w:noProof/>
          </w:rPr>
          <w:t>11</w:t>
        </w:r>
      </w:fldSimple>
      <w:r w:rsidRPr="00705B49">
        <w:t>. Productivity growth rates</w:t>
      </w:r>
      <w:bookmarkEnd w:id="204"/>
      <w:r w:rsidRPr="00705B49">
        <w:t xml:space="preserve"> by Accessibility and Remoteness Index of Australia (ARIA)</w:t>
      </w:r>
      <w:bookmarkEnd w:id="206"/>
    </w:p>
    <w:p w14:paraId="55FE424F" w14:textId="77777777" w:rsidR="00EF7245" w:rsidRPr="00EF7245" w:rsidRDefault="00EF7245" w:rsidP="00EF7245">
      <w:pPr>
        <w:pStyle w:val="NoSpacing"/>
      </w:pPr>
      <w:r>
        <w:rPr>
          <w:noProof/>
        </w:rPr>
        <w:drawing>
          <wp:inline distT="0" distB="0" distL="0" distR="0" wp14:anchorId="76C6B3DD" wp14:editId="3FEF2BDB">
            <wp:extent cx="6016625" cy="3225165"/>
            <wp:effectExtent l="0" t="0" r="3175" b="0"/>
            <wp:docPr id="18" name="Picture 18" descr="This column chart shows the productivity and growth rates by accessibility and remoteness index of Australia (ARIA). &#10;Productivity growth in inner regional Australia is 0.97 per cent for ABS and 0.91 per cent for BCS. Productivity growth in major cities of Australia is 0.79 per cent for ABS and 0.86 per cent for BCS. Productivity growth in inner regional Australia is 1.07 per cent for ABS and 0.88 per cent for BCS. Productivity growth in inner regional Australia is 1.10 per cent for ABS and 1.67 per cent for BCS. Productivity growth in inner regional Australia is 1.26 per cent for ABS and – 0.72 per cent for BC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016625" cy="3225165"/>
                    </a:xfrm>
                    <a:prstGeom prst="rect">
                      <a:avLst/>
                    </a:prstGeom>
                  </pic:spPr>
                </pic:pic>
              </a:graphicData>
            </a:graphic>
          </wp:inline>
        </w:drawing>
      </w:r>
    </w:p>
    <w:p w14:paraId="1642A226" w14:textId="77777777" w:rsidR="00494CC3" w:rsidRPr="00705B49" w:rsidRDefault="00494CC3" w:rsidP="00494CC3">
      <w:pPr>
        <w:keepNext/>
        <w:spacing w:after="0"/>
        <w:rPr>
          <w:i/>
        </w:rPr>
      </w:pPr>
      <w:r w:rsidRPr="00705B49">
        <w:rPr>
          <w:noProof/>
        </w:rPr>
        <w:t xml:space="preserve"> </w:t>
      </w:r>
    </w:p>
    <w:p w14:paraId="1553504B" w14:textId="77777777" w:rsidR="00494CC3" w:rsidRPr="00705B49" w:rsidRDefault="00494CC3" w:rsidP="00494CC3">
      <w:pPr>
        <w:pStyle w:val="Sourcenotes"/>
        <w:keepNext/>
        <w:rPr>
          <w:lang w:val="en-AU"/>
        </w:rPr>
      </w:pPr>
      <w:r w:rsidRPr="00705B49">
        <w:rPr>
          <w:lang w:val="en-AU"/>
        </w:rPr>
        <w:t xml:space="preserve">Source: BCARR analysis of BLADE data. </w:t>
      </w:r>
    </w:p>
    <w:bookmarkEnd w:id="205"/>
    <w:p w14:paraId="383C0179" w14:textId="77777777" w:rsidR="00494CC3" w:rsidRPr="00705B49" w:rsidRDefault="00494CC3" w:rsidP="00494CC3">
      <w:r w:rsidRPr="00705B49">
        <w:rPr>
          <w:i/>
        </w:rPr>
        <w:br w:type="page"/>
      </w:r>
    </w:p>
    <w:p w14:paraId="71114995" w14:textId="77777777" w:rsidR="00494CC3" w:rsidRPr="00705B49" w:rsidRDefault="00494CC3" w:rsidP="00EF7245">
      <w:pPr>
        <w:pStyle w:val="Heading2"/>
      </w:pPr>
      <w:bookmarkStart w:id="207" w:name="_Toc90041218"/>
      <w:bookmarkStart w:id="208" w:name="_Toc97652765"/>
      <w:bookmarkStart w:id="209" w:name="_Toc127374095"/>
      <w:bookmarkStart w:id="210" w:name="_Toc129777698"/>
      <w:r w:rsidRPr="00705B49">
        <w:lastRenderedPageBreak/>
        <w:t xml:space="preserve">Appendix E: Integrating location data </w:t>
      </w:r>
      <w:bookmarkEnd w:id="207"/>
      <w:r w:rsidRPr="00705B49">
        <w:t>with firm-level data</w:t>
      </w:r>
      <w:bookmarkEnd w:id="208"/>
      <w:bookmarkEnd w:id="209"/>
      <w:bookmarkEnd w:id="210"/>
    </w:p>
    <w:p w14:paraId="3F40D609" w14:textId="77777777" w:rsidR="00494CC3" w:rsidRPr="00705B49" w:rsidRDefault="00494CC3" w:rsidP="00EF7245">
      <w:pPr>
        <w:pStyle w:val="Heading3"/>
      </w:pPr>
      <w:bookmarkStart w:id="211" w:name="_Toc129777699"/>
      <w:r w:rsidRPr="00705B49">
        <w:t>Location data longitudinally</w:t>
      </w:r>
      <w:bookmarkEnd w:id="211"/>
    </w:p>
    <w:p w14:paraId="355FE951" w14:textId="77777777" w:rsidR="00494CC3" w:rsidRPr="00705B49" w:rsidRDefault="00494CC3" w:rsidP="00494CC3">
      <w:r w:rsidRPr="00705B49">
        <w:t>The locations of businesses for financial years 2009–10 to 2019–20 were based on extrapolating point in time 2018–19 experimental BLADE location data estimates, however it is likely that some businesses may have moved over the decade. As the</w:t>
      </w:r>
      <w:r>
        <w:t>re is</w:t>
      </w:r>
      <w:r w:rsidRPr="00705B49">
        <w:t xml:space="preserve"> only SA1 information in BLADE, it is not possible to assess how mobile businesses were over the study period. International evidence shows that around 30 per cent of businesses moved over a </w:t>
      </w:r>
      <w:r>
        <w:t>5</w:t>
      </w:r>
      <w:r w:rsidRPr="00705B49">
        <w:noBreakHyphen/>
        <w:t xml:space="preserve">year period but that they do not tend to move that far when they do relocate with a median relocation distance of less than </w:t>
      </w:r>
      <w:r>
        <w:t>5</w:t>
      </w:r>
      <w:r w:rsidRPr="00705B49">
        <w:t xml:space="preserve"> kilometres.</w:t>
      </w:r>
      <w:r w:rsidRPr="00705B49">
        <w:rPr>
          <w:rStyle w:val="EndnoteReference"/>
        </w:rPr>
        <w:endnoteReference w:id="44"/>
      </w:r>
    </w:p>
    <w:p w14:paraId="3B869E4B" w14:textId="77777777" w:rsidR="00494CC3" w:rsidRPr="00705B49" w:rsidRDefault="00494CC3" w:rsidP="00494CC3">
      <w:r w:rsidRPr="00705B49">
        <w:t>BLADE also has postcode information for businesses and includes this data over time. Over the period, 26 per cent of businesses in the business register that were active in both 2009–10 and 2018–19 had changed postcodes. Nonetheless, this information is likely to be less reflective of a business location as it is a contact address derived from tax return information, and therefore may be the postcode for their accountant.</w:t>
      </w:r>
    </w:p>
    <w:p w14:paraId="3673833B" w14:textId="77777777" w:rsidR="00494CC3" w:rsidRPr="00705B49" w:rsidRDefault="00494CC3" w:rsidP="00EF7245">
      <w:pPr>
        <w:pStyle w:val="Heading3"/>
      </w:pPr>
      <w:bookmarkStart w:id="212" w:name="_Toc129777700"/>
      <w:r w:rsidRPr="00705B49">
        <w:t>Working with businesses that have multiple locations</w:t>
      </w:r>
      <w:bookmarkEnd w:id="212"/>
    </w:p>
    <w:p w14:paraId="087E3C10" w14:textId="77777777" w:rsidR="00494CC3" w:rsidRPr="00705B49" w:rsidRDefault="00494CC3" w:rsidP="00494CC3">
      <w:r w:rsidRPr="00705B49">
        <w:t>There were approximately 2.2 million actively trading businesses in Australia in June 2019.</w:t>
      </w:r>
      <w:r w:rsidRPr="00705B49">
        <w:rPr>
          <w:rStyle w:val="FootnoteReference"/>
        </w:rPr>
        <w:footnoteReference w:id="7"/>
      </w:r>
      <w:r w:rsidRPr="00705B49">
        <w:t xml:space="preserve"> Of these, approximately 450,000 businesses (or 21 per cent) had multiple locations in 2018–19</w:t>
      </w:r>
      <w:r w:rsidRPr="00705B49">
        <w:rPr>
          <w:rStyle w:val="CommentReference"/>
          <w:sz w:val="18"/>
        </w:rPr>
        <w:t>.</w:t>
      </w:r>
      <w:r w:rsidRPr="00705B49">
        <w:t xml:space="preserve"> These were more likely to be larger businesses. For example, 30 per cent of businesses with turnover of at least $2 million had multiple premises compared with 16 per cent for businesses with turnover under $50,000. Businesses with multiple premises tended to be bigger and on average had much higher turnover and full-time equivalent staff (</w:t>
      </w:r>
      <w:r w:rsidRPr="00705B49">
        <w:fldChar w:fldCharType="begin"/>
      </w:r>
      <w:r w:rsidRPr="00705B49">
        <w:instrText xml:space="preserve"> REF _Ref114150172 \h </w:instrText>
      </w:r>
      <w:r>
        <w:instrText xml:space="preserve"> \* MERGEFORMAT </w:instrText>
      </w:r>
      <w:r w:rsidRPr="00705B49">
        <w:fldChar w:fldCharType="separate"/>
      </w:r>
      <w:r w:rsidRPr="00705B49">
        <w:t xml:space="preserve">Table </w:t>
      </w:r>
      <w:r w:rsidRPr="00705B49">
        <w:rPr>
          <w:noProof/>
        </w:rPr>
        <w:t>19</w:t>
      </w:r>
      <w:r w:rsidRPr="00705B49">
        <w:fldChar w:fldCharType="end"/>
      </w:r>
      <w:r w:rsidRPr="00705B49">
        <w:t>).</w:t>
      </w:r>
    </w:p>
    <w:p w14:paraId="6DD2EC2E" w14:textId="77777777" w:rsidR="00494CC3" w:rsidRPr="00F93F41" w:rsidRDefault="00494CC3" w:rsidP="00754E46">
      <w:pPr>
        <w:pStyle w:val="Tablefigureheading"/>
      </w:pPr>
      <w:bookmarkStart w:id="213" w:name="_Ref114150172"/>
      <w:bookmarkStart w:id="214" w:name="_Ref90036467"/>
      <w:bookmarkStart w:id="215" w:name="_Toc90041194"/>
      <w:bookmarkStart w:id="216" w:name="_Toc97652740"/>
      <w:bookmarkStart w:id="217" w:name="_Toc115175407"/>
      <w:r w:rsidRPr="00F93F41">
        <w:t xml:space="preserve">Table </w:t>
      </w:r>
      <w:fldSimple w:instr=" SEQ Table \* ARABIC ">
        <w:r w:rsidRPr="00F93F41">
          <w:rPr>
            <w:noProof/>
          </w:rPr>
          <w:t>19</w:t>
        </w:r>
      </w:fldSimple>
      <w:bookmarkEnd w:id="213"/>
      <w:r w:rsidRPr="00F93F41">
        <w:rPr>
          <w:noProof/>
        </w:rPr>
        <w:t>.</w:t>
      </w:r>
      <w:r w:rsidRPr="00F93F41">
        <w:t xml:space="preserve"> Characte</w:t>
      </w:r>
      <w:bookmarkEnd w:id="214"/>
      <w:r w:rsidRPr="00F93F41">
        <w:t>ristics of businesses with single and multiple premises, 2018–19</w:t>
      </w:r>
      <w:bookmarkEnd w:id="215"/>
      <w:bookmarkEnd w:id="216"/>
      <w:bookmarkEnd w:id="217"/>
    </w:p>
    <w:tbl>
      <w:tblPr>
        <w:tblStyle w:val="DefaultTable1"/>
        <w:tblW w:w="0" w:type="auto"/>
        <w:tblLook w:val="04A0" w:firstRow="1" w:lastRow="0" w:firstColumn="1" w:lastColumn="0" w:noHBand="0" w:noVBand="1"/>
        <w:tblCaption w:val="Table 19. Characteristics of businesses with single and multiple premises, 2018–19"/>
      </w:tblPr>
      <w:tblGrid>
        <w:gridCol w:w="1872"/>
        <w:gridCol w:w="1922"/>
        <w:gridCol w:w="1907"/>
        <w:gridCol w:w="1887"/>
        <w:gridCol w:w="1887"/>
      </w:tblGrid>
      <w:tr w:rsidR="00494CC3" w:rsidRPr="00F93F41" w14:paraId="1FE0496C"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Borders>
              <w:bottom w:val="single" w:sz="4" w:space="0" w:color="595959" w:themeColor="text1" w:themeTint="A6"/>
            </w:tcBorders>
            <w:shd w:val="clear" w:color="auto" w:fill="081E3E"/>
          </w:tcPr>
          <w:p w14:paraId="4FBB8DA8" w14:textId="77777777" w:rsidR="00494CC3" w:rsidRPr="00F93F41" w:rsidRDefault="00494CC3" w:rsidP="00494CC3">
            <w:r w:rsidRPr="00F93F41">
              <w:t>Business with…</w:t>
            </w:r>
          </w:p>
        </w:tc>
        <w:tc>
          <w:tcPr>
            <w:tcW w:w="1971" w:type="dxa"/>
            <w:tcBorders>
              <w:bottom w:val="single" w:sz="4" w:space="0" w:color="595959" w:themeColor="text1" w:themeTint="A6"/>
            </w:tcBorders>
            <w:shd w:val="clear" w:color="auto" w:fill="081E3E"/>
          </w:tcPr>
          <w:p w14:paraId="69364410" w14:textId="77777777" w:rsidR="00494CC3" w:rsidRPr="00F93F41"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F93F41">
              <w:t>Average turnover ($)</w:t>
            </w:r>
          </w:p>
        </w:tc>
        <w:tc>
          <w:tcPr>
            <w:tcW w:w="1971" w:type="dxa"/>
            <w:tcBorders>
              <w:bottom w:val="single" w:sz="4" w:space="0" w:color="595959" w:themeColor="text1" w:themeTint="A6"/>
            </w:tcBorders>
            <w:shd w:val="clear" w:color="auto" w:fill="081E3E"/>
          </w:tcPr>
          <w:p w14:paraId="61DE1871" w14:textId="77777777" w:rsidR="00494CC3" w:rsidRPr="00F93F41"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F93F41">
              <w:t>Median turnover ($)</w:t>
            </w:r>
          </w:p>
        </w:tc>
        <w:tc>
          <w:tcPr>
            <w:tcW w:w="1971" w:type="dxa"/>
            <w:tcBorders>
              <w:bottom w:val="single" w:sz="4" w:space="0" w:color="595959" w:themeColor="text1" w:themeTint="A6"/>
            </w:tcBorders>
            <w:shd w:val="clear" w:color="auto" w:fill="081E3E"/>
          </w:tcPr>
          <w:p w14:paraId="205C7FD8" w14:textId="77777777" w:rsidR="00494CC3" w:rsidRPr="00F93F41"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F93F41">
              <w:t>Average full-time equivalent</w:t>
            </w:r>
          </w:p>
        </w:tc>
        <w:tc>
          <w:tcPr>
            <w:tcW w:w="1971" w:type="dxa"/>
            <w:tcBorders>
              <w:bottom w:val="single" w:sz="4" w:space="0" w:color="595959" w:themeColor="text1" w:themeTint="A6"/>
            </w:tcBorders>
            <w:shd w:val="clear" w:color="auto" w:fill="081E3E"/>
          </w:tcPr>
          <w:p w14:paraId="17A13E50" w14:textId="77777777" w:rsidR="00494CC3" w:rsidRPr="00F93F41"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F93F41">
              <w:t>Median full-time equivalent</w:t>
            </w:r>
          </w:p>
        </w:tc>
      </w:tr>
      <w:tr w:rsidR="00494CC3" w:rsidRPr="00705B49" w14:paraId="6E73F2D8" w14:textId="77777777" w:rsidTr="00747265">
        <w:tc>
          <w:tcPr>
            <w:cnfStyle w:val="001000000000" w:firstRow="0" w:lastRow="0" w:firstColumn="1" w:lastColumn="0" w:oddVBand="0" w:evenVBand="0" w:oddHBand="0" w:evenHBand="0" w:firstRowFirstColumn="0" w:firstRowLastColumn="0" w:lastRowFirstColumn="0" w:lastRowLastColumn="0"/>
            <w:tcW w:w="1970" w:type="dxa"/>
            <w:tcBorders>
              <w:bottom w:val="single" w:sz="4" w:space="0" w:color="4BB3B5"/>
            </w:tcBorders>
          </w:tcPr>
          <w:p w14:paraId="7A6D7D36" w14:textId="77777777" w:rsidR="00494CC3" w:rsidRPr="00705B49" w:rsidRDefault="00494CC3" w:rsidP="00494CC3">
            <w:r w:rsidRPr="00705B49">
              <w:t>Single premises</w:t>
            </w:r>
          </w:p>
        </w:tc>
        <w:tc>
          <w:tcPr>
            <w:tcW w:w="1971" w:type="dxa"/>
            <w:tcBorders>
              <w:bottom w:val="single" w:sz="4" w:space="0" w:color="4BB3B5"/>
            </w:tcBorders>
          </w:tcPr>
          <w:p w14:paraId="55697DAC" w14:textId="77777777" w:rsidR="00494CC3" w:rsidRPr="00705B49" w:rsidRDefault="00494CC3" w:rsidP="00494CC3">
            <w:pPr>
              <w:tabs>
                <w:tab w:val="left" w:pos="1034"/>
              </w:tabs>
              <w:ind w:right="438"/>
              <w:jc w:val="right"/>
              <w:cnfStyle w:val="000000000000" w:firstRow="0" w:lastRow="0" w:firstColumn="0" w:lastColumn="0" w:oddVBand="0" w:evenVBand="0" w:oddHBand="0" w:evenHBand="0" w:firstRowFirstColumn="0" w:firstRowLastColumn="0" w:lastRowFirstColumn="0" w:lastRowLastColumn="0"/>
              <w:rPr>
                <w:szCs w:val="22"/>
              </w:rPr>
            </w:pPr>
            <w:r w:rsidRPr="00705B49">
              <w:rPr>
                <w:rFonts w:cs="Calibri"/>
                <w:color w:val="000000"/>
                <w:szCs w:val="22"/>
              </w:rPr>
              <w:t>1,930,400</w:t>
            </w:r>
          </w:p>
        </w:tc>
        <w:tc>
          <w:tcPr>
            <w:tcW w:w="1971" w:type="dxa"/>
            <w:tcBorders>
              <w:bottom w:val="single" w:sz="4" w:space="0" w:color="4BB3B5"/>
            </w:tcBorders>
          </w:tcPr>
          <w:p w14:paraId="4B070F78" w14:textId="77777777" w:rsidR="00494CC3" w:rsidRPr="00705B49" w:rsidRDefault="00494CC3" w:rsidP="00494CC3">
            <w:pPr>
              <w:tabs>
                <w:tab w:val="left" w:pos="1034"/>
              </w:tabs>
              <w:ind w:right="438"/>
              <w:jc w:val="right"/>
              <w:cnfStyle w:val="000000000000" w:firstRow="0" w:lastRow="0" w:firstColumn="0" w:lastColumn="0" w:oddVBand="0" w:evenVBand="0" w:oddHBand="0" w:evenHBand="0" w:firstRowFirstColumn="0" w:firstRowLastColumn="0" w:lastRowFirstColumn="0" w:lastRowLastColumn="0"/>
              <w:rPr>
                <w:szCs w:val="22"/>
              </w:rPr>
            </w:pPr>
            <w:r w:rsidRPr="00705B49">
              <w:rPr>
                <w:rFonts w:cs="Calibri"/>
                <w:color w:val="000000"/>
                <w:szCs w:val="22"/>
              </w:rPr>
              <w:t>131,800</w:t>
            </w:r>
          </w:p>
        </w:tc>
        <w:tc>
          <w:tcPr>
            <w:tcW w:w="1971" w:type="dxa"/>
            <w:tcBorders>
              <w:bottom w:val="single" w:sz="4" w:space="0" w:color="4BB3B5"/>
            </w:tcBorders>
          </w:tcPr>
          <w:p w14:paraId="68E93C38" w14:textId="77777777" w:rsidR="00494CC3" w:rsidRPr="00705B49" w:rsidRDefault="00494CC3" w:rsidP="00494CC3">
            <w:pPr>
              <w:tabs>
                <w:tab w:val="left" w:pos="1034"/>
              </w:tabs>
              <w:ind w:right="682"/>
              <w:jc w:val="right"/>
              <w:cnfStyle w:val="000000000000" w:firstRow="0" w:lastRow="0" w:firstColumn="0" w:lastColumn="0" w:oddVBand="0" w:evenVBand="0" w:oddHBand="0" w:evenHBand="0" w:firstRowFirstColumn="0" w:firstRowLastColumn="0" w:lastRowFirstColumn="0" w:lastRowLastColumn="0"/>
              <w:rPr>
                <w:szCs w:val="22"/>
              </w:rPr>
            </w:pPr>
            <w:r w:rsidRPr="00705B49">
              <w:rPr>
                <w:rFonts w:cs="Calibri"/>
                <w:color w:val="000000"/>
                <w:szCs w:val="22"/>
              </w:rPr>
              <w:t>7</w:t>
            </w:r>
          </w:p>
        </w:tc>
        <w:tc>
          <w:tcPr>
            <w:tcW w:w="1971" w:type="dxa"/>
            <w:tcBorders>
              <w:bottom w:val="single" w:sz="4" w:space="0" w:color="4BB3B5"/>
            </w:tcBorders>
          </w:tcPr>
          <w:p w14:paraId="56B81113" w14:textId="77777777" w:rsidR="00494CC3" w:rsidRPr="00705B49" w:rsidRDefault="00494CC3" w:rsidP="00494CC3">
            <w:pPr>
              <w:tabs>
                <w:tab w:val="left" w:pos="1034"/>
              </w:tabs>
              <w:ind w:right="682"/>
              <w:jc w:val="right"/>
              <w:cnfStyle w:val="000000000000" w:firstRow="0" w:lastRow="0" w:firstColumn="0" w:lastColumn="0" w:oddVBand="0" w:evenVBand="0" w:oddHBand="0" w:evenHBand="0" w:firstRowFirstColumn="0" w:firstRowLastColumn="0" w:lastRowFirstColumn="0" w:lastRowLastColumn="0"/>
              <w:rPr>
                <w:szCs w:val="22"/>
              </w:rPr>
            </w:pPr>
            <w:r w:rsidRPr="00705B49">
              <w:rPr>
                <w:rFonts w:cs="Calibri"/>
                <w:color w:val="000000"/>
                <w:szCs w:val="22"/>
              </w:rPr>
              <w:t>2</w:t>
            </w:r>
          </w:p>
        </w:tc>
      </w:tr>
      <w:tr w:rsidR="00494CC3" w:rsidRPr="00705B49" w14:paraId="643CD0C2"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4BB3B5"/>
              <w:bottom w:val="single" w:sz="4" w:space="0" w:color="4BB3B5"/>
            </w:tcBorders>
          </w:tcPr>
          <w:p w14:paraId="71384CB7" w14:textId="77777777" w:rsidR="00494CC3" w:rsidRPr="00705B49" w:rsidRDefault="00494CC3" w:rsidP="00494CC3">
            <w:r w:rsidRPr="00705B49">
              <w:t>Multiple premises</w:t>
            </w:r>
          </w:p>
        </w:tc>
        <w:tc>
          <w:tcPr>
            <w:tcW w:w="1971" w:type="dxa"/>
            <w:tcBorders>
              <w:top w:val="single" w:sz="4" w:space="0" w:color="4BB3B5"/>
              <w:bottom w:val="single" w:sz="4" w:space="0" w:color="4BB3B5"/>
            </w:tcBorders>
          </w:tcPr>
          <w:p w14:paraId="17E3F940" w14:textId="77777777" w:rsidR="00494CC3" w:rsidRPr="00705B49" w:rsidRDefault="00494CC3" w:rsidP="00494CC3">
            <w:pPr>
              <w:tabs>
                <w:tab w:val="left" w:pos="1034"/>
              </w:tabs>
              <w:ind w:right="438"/>
              <w:jc w:val="right"/>
              <w:cnfStyle w:val="000000010000" w:firstRow="0" w:lastRow="0" w:firstColumn="0" w:lastColumn="0" w:oddVBand="0" w:evenVBand="0" w:oddHBand="0" w:evenHBand="1" w:firstRowFirstColumn="0" w:firstRowLastColumn="0" w:lastRowFirstColumn="0" w:lastRowLastColumn="0"/>
              <w:rPr>
                <w:szCs w:val="22"/>
              </w:rPr>
            </w:pPr>
            <w:r w:rsidRPr="00705B49">
              <w:rPr>
                <w:rFonts w:cs="Calibri"/>
                <w:color w:val="000000"/>
                <w:szCs w:val="22"/>
              </w:rPr>
              <w:t>7,427,400</w:t>
            </w:r>
          </w:p>
        </w:tc>
        <w:tc>
          <w:tcPr>
            <w:tcW w:w="1971" w:type="dxa"/>
            <w:tcBorders>
              <w:top w:val="single" w:sz="4" w:space="0" w:color="4BB3B5"/>
              <w:bottom w:val="single" w:sz="4" w:space="0" w:color="4BB3B5"/>
            </w:tcBorders>
          </w:tcPr>
          <w:p w14:paraId="1FDDCDF7" w14:textId="77777777" w:rsidR="00494CC3" w:rsidRPr="00705B49" w:rsidRDefault="00494CC3" w:rsidP="00494CC3">
            <w:pPr>
              <w:tabs>
                <w:tab w:val="left" w:pos="1034"/>
              </w:tabs>
              <w:ind w:right="438"/>
              <w:jc w:val="right"/>
              <w:cnfStyle w:val="000000010000" w:firstRow="0" w:lastRow="0" w:firstColumn="0" w:lastColumn="0" w:oddVBand="0" w:evenVBand="0" w:oddHBand="0" w:evenHBand="1" w:firstRowFirstColumn="0" w:firstRowLastColumn="0" w:lastRowFirstColumn="0" w:lastRowLastColumn="0"/>
              <w:rPr>
                <w:szCs w:val="22"/>
              </w:rPr>
            </w:pPr>
            <w:r w:rsidRPr="00705B49">
              <w:rPr>
                <w:rFonts w:cs="Calibri"/>
                <w:color w:val="000000"/>
                <w:szCs w:val="22"/>
              </w:rPr>
              <w:t>200,800</w:t>
            </w:r>
          </w:p>
        </w:tc>
        <w:tc>
          <w:tcPr>
            <w:tcW w:w="1971" w:type="dxa"/>
            <w:tcBorders>
              <w:top w:val="single" w:sz="4" w:space="0" w:color="4BB3B5"/>
              <w:bottom w:val="single" w:sz="4" w:space="0" w:color="4BB3B5"/>
            </w:tcBorders>
          </w:tcPr>
          <w:p w14:paraId="1B333BAC" w14:textId="77777777" w:rsidR="00494CC3" w:rsidRPr="00705B49" w:rsidRDefault="00494CC3" w:rsidP="00494CC3">
            <w:pPr>
              <w:tabs>
                <w:tab w:val="left" w:pos="1034"/>
              </w:tabs>
              <w:ind w:right="682"/>
              <w:jc w:val="right"/>
              <w:cnfStyle w:val="000000010000" w:firstRow="0" w:lastRow="0" w:firstColumn="0" w:lastColumn="0" w:oddVBand="0" w:evenVBand="0" w:oddHBand="0" w:evenHBand="1" w:firstRowFirstColumn="0" w:firstRowLastColumn="0" w:lastRowFirstColumn="0" w:lastRowLastColumn="0"/>
              <w:rPr>
                <w:szCs w:val="22"/>
              </w:rPr>
            </w:pPr>
            <w:r w:rsidRPr="00705B49">
              <w:rPr>
                <w:rFonts w:cs="Calibri"/>
                <w:color w:val="000000"/>
                <w:szCs w:val="22"/>
              </w:rPr>
              <w:t>33</w:t>
            </w:r>
          </w:p>
        </w:tc>
        <w:tc>
          <w:tcPr>
            <w:tcW w:w="1971" w:type="dxa"/>
            <w:tcBorders>
              <w:top w:val="single" w:sz="4" w:space="0" w:color="4BB3B5"/>
              <w:bottom w:val="single" w:sz="4" w:space="0" w:color="4BB3B5"/>
            </w:tcBorders>
          </w:tcPr>
          <w:p w14:paraId="1784FF24" w14:textId="77777777" w:rsidR="00494CC3" w:rsidRPr="00705B49" w:rsidRDefault="00494CC3" w:rsidP="00494CC3">
            <w:pPr>
              <w:tabs>
                <w:tab w:val="left" w:pos="1034"/>
              </w:tabs>
              <w:ind w:right="682"/>
              <w:jc w:val="right"/>
              <w:cnfStyle w:val="000000010000" w:firstRow="0" w:lastRow="0" w:firstColumn="0" w:lastColumn="0" w:oddVBand="0" w:evenVBand="0" w:oddHBand="0" w:evenHBand="1" w:firstRowFirstColumn="0" w:firstRowLastColumn="0" w:lastRowFirstColumn="0" w:lastRowLastColumn="0"/>
              <w:rPr>
                <w:szCs w:val="22"/>
              </w:rPr>
            </w:pPr>
            <w:r w:rsidRPr="00705B49">
              <w:rPr>
                <w:rFonts w:cs="Calibri"/>
                <w:color w:val="000000"/>
                <w:szCs w:val="22"/>
              </w:rPr>
              <w:t>3</w:t>
            </w:r>
          </w:p>
        </w:tc>
      </w:tr>
    </w:tbl>
    <w:p w14:paraId="0C2183A9" w14:textId="77777777" w:rsidR="00494CC3" w:rsidRPr="00705B49" w:rsidRDefault="00494CC3" w:rsidP="00494CC3">
      <w:pPr>
        <w:pStyle w:val="Sourcenotes"/>
        <w:rPr>
          <w:lang w:val="en-AU"/>
        </w:rPr>
      </w:pPr>
      <w:r w:rsidRPr="00705B49">
        <w:rPr>
          <w:lang w:val="en-AU"/>
        </w:rPr>
        <w:t xml:space="preserve">Source: BCARR analysis of BLADE data. Turnover data is in nominal terms and does not include any imputed information from </w:t>
      </w:r>
      <w:proofErr w:type="spellStart"/>
      <w:r w:rsidRPr="00705B49">
        <w:rPr>
          <w:lang w:val="en-AU"/>
        </w:rPr>
        <w:t>XGBoost</w:t>
      </w:r>
      <w:proofErr w:type="spellEnd"/>
      <w:r w:rsidRPr="00705B49">
        <w:rPr>
          <w:lang w:val="en-AU"/>
        </w:rPr>
        <w:t>.</w:t>
      </w:r>
      <w:r w:rsidRPr="00705B49">
        <w:rPr>
          <w:rStyle w:val="FootnoteReference"/>
          <w:lang w:val="en-AU"/>
        </w:rPr>
        <w:footnoteReference w:id="8"/>
      </w:r>
    </w:p>
    <w:p w14:paraId="7CC4B46C" w14:textId="77777777" w:rsidR="00494CC3" w:rsidRPr="00705B49" w:rsidRDefault="00494CC3" w:rsidP="00494CC3">
      <w:r w:rsidRPr="00705B49">
        <w:t xml:space="preserve">Particular industries also had higher rates of multiple premises businesses than others such as accommodation and food services with almost one in every </w:t>
      </w:r>
      <w:r>
        <w:t>3</w:t>
      </w:r>
      <w:r w:rsidRPr="00705B49">
        <w:t xml:space="preserve"> businesses having multiple premises (32 per cent) as at 2018–19. Retail trade and health care and social assistance services also had higher rates of multiple premises businesses (28 per cent) compared to the average (21 per cent). The financial and insurance services industry had the lowest rate of multiple premises (16 per cent) followed by construction (17 per cent).</w:t>
      </w:r>
    </w:p>
    <w:p w14:paraId="214A7EC2" w14:textId="77777777" w:rsidR="00494CC3" w:rsidRPr="00705B49" w:rsidRDefault="00494CC3" w:rsidP="00494CC3">
      <w:r w:rsidRPr="00705B49">
        <w:lastRenderedPageBreak/>
        <w:t xml:space="preserve">While there is no practical way to consider the impacts of broadband on productivity growth for these businesses, it is important to note that a significant share of economic activity in Australia is from multiple premises businesses and so these estimates of productivity growth impacts of broadband should be treated with caution. </w:t>
      </w:r>
      <w:r w:rsidRPr="00705B49">
        <w:fldChar w:fldCharType="begin"/>
      </w:r>
      <w:r w:rsidRPr="00705B49">
        <w:instrText xml:space="preserve"> REF _Ref114149711 \h </w:instrText>
      </w:r>
      <w:r>
        <w:instrText xml:space="preserve"> \* MERGEFORMAT </w:instrText>
      </w:r>
      <w:r w:rsidRPr="00705B49">
        <w:fldChar w:fldCharType="separate"/>
      </w:r>
      <w:r w:rsidRPr="00705B49">
        <w:t xml:space="preserve">Table </w:t>
      </w:r>
      <w:r w:rsidRPr="00705B49">
        <w:rPr>
          <w:noProof/>
        </w:rPr>
        <w:t>20</w:t>
      </w:r>
      <w:r w:rsidRPr="00705B49">
        <w:fldChar w:fldCharType="end"/>
      </w:r>
      <w:r w:rsidRPr="00705B49">
        <w:t xml:space="preserve"> shows that these businesses account for 40 per cent of revenue and over half of employment in the economy based on BLADE.</w:t>
      </w:r>
    </w:p>
    <w:p w14:paraId="41EDA521" w14:textId="77777777" w:rsidR="00494CC3" w:rsidRPr="00705B49" w:rsidRDefault="00494CC3" w:rsidP="00FF191D">
      <w:pPr>
        <w:pStyle w:val="Tablefigureheading"/>
      </w:pPr>
      <w:bookmarkStart w:id="218" w:name="_Ref114149711"/>
      <w:bookmarkStart w:id="219" w:name="_Ref97106040"/>
      <w:bookmarkStart w:id="220" w:name="_Toc97652741"/>
      <w:bookmarkStart w:id="221" w:name="_Toc115175408"/>
      <w:bookmarkStart w:id="222" w:name="_Toc129767639"/>
      <w:r w:rsidRPr="00705B49">
        <w:t xml:space="preserve">Table </w:t>
      </w:r>
      <w:fldSimple w:instr=" SEQ Table \* ARABIC ">
        <w:r w:rsidRPr="00705B49">
          <w:rPr>
            <w:noProof/>
          </w:rPr>
          <w:t>20</w:t>
        </w:r>
      </w:fldSimple>
      <w:bookmarkEnd w:id="218"/>
      <w:bookmarkEnd w:id="219"/>
      <w:r w:rsidRPr="00705B49">
        <w:t>. Turnover and employment by single and multiple premises businesses</w:t>
      </w:r>
      <w:bookmarkEnd w:id="220"/>
      <w:bookmarkEnd w:id="221"/>
      <w:bookmarkEnd w:id="222"/>
    </w:p>
    <w:tbl>
      <w:tblPr>
        <w:tblStyle w:val="DefaultTable1"/>
        <w:tblW w:w="0" w:type="auto"/>
        <w:tblLook w:val="04A0" w:firstRow="1" w:lastRow="0" w:firstColumn="1" w:lastColumn="0" w:noHBand="0" w:noVBand="1"/>
        <w:tblCaption w:val="Table 20. Turnover and employment by single and multiple premises businesses"/>
      </w:tblPr>
      <w:tblGrid>
        <w:gridCol w:w="2563"/>
        <w:gridCol w:w="2130"/>
        <w:gridCol w:w="2130"/>
        <w:gridCol w:w="2652"/>
      </w:tblGrid>
      <w:tr w:rsidR="00494CC3" w:rsidRPr="00705B49" w14:paraId="731D8675" w14:textId="77777777" w:rsidTr="00747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595959" w:themeColor="text1" w:themeTint="A6"/>
            </w:tcBorders>
            <w:shd w:val="clear" w:color="auto" w:fill="081E3E"/>
          </w:tcPr>
          <w:p w14:paraId="54E4B5DC" w14:textId="77777777" w:rsidR="00494CC3" w:rsidRPr="00705B49" w:rsidRDefault="00494CC3" w:rsidP="00494CC3">
            <w:r w:rsidRPr="00705B49">
              <w:t>Businesses with…</w:t>
            </w:r>
          </w:p>
        </w:tc>
        <w:tc>
          <w:tcPr>
            <w:tcW w:w="2197" w:type="dxa"/>
            <w:tcBorders>
              <w:bottom w:val="single" w:sz="4" w:space="0" w:color="595959" w:themeColor="text1" w:themeTint="A6"/>
            </w:tcBorders>
            <w:shd w:val="clear" w:color="auto" w:fill="081E3E"/>
          </w:tcPr>
          <w:p w14:paraId="65218EB6" w14:textId="61A357A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Share of turnover (%)</w:t>
            </w:r>
          </w:p>
        </w:tc>
        <w:tc>
          <w:tcPr>
            <w:tcW w:w="2197" w:type="dxa"/>
            <w:tcBorders>
              <w:bottom w:val="single" w:sz="4" w:space="0" w:color="595959" w:themeColor="text1" w:themeTint="A6"/>
            </w:tcBorders>
            <w:shd w:val="clear" w:color="auto" w:fill="081E3E"/>
          </w:tcPr>
          <w:p w14:paraId="536CDB7F"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Share of employment (%)</w:t>
            </w:r>
          </w:p>
        </w:tc>
        <w:tc>
          <w:tcPr>
            <w:tcW w:w="2766" w:type="dxa"/>
            <w:tcBorders>
              <w:bottom w:val="single" w:sz="4" w:space="0" w:color="595959" w:themeColor="text1" w:themeTint="A6"/>
            </w:tcBorders>
            <w:shd w:val="clear" w:color="auto" w:fill="081E3E"/>
          </w:tcPr>
          <w:p w14:paraId="122D68E3" w14:textId="77777777" w:rsidR="00494CC3" w:rsidRPr="00705B49" w:rsidRDefault="00494CC3" w:rsidP="00494CC3">
            <w:pPr>
              <w:jc w:val="center"/>
              <w:cnfStyle w:val="100000000000" w:firstRow="1" w:lastRow="0" w:firstColumn="0" w:lastColumn="0" w:oddVBand="0" w:evenVBand="0" w:oddHBand="0" w:evenHBand="0" w:firstRowFirstColumn="0" w:firstRowLastColumn="0" w:lastRowFirstColumn="0" w:lastRowLastColumn="0"/>
            </w:pPr>
            <w:r w:rsidRPr="00705B49">
              <w:t>Share of full-time equivalent employment (%)</w:t>
            </w:r>
          </w:p>
        </w:tc>
      </w:tr>
      <w:tr w:rsidR="00494CC3" w:rsidRPr="00705B49" w14:paraId="5E7B702E" w14:textId="77777777" w:rsidTr="00747265">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4BB3B5"/>
            </w:tcBorders>
          </w:tcPr>
          <w:p w14:paraId="4EBC26F9" w14:textId="77777777" w:rsidR="00494CC3" w:rsidRPr="00705B49" w:rsidRDefault="00494CC3" w:rsidP="00494CC3">
            <w:r w:rsidRPr="00705B49">
              <w:t>Single premises</w:t>
            </w:r>
          </w:p>
        </w:tc>
        <w:tc>
          <w:tcPr>
            <w:tcW w:w="2197" w:type="dxa"/>
            <w:tcBorders>
              <w:bottom w:val="single" w:sz="4" w:space="0" w:color="4BB3B5"/>
            </w:tcBorders>
          </w:tcPr>
          <w:p w14:paraId="232FEAA9" w14:textId="77777777" w:rsidR="00494CC3" w:rsidRPr="00705B49" w:rsidRDefault="00494CC3" w:rsidP="00494CC3">
            <w:pPr>
              <w:ind w:right="812"/>
              <w:jc w:val="right"/>
              <w:cnfStyle w:val="000000000000" w:firstRow="0" w:lastRow="0" w:firstColumn="0" w:lastColumn="0" w:oddVBand="0" w:evenVBand="0" w:oddHBand="0" w:evenHBand="0" w:firstRowFirstColumn="0" w:firstRowLastColumn="0" w:lastRowFirstColumn="0" w:lastRowLastColumn="0"/>
            </w:pPr>
            <w:r w:rsidRPr="00705B49">
              <w:t>59.8</w:t>
            </w:r>
          </w:p>
        </w:tc>
        <w:tc>
          <w:tcPr>
            <w:tcW w:w="2197" w:type="dxa"/>
            <w:tcBorders>
              <w:bottom w:val="single" w:sz="4" w:space="0" w:color="4BB3B5"/>
            </w:tcBorders>
          </w:tcPr>
          <w:p w14:paraId="004A24D3" w14:textId="77777777" w:rsidR="00494CC3" w:rsidRPr="00705B49" w:rsidRDefault="00494CC3" w:rsidP="00494CC3">
            <w:pPr>
              <w:ind w:right="812"/>
              <w:jc w:val="right"/>
              <w:cnfStyle w:val="000000000000" w:firstRow="0" w:lastRow="0" w:firstColumn="0" w:lastColumn="0" w:oddVBand="0" w:evenVBand="0" w:oddHBand="0" w:evenHBand="0" w:firstRowFirstColumn="0" w:firstRowLastColumn="0" w:lastRowFirstColumn="0" w:lastRowLastColumn="0"/>
            </w:pPr>
            <w:r w:rsidRPr="00705B49">
              <w:t>42.7</w:t>
            </w:r>
          </w:p>
        </w:tc>
        <w:tc>
          <w:tcPr>
            <w:tcW w:w="2766" w:type="dxa"/>
            <w:tcBorders>
              <w:bottom w:val="single" w:sz="4" w:space="0" w:color="4BB3B5"/>
            </w:tcBorders>
          </w:tcPr>
          <w:p w14:paraId="37735472" w14:textId="77777777" w:rsidR="00494CC3" w:rsidRPr="00705B49" w:rsidRDefault="00494CC3" w:rsidP="00494CC3">
            <w:pPr>
              <w:ind w:right="812"/>
              <w:jc w:val="right"/>
              <w:cnfStyle w:val="000000000000" w:firstRow="0" w:lastRow="0" w:firstColumn="0" w:lastColumn="0" w:oddVBand="0" w:evenVBand="0" w:oddHBand="0" w:evenHBand="0" w:firstRowFirstColumn="0" w:firstRowLastColumn="0" w:lastRowFirstColumn="0" w:lastRowLastColumn="0"/>
            </w:pPr>
            <w:r w:rsidRPr="00705B49">
              <w:t>41.4</w:t>
            </w:r>
          </w:p>
        </w:tc>
      </w:tr>
      <w:tr w:rsidR="00494CC3" w:rsidRPr="00705B49" w14:paraId="35B833DD" w14:textId="77777777" w:rsidTr="007472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4BB3B5"/>
              <w:bottom w:val="single" w:sz="4" w:space="0" w:color="4BB3B5"/>
            </w:tcBorders>
          </w:tcPr>
          <w:p w14:paraId="408B89F9" w14:textId="77777777" w:rsidR="00494CC3" w:rsidRPr="00705B49" w:rsidRDefault="00494CC3" w:rsidP="00494CC3">
            <w:r w:rsidRPr="00705B49">
              <w:t>Multiple premises</w:t>
            </w:r>
          </w:p>
        </w:tc>
        <w:tc>
          <w:tcPr>
            <w:tcW w:w="2197" w:type="dxa"/>
            <w:tcBorders>
              <w:top w:val="single" w:sz="4" w:space="0" w:color="4BB3B5"/>
              <w:bottom w:val="single" w:sz="4" w:space="0" w:color="4BB3B5"/>
            </w:tcBorders>
          </w:tcPr>
          <w:p w14:paraId="4438F990" w14:textId="77777777" w:rsidR="00494CC3" w:rsidRPr="00705B49" w:rsidRDefault="00494CC3" w:rsidP="00494CC3">
            <w:pPr>
              <w:ind w:right="812"/>
              <w:jc w:val="right"/>
              <w:cnfStyle w:val="000000010000" w:firstRow="0" w:lastRow="0" w:firstColumn="0" w:lastColumn="0" w:oddVBand="0" w:evenVBand="0" w:oddHBand="0" w:evenHBand="1" w:firstRowFirstColumn="0" w:firstRowLastColumn="0" w:lastRowFirstColumn="0" w:lastRowLastColumn="0"/>
            </w:pPr>
            <w:r w:rsidRPr="00705B49">
              <w:t>40.2</w:t>
            </w:r>
          </w:p>
        </w:tc>
        <w:tc>
          <w:tcPr>
            <w:tcW w:w="2197" w:type="dxa"/>
            <w:tcBorders>
              <w:top w:val="single" w:sz="4" w:space="0" w:color="4BB3B5"/>
              <w:bottom w:val="single" w:sz="4" w:space="0" w:color="4BB3B5"/>
            </w:tcBorders>
          </w:tcPr>
          <w:p w14:paraId="58CAD690" w14:textId="77777777" w:rsidR="00494CC3" w:rsidRPr="00705B49" w:rsidRDefault="00494CC3" w:rsidP="00494CC3">
            <w:pPr>
              <w:ind w:right="812"/>
              <w:jc w:val="right"/>
              <w:cnfStyle w:val="000000010000" w:firstRow="0" w:lastRow="0" w:firstColumn="0" w:lastColumn="0" w:oddVBand="0" w:evenVBand="0" w:oddHBand="0" w:evenHBand="1" w:firstRowFirstColumn="0" w:firstRowLastColumn="0" w:lastRowFirstColumn="0" w:lastRowLastColumn="0"/>
            </w:pPr>
            <w:r w:rsidRPr="00705B49">
              <w:t>57.3</w:t>
            </w:r>
          </w:p>
        </w:tc>
        <w:tc>
          <w:tcPr>
            <w:tcW w:w="2766" w:type="dxa"/>
            <w:tcBorders>
              <w:top w:val="single" w:sz="4" w:space="0" w:color="4BB3B5"/>
              <w:bottom w:val="single" w:sz="4" w:space="0" w:color="4BB3B5"/>
            </w:tcBorders>
          </w:tcPr>
          <w:p w14:paraId="78963690" w14:textId="77777777" w:rsidR="00494CC3" w:rsidRPr="00705B49" w:rsidRDefault="00494CC3" w:rsidP="00494CC3">
            <w:pPr>
              <w:ind w:right="812"/>
              <w:jc w:val="right"/>
              <w:cnfStyle w:val="000000010000" w:firstRow="0" w:lastRow="0" w:firstColumn="0" w:lastColumn="0" w:oddVBand="0" w:evenVBand="0" w:oddHBand="0" w:evenHBand="1" w:firstRowFirstColumn="0" w:firstRowLastColumn="0" w:lastRowFirstColumn="0" w:lastRowLastColumn="0"/>
            </w:pPr>
            <w:r w:rsidRPr="00705B49">
              <w:t>58.6</w:t>
            </w:r>
          </w:p>
        </w:tc>
      </w:tr>
    </w:tbl>
    <w:p w14:paraId="76AA815E" w14:textId="77777777" w:rsidR="00494CC3" w:rsidRPr="00705B49" w:rsidRDefault="00494CC3" w:rsidP="00494CC3">
      <w:pPr>
        <w:pStyle w:val="Sourcenotes"/>
        <w:rPr>
          <w:lang w:val="en-AU"/>
        </w:rPr>
      </w:pPr>
      <w:r w:rsidRPr="00705B49">
        <w:rPr>
          <w:lang w:val="en-AU"/>
        </w:rPr>
        <w:t xml:space="preserve">Source: BCARR analysis of BLADE data. Turnover data is in real terms and turnover and full-time equivalent employment include imputed information from </w:t>
      </w:r>
      <w:proofErr w:type="spellStart"/>
      <w:r w:rsidRPr="00705B49">
        <w:rPr>
          <w:lang w:val="en-AU"/>
        </w:rPr>
        <w:t>XGBoost</w:t>
      </w:r>
      <w:proofErr w:type="spellEnd"/>
      <w:r w:rsidRPr="00705B49">
        <w:rPr>
          <w:lang w:val="en-AU"/>
        </w:rPr>
        <w:t>.</w:t>
      </w:r>
    </w:p>
    <w:p w14:paraId="0631FC6C" w14:textId="77777777" w:rsidR="00494CC3" w:rsidRPr="00705B49" w:rsidRDefault="00494CC3" w:rsidP="00494CC3">
      <w:pPr>
        <w:rPr>
          <w:sz w:val="16"/>
        </w:rPr>
      </w:pPr>
      <w:r w:rsidRPr="00705B49">
        <w:br w:type="page"/>
      </w:r>
    </w:p>
    <w:p w14:paraId="46AD65B8" w14:textId="77777777" w:rsidR="00494CC3" w:rsidRPr="00705B49" w:rsidRDefault="00494CC3" w:rsidP="009B5D6B">
      <w:pPr>
        <w:pStyle w:val="Heading2"/>
      </w:pPr>
      <w:bookmarkStart w:id="223" w:name="_Toc90041219"/>
      <w:bookmarkStart w:id="224" w:name="_Toc97652766"/>
      <w:bookmarkStart w:id="225" w:name="_Ref107560155"/>
      <w:bookmarkStart w:id="226" w:name="_Ref109891235"/>
      <w:bookmarkStart w:id="227" w:name="_Ref110951478"/>
      <w:bookmarkStart w:id="228" w:name="_Ref125552856"/>
      <w:bookmarkStart w:id="229" w:name="_Toc127374096"/>
      <w:bookmarkStart w:id="230" w:name="_Toc129777701"/>
      <w:r w:rsidRPr="00705B49">
        <w:lastRenderedPageBreak/>
        <w:t>Appendix F: Limitations to the analysis</w:t>
      </w:r>
      <w:bookmarkEnd w:id="223"/>
      <w:bookmarkEnd w:id="224"/>
      <w:bookmarkEnd w:id="225"/>
      <w:bookmarkEnd w:id="226"/>
      <w:bookmarkEnd w:id="227"/>
      <w:bookmarkEnd w:id="228"/>
      <w:bookmarkEnd w:id="229"/>
      <w:bookmarkEnd w:id="230"/>
    </w:p>
    <w:p w14:paraId="05241D50" w14:textId="77777777" w:rsidR="00494CC3" w:rsidRPr="00705B49" w:rsidRDefault="00494CC3" w:rsidP="00494CC3">
      <w:pPr>
        <w:rPr>
          <w:lang w:val="en-US"/>
        </w:rPr>
      </w:pPr>
      <w:r w:rsidRPr="00705B49">
        <w:t xml:space="preserve">The main advantage of firm-level analysis is that it can be used to examine changes in business productivity growth and broadband rollout in Australia over the past decade. This approach allows for a direct estimate of the potential productivity growth impacts that have may have arisen from access to better broadband from the rollout of the NBN. However, the main disadvantage of this analytical approach is the extensive data requirements. </w:t>
      </w:r>
      <w:r w:rsidRPr="00705B49">
        <w:rPr>
          <w:lang w:val="en-US"/>
        </w:rPr>
        <w:t>It is also important to note that the analysis does not distinguish between NBN residential grade services and business</w:t>
      </w:r>
      <w:r w:rsidRPr="00705B49">
        <w:rPr>
          <w:lang w:val="en-US"/>
        </w:rPr>
        <w:noBreakHyphen/>
        <w:t xml:space="preserve">specific services (not all </w:t>
      </w:r>
      <w:proofErr w:type="spellStart"/>
      <w:r w:rsidRPr="00705B49">
        <w:rPr>
          <w:lang w:val="en-US"/>
        </w:rPr>
        <w:t>fibre</w:t>
      </w:r>
      <w:proofErr w:type="spellEnd"/>
      <w:r w:rsidRPr="00705B49">
        <w:rPr>
          <w:lang w:val="en-US"/>
        </w:rPr>
        <w:t xml:space="preserve">-based connections are provided over the NBN). </w:t>
      </w:r>
    </w:p>
    <w:p w14:paraId="558534E4" w14:textId="77777777" w:rsidR="00494CC3" w:rsidRPr="00705B49" w:rsidRDefault="00494CC3" w:rsidP="009B5D6B">
      <w:pPr>
        <w:pStyle w:val="Heading3"/>
      </w:pPr>
      <w:bookmarkStart w:id="231" w:name="_Toc97652767"/>
      <w:bookmarkStart w:id="232" w:name="_Toc127374097"/>
      <w:bookmarkStart w:id="233" w:name="_Toc129777702"/>
      <w:r w:rsidRPr="00705B49">
        <w:t>Firm-level productivity growth estimates are experimental</w:t>
      </w:r>
      <w:bookmarkEnd w:id="231"/>
      <w:bookmarkEnd w:id="232"/>
      <w:bookmarkEnd w:id="233"/>
    </w:p>
    <w:p w14:paraId="724AFCD2" w14:textId="77777777" w:rsidR="00494CC3" w:rsidRPr="00705B49" w:rsidRDefault="00494CC3" w:rsidP="00494CC3">
      <w:r w:rsidRPr="00705B49">
        <w:t>Computing firm-level productivity growth using BLADE is challenging for a variety of reasons.</w:t>
      </w:r>
      <w:r w:rsidRPr="00705B49">
        <w:rPr>
          <w:rStyle w:val="EndnoteReference"/>
        </w:rPr>
        <w:endnoteReference w:id="45"/>
      </w:r>
      <w:r w:rsidRPr="00705B49">
        <w:t xml:space="preserve"> Firstly, BLADE contains no price and quantity measures, which are preferable for calculating productivity growth using index numbers particularly when firms may produce many outputs and use multiple inputs.</w:t>
      </w:r>
      <w:r w:rsidRPr="00705B49">
        <w:rPr>
          <w:rStyle w:val="EndnoteReference"/>
        </w:rPr>
        <w:endnoteReference w:id="46"/>
      </w:r>
      <w:r w:rsidRPr="00705B49">
        <w:t xml:space="preserve"> In the absence of this, firm turnover and cost information (adjusted for inflation) is used, an approach which produces estimates broadly in line with productivity growth based on detailed price and quantity information.</w:t>
      </w:r>
      <w:r w:rsidRPr="00705B49">
        <w:rPr>
          <w:rStyle w:val="EndnoteReference"/>
        </w:rPr>
        <w:endnoteReference w:id="47"/>
      </w:r>
      <w:r w:rsidRPr="00705B49">
        <w:t xml:space="preserve"> </w:t>
      </w:r>
    </w:p>
    <w:p w14:paraId="41D1F701" w14:textId="77777777" w:rsidR="00494CC3" w:rsidRPr="00705B49" w:rsidRDefault="00494CC3" w:rsidP="00494CC3">
      <w:r w:rsidRPr="00705B49">
        <w:t>Secondly, measuring inputs and outputs can be difficult, due to lack of available data (such as capital stock measures). Even where these measures exist in BLADE, they may appear for only a small subsample of businesses.</w:t>
      </w:r>
      <w:r w:rsidRPr="00705B49">
        <w:rPr>
          <w:rStyle w:val="EndnoteReference"/>
        </w:rPr>
        <w:endnoteReference w:id="48"/>
      </w:r>
      <w:r w:rsidRPr="00705B49">
        <w:t xml:space="preserve"> To address these concerns, BCARR has used established methods for estimating capital stock levels, in line with the OECD.</w:t>
      </w:r>
      <w:r w:rsidRPr="00705B49">
        <w:rPr>
          <w:rStyle w:val="EndnoteReference"/>
        </w:rPr>
        <w:endnoteReference w:id="49"/>
      </w:r>
      <w:r w:rsidRPr="00705B49">
        <w:t xml:space="preserve"> BCARR has also taken advantage of the wide range of datasets available in BLADE, by imputing missing values for key productivity variables (as outlined in imputed missing values section). </w:t>
      </w:r>
    </w:p>
    <w:p w14:paraId="2EFDBECD" w14:textId="77777777" w:rsidR="00494CC3" w:rsidRPr="00705B49" w:rsidRDefault="00494CC3" w:rsidP="00494CC3">
      <w:r w:rsidRPr="00705B49">
        <w:t>Thirdly, it is not possible to calculate firm-level productivity growth for non-market sectors. Furthermore, estimates for some market-based industries are less reliable than others, particularly for service-based industries where outputs and quality differences are less easy to understand and quantify.</w:t>
      </w:r>
      <w:r w:rsidRPr="00705B49">
        <w:rPr>
          <w:rStyle w:val="EndnoteReference"/>
        </w:rPr>
        <w:endnoteReference w:id="50"/>
      </w:r>
      <w:r w:rsidRPr="00705B49">
        <w:t xml:space="preserve"> While this does limit the scope of the analysis, this problem is not unique to firm-level analysis, as calculating macroeconomic-level productivity growth for these sectors is similarly challenging. </w:t>
      </w:r>
    </w:p>
    <w:p w14:paraId="578D855B" w14:textId="77777777" w:rsidR="00494CC3" w:rsidRPr="00705B49" w:rsidRDefault="00494CC3" w:rsidP="009B5D6B">
      <w:pPr>
        <w:pStyle w:val="Heading3"/>
      </w:pPr>
      <w:bookmarkStart w:id="234" w:name="_Toc97652768"/>
      <w:bookmarkStart w:id="235" w:name="_Toc127374098"/>
      <w:bookmarkStart w:id="236" w:name="_Toc129777703"/>
      <w:r w:rsidRPr="00705B49">
        <w:t>Survey design impacts the reliability of the Business Characteristics Survey results</w:t>
      </w:r>
      <w:bookmarkEnd w:id="234"/>
      <w:bookmarkEnd w:id="235"/>
      <w:bookmarkEnd w:id="236"/>
    </w:p>
    <w:p w14:paraId="6B41C774" w14:textId="77777777" w:rsidR="00494CC3" w:rsidRPr="00705B49" w:rsidRDefault="00494CC3" w:rsidP="00494CC3">
      <w:r w:rsidRPr="00705B49">
        <w:t xml:space="preserve">Productivity growth and broadband data from the BCS should be treated with caution, as the BCS sample is not representative of all businesses. The BCS is a subset of the ABR that is stratified by business and employment size, but oversamples large businesses and certain industries (see </w:t>
      </w:r>
      <w:r w:rsidRPr="00705B49">
        <w:fldChar w:fldCharType="begin"/>
      </w:r>
      <w:r w:rsidRPr="00705B49">
        <w:instrText xml:space="preserve"> REF _Ref116475184 \h </w:instrText>
      </w:r>
      <w:r>
        <w:instrText xml:space="preserve"> \* MERGEFORMAT </w:instrText>
      </w:r>
      <w:r w:rsidRPr="00705B49">
        <w:fldChar w:fldCharType="separate"/>
      </w:r>
      <w:r w:rsidRPr="00705B49">
        <w:t>Appendix C: Scope of the analysis</w:t>
      </w:r>
      <w:r w:rsidRPr="00705B49">
        <w:fldChar w:fldCharType="end"/>
      </w:r>
      <w:r w:rsidRPr="00705B49">
        <w:t>). In practice, this means median productivity growth estimates that are aggregated across industries and employment sizes may bias large businesses and certain industries. These issues are largely addressed by controlling for time and industry effects in the pooled OLS and fixed-effects models, or examining productivity growth by industry and employment size.</w:t>
      </w:r>
    </w:p>
    <w:p w14:paraId="558D8D59" w14:textId="77777777" w:rsidR="00494CC3" w:rsidRPr="00705B49" w:rsidRDefault="00494CC3" w:rsidP="00494CC3">
      <w:r w:rsidRPr="00705B49">
        <w:t>Survey questions on business use of technology can also be unreliable and suffer from measurement quality issues.</w:t>
      </w:r>
      <w:r w:rsidRPr="00705B49">
        <w:rPr>
          <w:rStyle w:val="EndnoteReference"/>
        </w:rPr>
        <w:endnoteReference w:id="51"/>
      </w:r>
      <w:r w:rsidRPr="00705B49">
        <w:t xml:space="preserve"> This is because firms may not have a detailed understanding of the technology used within their organisation. Within the context of this analysis, respondents may not be aware of the broadband connection technology for the business, which can impact the reliability of broadband connection data. Furthermore, survey questions tend to focus on gaining information than can be easily answered by a broad range of respondents rather than more specific information that may be irrelevant or too difficult to answer. For the BCS, the survey asks questions on whether firms have a website, sell services online or use cloud computing, but do not ask further questions about the volume of the firm’s usage of these features, which would be useful for understanding activities enabled by broadband.</w:t>
      </w:r>
    </w:p>
    <w:p w14:paraId="327471DD" w14:textId="77777777" w:rsidR="00494CC3" w:rsidRPr="009B5D6B" w:rsidRDefault="00494CC3" w:rsidP="009B5D6B">
      <w:pPr>
        <w:pStyle w:val="Heading3"/>
      </w:pPr>
      <w:bookmarkStart w:id="237" w:name="_Toc97652769"/>
      <w:bookmarkStart w:id="238" w:name="_Toc127374099"/>
      <w:bookmarkStart w:id="239" w:name="_Toc129777704"/>
      <w:r w:rsidRPr="009B5D6B">
        <w:lastRenderedPageBreak/>
        <w:t>Other technological factors can affect business productivity</w:t>
      </w:r>
      <w:bookmarkEnd w:id="237"/>
      <w:r w:rsidRPr="009B5D6B">
        <w:t xml:space="preserve"> growth</w:t>
      </w:r>
      <w:bookmarkEnd w:id="238"/>
      <w:bookmarkEnd w:id="239"/>
    </w:p>
    <w:p w14:paraId="3840FFA8" w14:textId="77777777" w:rsidR="00494CC3" w:rsidRPr="00705B49" w:rsidRDefault="00494CC3" w:rsidP="00494CC3">
      <w:r w:rsidRPr="00705B49">
        <w:t>Technological advancements provide further challenges to quantifying productivity improvements. Productivity measures often do not capture the intangible nature of output that has been produced by technology.</w:t>
      </w:r>
      <w:r w:rsidRPr="00705B49">
        <w:rPr>
          <w:rStyle w:val="EndnoteReference"/>
        </w:rPr>
        <w:endnoteReference w:id="52"/>
      </w:r>
      <w:r w:rsidRPr="00705B49">
        <w:t xml:space="preserve"> Furthermore, some digital outputs are increasingly available ‘for free’ to consumers. For example, mobile phone users have access to many applications that provide them with access to information and entertainment that they can download without payment. These products create value for users (or ‘consumer surplus’) but because they do not have a price they are not counted in output measures.</w:t>
      </w:r>
      <w:r w:rsidRPr="00705B49">
        <w:rPr>
          <w:rStyle w:val="EndnoteReference"/>
        </w:rPr>
        <w:endnoteReference w:id="53"/>
      </w:r>
      <w:r w:rsidRPr="00705B49">
        <w:t xml:space="preserve"> Caution must therefore be taken when interpreting firm-level productivity growth results, particularly for digitally</w:t>
      </w:r>
      <w:r w:rsidRPr="00705B49">
        <w:noBreakHyphen/>
        <w:t>intensive industries such as information media and telecommunications, as productivity growth in recent years may be underestimated as a result of these factors that are difficult to measure.</w:t>
      </w:r>
    </w:p>
    <w:p w14:paraId="309C97BD" w14:textId="77777777" w:rsidR="00494CC3" w:rsidRPr="00705B49" w:rsidRDefault="00494CC3" w:rsidP="00494CC3">
      <w:r w:rsidRPr="00705B49">
        <w:t>Productivity growth can also be impacted by time lags of innovation that stem from the slow uptake and usage of new digital technologies.</w:t>
      </w:r>
      <w:r w:rsidRPr="00705B49">
        <w:rPr>
          <w:rStyle w:val="EndnoteReference"/>
        </w:rPr>
        <w:endnoteReference w:id="54"/>
      </w:r>
      <w:r w:rsidRPr="00705B49">
        <w:t xml:space="preserve"> Technology can take time to diffuse and become mainstream in the economy, and some new technologies require time for businesses to learn how to use them.</w:t>
      </w:r>
      <w:r w:rsidRPr="00705B49">
        <w:rPr>
          <w:rStyle w:val="EndnoteReference"/>
        </w:rPr>
        <w:endnoteReference w:id="55"/>
      </w:r>
      <w:r w:rsidRPr="00705B49">
        <w:t xml:space="preserve"> This means initial costs in capital inputs may not be captured at the same time as the gains from the inputs. Measured productivity growth impacts may therefore initially understate the importance of technology because capital inputs were counted in this earlier period, and later overstate the impact as fewer capital inputs are counted and more output is produced. This phenomenon is referred to as the productivity J-curve (referring to the shape of the productivity effect) which can adversely dip during the initial period of disruption and improve sharply over time when the benefits of the innovation become more tangible.</w:t>
      </w:r>
      <w:r w:rsidRPr="00705B49">
        <w:rPr>
          <w:rStyle w:val="EndnoteReference"/>
        </w:rPr>
        <w:endnoteReference w:id="56"/>
      </w:r>
      <w:r w:rsidRPr="00705B49">
        <w:t xml:space="preserve"> Results from this analysis may not capture the productivity J-curve for broadband adoption, particularly NBN technologies which have been rolled out in recent years.</w:t>
      </w:r>
      <w:r w:rsidRPr="00705B49" w:rsidDel="00D642ED">
        <w:t xml:space="preserve"> </w:t>
      </w:r>
      <w:r w:rsidRPr="00705B49">
        <w:t xml:space="preserve"> </w:t>
      </w:r>
    </w:p>
    <w:p w14:paraId="027600FC" w14:textId="77777777" w:rsidR="00494CC3" w:rsidRPr="00705B49" w:rsidRDefault="00494CC3" w:rsidP="009B5D6B">
      <w:pPr>
        <w:pStyle w:val="Heading3"/>
      </w:pPr>
      <w:bookmarkStart w:id="241" w:name="_Toc97652771"/>
      <w:bookmarkStart w:id="242" w:name="_Toc127374100"/>
      <w:bookmarkStart w:id="243" w:name="_Toc129777705"/>
      <w:r w:rsidRPr="00705B49">
        <w:t>Structural break in BLADE data</w:t>
      </w:r>
      <w:bookmarkEnd w:id="241"/>
      <w:bookmarkEnd w:id="242"/>
      <w:bookmarkEnd w:id="243"/>
    </w:p>
    <w:p w14:paraId="0410766D" w14:textId="77777777" w:rsidR="00494CC3" w:rsidRPr="00705B49" w:rsidRDefault="00494CC3" w:rsidP="00494CC3">
      <w:r w:rsidRPr="00705B49">
        <w:t xml:space="preserve">As noted in the scope for the analysis section, the BAS reporting change in 2017–18 meant that a large number of firms ceased reporting information necessary to compute capital and intermediate inputs for MFP. The structural break means that the sample size of the ABR 2017–18 onwards is heavily restricted (see </w:t>
      </w:r>
      <w:r w:rsidRPr="00705B49">
        <w:fldChar w:fldCharType="begin"/>
      </w:r>
      <w:r w:rsidRPr="00705B49">
        <w:instrText xml:space="preserve"> REF _Ref114149737 \h </w:instrText>
      </w:r>
      <w:r>
        <w:instrText xml:space="preserve"> \* MERGEFORMAT </w:instrText>
      </w:r>
      <w:r w:rsidRPr="00705B49">
        <w:fldChar w:fldCharType="separate"/>
      </w:r>
      <w:r w:rsidRPr="00705B49">
        <w:t xml:space="preserve">Table </w:t>
      </w:r>
      <w:r w:rsidRPr="00705B49">
        <w:rPr>
          <w:noProof/>
        </w:rPr>
        <w:t>21</w:t>
      </w:r>
      <w:r w:rsidRPr="00705B49">
        <w:fldChar w:fldCharType="end"/>
      </w:r>
      <w:r w:rsidRPr="00705B49">
        <w:t>). It is worth noting that the BCS results are impacted by the reporting change less than the ABR results, as the change mostly affects small businesses that do not appear in the BCS. Furthermore, the change only affects MFP growth estimates, as LP growth does not rely on the impacted capital and operational expenditure data.</w:t>
      </w:r>
    </w:p>
    <w:p w14:paraId="069BF3E4" w14:textId="77777777" w:rsidR="00494CC3" w:rsidRPr="00705B49" w:rsidRDefault="00494CC3" w:rsidP="00FF191D">
      <w:pPr>
        <w:pStyle w:val="Tablefigureheading"/>
      </w:pPr>
      <w:bookmarkStart w:id="244" w:name="_Ref114149737"/>
      <w:bookmarkStart w:id="245" w:name="_Ref97649651"/>
      <w:bookmarkStart w:id="246" w:name="_Toc97652742"/>
      <w:bookmarkStart w:id="247" w:name="_Toc115175409"/>
      <w:bookmarkStart w:id="248" w:name="_Toc129767640"/>
      <w:r w:rsidRPr="00705B49">
        <w:t xml:space="preserve">Table </w:t>
      </w:r>
      <w:fldSimple w:instr=" SEQ Table \* ARABIC ">
        <w:r w:rsidRPr="00705B49">
          <w:rPr>
            <w:noProof/>
          </w:rPr>
          <w:t>21</w:t>
        </w:r>
      </w:fldSimple>
      <w:bookmarkEnd w:id="244"/>
      <w:r w:rsidRPr="00705B49">
        <w:t xml:space="preserve">. </w:t>
      </w:r>
      <w:bookmarkEnd w:id="245"/>
      <w:r w:rsidRPr="00705B49">
        <w:t>Number of businesses for which firm-level productivity can be calculated</w:t>
      </w:r>
      <w:bookmarkEnd w:id="246"/>
      <w:bookmarkEnd w:id="247"/>
      <w:bookmarkEnd w:id="248"/>
    </w:p>
    <w:tbl>
      <w:tblPr>
        <w:tblStyle w:val="DefaultTable1"/>
        <w:tblW w:w="9451" w:type="dxa"/>
        <w:tblLayout w:type="fixed"/>
        <w:tblLook w:val="04A0" w:firstRow="1" w:lastRow="0" w:firstColumn="1" w:lastColumn="0" w:noHBand="0" w:noVBand="1"/>
        <w:tblCaption w:val="Table 21. Number of businesses for which firm-level productivity can be calculated"/>
      </w:tblPr>
      <w:tblGrid>
        <w:gridCol w:w="1276"/>
        <w:gridCol w:w="2979"/>
        <w:gridCol w:w="1795"/>
        <w:gridCol w:w="1605"/>
        <w:gridCol w:w="1796"/>
      </w:tblGrid>
      <w:tr w:rsidR="00494CC3" w:rsidRPr="00705B49" w14:paraId="3C95E8AE" w14:textId="77777777" w:rsidTr="00747265">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595959" w:themeColor="text1" w:themeTint="A6"/>
            </w:tcBorders>
            <w:shd w:val="clear" w:color="auto" w:fill="081E3E"/>
            <w:noWrap/>
            <w:hideMark/>
          </w:tcPr>
          <w:p w14:paraId="27E83674" w14:textId="77777777" w:rsidR="00494CC3" w:rsidRPr="00705B49" w:rsidRDefault="00494CC3" w:rsidP="00747265">
            <w:pPr>
              <w:jc w:val="center"/>
              <w:rPr>
                <w:rFonts w:ascii="Times New Roman" w:eastAsia="Times New Roman" w:hAnsi="Times New Roman" w:cs="Times New Roman"/>
                <w:szCs w:val="22"/>
                <w:lang w:eastAsia="en-AU"/>
              </w:rPr>
            </w:pPr>
            <w:r w:rsidRPr="00705B49">
              <w:rPr>
                <w:rFonts w:eastAsia="Times New Roman" w:cs="Times New Roman"/>
                <w:szCs w:val="22"/>
                <w:lang w:eastAsia="en-AU"/>
              </w:rPr>
              <w:t>Measure</w:t>
            </w:r>
          </w:p>
        </w:tc>
        <w:tc>
          <w:tcPr>
            <w:tcW w:w="2979" w:type="dxa"/>
            <w:tcBorders>
              <w:bottom w:val="single" w:sz="4" w:space="0" w:color="595959" w:themeColor="text1" w:themeTint="A6"/>
            </w:tcBorders>
            <w:shd w:val="clear" w:color="auto" w:fill="081E3E"/>
            <w:noWrap/>
            <w:hideMark/>
          </w:tcPr>
          <w:p w14:paraId="127DD969" w14:textId="77777777" w:rsidR="00494CC3" w:rsidRPr="00705B49" w:rsidRDefault="00494CC3" w:rsidP="007472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705B49">
              <w:rPr>
                <w:rFonts w:eastAsia="Times New Roman" w:cs="Times New Roman"/>
                <w:szCs w:val="22"/>
                <w:lang w:eastAsia="en-AU"/>
              </w:rPr>
              <w:t>2010</w:t>
            </w:r>
            <w:r w:rsidRPr="00705B49">
              <w:rPr>
                <w:szCs w:val="22"/>
              </w:rPr>
              <w:t>–</w:t>
            </w:r>
            <w:r w:rsidRPr="00705B49">
              <w:rPr>
                <w:rFonts w:eastAsia="Times New Roman" w:cs="Times New Roman"/>
                <w:szCs w:val="22"/>
                <w:lang w:eastAsia="en-AU"/>
              </w:rPr>
              <w:t>11 to 2016</w:t>
            </w:r>
            <w:r w:rsidRPr="00705B49">
              <w:rPr>
                <w:szCs w:val="22"/>
              </w:rPr>
              <w:t>–</w:t>
            </w:r>
            <w:r w:rsidRPr="00705B49">
              <w:rPr>
                <w:rFonts w:eastAsia="Times New Roman" w:cs="Times New Roman"/>
                <w:szCs w:val="22"/>
                <w:lang w:eastAsia="en-AU"/>
              </w:rPr>
              <w:t>17 average</w:t>
            </w:r>
          </w:p>
          <w:p w14:paraId="010A58DB" w14:textId="77777777" w:rsidR="00494CC3" w:rsidRPr="00705B49" w:rsidRDefault="00494CC3" w:rsidP="007472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705B49">
              <w:rPr>
                <w:rFonts w:eastAsia="Times New Roman" w:cs="Times New Roman"/>
                <w:szCs w:val="22"/>
                <w:lang w:eastAsia="en-AU"/>
              </w:rPr>
              <w:t>(millions)</w:t>
            </w:r>
          </w:p>
        </w:tc>
        <w:tc>
          <w:tcPr>
            <w:tcW w:w="1795" w:type="dxa"/>
            <w:tcBorders>
              <w:bottom w:val="single" w:sz="4" w:space="0" w:color="595959" w:themeColor="text1" w:themeTint="A6"/>
            </w:tcBorders>
            <w:shd w:val="clear" w:color="auto" w:fill="081E3E"/>
            <w:noWrap/>
            <w:hideMark/>
          </w:tcPr>
          <w:p w14:paraId="04FF7685" w14:textId="77777777" w:rsidR="00494CC3" w:rsidRPr="00705B49" w:rsidRDefault="00494CC3" w:rsidP="007472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705B49">
              <w:rPr>
                <w:rFonts w:eastAsia="Times New Roman" w:cs="Times New Roman"/>
                <w:szCs w:val="22"/>
                <w:lang w:eastAsia="en-AU"/>
              </w:rPr>
              <w:t>2017</w:t>
            </w:r>
            <w:r w:rsidRPr="00705B49">
              <w:rPr>
                <w:szCs w:val="22"/>
              </w:rPr>
              <w:t>–</w:t>
            </w:r>
            <w:r w:rsidRPr="00705B49">
              <w:rPr>
                <w:rFonts w:eastAsia="Times New Roman" w:cs="Times New Roman"/>
                <w:szCs w:val="22"/>
                <w:lang w:eastAsia="en-AU"/>
              </w:rPr>
              <w:t>18</w:t>
            </w:r>
          </w:p>
          <w:p w14:paraId="57727F31" w14:textId="77777777" w:rsidR="00494CC3" w:rsidRPr="00705B49" w:rsidRDefault="00494CC3" w:rsidP="007472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705B49">
              <w:rPr>
                <w:rFonts w:eastAsia="Times New Roman" w:cs="Times New Roman"/>
                <w:szCs w:val="22"/>
                <w:lang w:eastAsia="en-AU"/>
              </w:rPr>
              <w:t>(millions)</w:t>
            </w:r>
          </w:p>
        </w:tc>
        <w:tc>
          <w:tcPr>
            <w:tcW w:w="1605" w:type="dxa"/>
            <w:tcBorders>
              <w:bottom w:val="single" w:sz="4" w:space="0" w:color="595959" w:themeColor="text1" w:themeTint="A6"/>
            </w:tcBorders>
            <w:shd w:val="clear" w:color="auto" w:fill="081E3E"/>
            <w:noWrap/>
            <w:hideMark/>
          </w:tcPr>
          <w:p w14:paraId="5E866CF3" w14:textId="77777777" w:rsidR="00494CC3" w:rsidRPr="00705B49" w:rsidRDefault="00494CC3" w:rsidP="007472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705B49">
              <w:rPr>
                <w:szCs w:val="22"/>
              </w:rPr>
              <w:t>2018–</w:t>
            </w:r>
            <w:r w:rsidRPr="00705B49">
              <w:rPr>
                <w:rFonts w:eastAsia="Times New Roman" w:cs="Times New Roman"/>
                <w:szCs w:val="22"/>
                <w:lang w:eastAsia="en-AU"/>
              </w:rPr>
              <w:t>19 (millions)</w:t>
            </w:r>
          </w:p>
        </w:tc>
        <w:tc>
          <w:tcPr>
            <w:tcW w:w="1796" w:type="dxa"/>
            <w:tcBorders>
              <w:bottom w:val="single" w:sz="4" w:space="0" w:color="595959" w:themeColor="text1" w:themeTint="A6"/>
            </w:tcBorders>
            <w:shd w:val="clear" w:color="auto" w:fill="081E3E"/>
            <w:noWrap/>
            <w:hideMark/>
          </w:tcPr>
          <w:p w14:paraId="660E8150" w14:textId="77777777" w:rsidR="00494CC3" w:rsidRPr="00705B49" w:rsidRDefault="00494CC3" w:rsidP="007472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705B49">
              <w:rPr>
                <w:szCs w:val="22"/>
              </w:rPr>
              <w:t>2019–</w:t>
            </w:r>
            <w:r w:rsidRPr="00705B49">
              <w:rPr>
                <w:rFonts w:eastAsia="Times New Roman" w:cs="Times New Roman"/>
                <w:szCs w:val="22"/>
                <w:lang w:eastAsia="en-AU"/>
              </w:rPr>
              <w:t>20</w:t>
            </w:r>
          </w:p>
          <w:p w14:paraId="5583CE80" w14:textId="77777777" w:rsidR="00494CC3" w:rsidRPr="00705B49" w:rsidRDefault="00494CC3" w:rsidP="007472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2"/>
                <w:lang w:eastAsia="en-AU"/>
              </w:rPr>
            </w:pPr>
            <w:r w:rsidRPr="00705B49">
              <w:rPr>
                <w:rFonts w:eastAsia="Times New Roman" w:cs="Times New Roman"/>
                <w:szCs w:val="22"/>
                <w:lang w:eastAsia="en-AU"/>
              </w:rPr>
              <w:t>(millions)</w:t>
            </w:r>
          </w:p>
        </w:tc>
      </w:tr>
      <w:tr w:rsidR="00494CC3" w:rsidRPr="00705B49" w14:paraId="0B7F040F" w14:textId="77777777" w:rsidTr="00747265">
        <w:trPr>
          <w:trHeight w:val="197"/>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4BB3B5"/>
            </w:tcBorders>
            <w:noWrap/>
            <w:hideMark/>
          </w:tcPr>
          <w:p w14:paraId="5E0C2F6E" w14:textId="77777777" w:rsidR="00494CC3" w:rsidRPr="00705B49" w:rsidRDefault="00494CC3" w:rsidP="00747265">
            <w:pPr>
              <w:rPr>
                <w:rFonts w:eastAsia="Times New Roman" w:cs="Times New Roman"/>
                <w:color w:val="000000"/>
                <w:szCs w:val="22"/>
                <w:lang w:eastAsia="en-AU"/>
              </w:rPr>
            </w:pPr>
            <w:r w:rsidRPr="00705B49">
              <w:rPr>
                <w:rFonts w:eastAsia="Times New Roman" w:cs="Times New Roman"/>
                <w:color w:val="000000"/>
                <w:szCs w:val="22"/>
                <w:lang w:eastAsia="en-AU"/>
              </w:rPr>
              <w:t>MFP growth</w:t>
            </w:r>
          </w:p>
        </w:tc>
        <w:tc>
          <w:tcPr>
            <w:tcW w:w="2979" w:type="dxa"/>
            <w:tcBorders>
              <w:bottom w:val="single" w:sz="4" w:space="0" w:color="4BB3B5"/>
            </w:tcBorders>
            <w:noWrap/>
            <w:vAlign w:val="center"/>
            <w:hideMark/>
          </w:tcPr>
          <w:p w14:paraId="14846F19" w14:textId="77777777" w:rsidR="00494CC3" w:rsidRPr="00705B49" w:rsidRDefault="00494CC3" w:rsidP="007472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2"/>
                <w:lang w:eastAsia="en-AU"/>
              </w:rPr>
            </w:pPr>
            <w:r w:rsidRPr="00705B49">
              <w:rPr>
                <w:rFonts w:eastAsia="Times New Roman" w:cs="Times New Roman"/>
                <w:color w:val="000000"/>
                <w:szCs w:val="22"/>
                <w:lang w:eastAsia="en-AU"/>
              </w:rPr>
              <w:t>1.1</w:t>
            </w:r>
          </w:p>
        </w:tc>
        <w:tc>
          <w:tcPr>
            <w:tcW w:w="1795" w:type="dxa"/>
            <w:tcBorders>
              <w:bottom w:val="single" w:sz="4" w:space="0" w:color="4BB3B5"/>
            </w:tcBorders>
            <w:noWrap/>
            <w:vAlign w:val="center"/>
            <w:hideMark/>
          </w:tcPr>
          <w:p w14:paraId="37A6C748" w14:textId="77777777" w:rsidR="00494CC3" w:rsidRPr="00705B49" w:rsidRDefault="00494CC3" w:rsidP="007472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2"/>
                <w:lang w:eastAsia="en-AU"/>
              </w:rPr>
            </w:pPr>
            <w:r w:rsidRPr="00705B49">
              <w:rPr>
                <w:rFonts w:eastAsia="Times New Roman" w:cs="Times New Roman"/>
                <w:color w:val="000000"/>
                <w:szCs w:val="22"/>
                <w:lang w:eastAsia="en-AU"/>
              </w:rPr>
              <w:t>0.4</w:t>
            </w:r>
          </w:p>
        </w:tc>
        <w:tc>
          <w:tcPr>
            <w:tcW w:w="1605" w:type="dxa"/>
            <w:tcBorders>
              <w:bottom w:val="single" w:sz="4" w:space="0" w:color="4BB3B5"/>
            </w:tcBorders>
            <w:noWrap/>
            <w:vAlign w:val="center"/>
            <w:hideMark/>
          </w:tcPr>
          <w:p w14:paraId="1437EDA6" w14:textId="77777777" w:rsidR="00494CC3" w:rsidRPr="00705B49" w:rsidRDefault="00494CC3" w:rsidP="007472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2"/>
                <w:lang w:eastAsia="en-AU"/>
              </w:rPr>
            </w:pPr>
            <w:r w:rsidRPr="00705B49">
              <w:rPr>
                <w:rFonts w:eastAsia="Times New Roman" w:cs="Times New Roman"/>
                <w:color w:val="000000"/>
                <w:szCs w:val="22"/>
                <w:lang w:eastAsia="en-AU"/>
              </w:rPr>
              <w:t>0.2</w:t>
            </w:r>
          </w:p>
        </w:tc>
        <w:tc>
          <w:tcPr>
            <w:tcW w:w="1796" w:type="dxa"/>
            <w:tcBorders>
              <w:bottom w:val="single" w:sz="4" w:space="0" w:color="4BB3B5"/>
            </w:tcBorders>
            <w:noWrap/>
            <w:vAlign w:val="center"/>
            <w:hideMark/>
          </w:tcPr>
          <w:p w14:paraId="40A4C0A3" w14:textId="77777777" w:rsidR="00494CC3" w:rsidRPr="00705B49" w:rsidRDefault="00494CC3" w:rsidP="007472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2"/>
                <w:lang w:eastAsia="en-AU"/>
              </w:rPr>
            </w:pPr>
            <w:r w:rsidRPr="00705B49">
              <w:rPr>
                <w:rFonts w:eastAsia="Times New Roman" w:cs="Times New Roman"/>
                <w:color w:val="000000"/>
                <w:szCs w:val="22"/>
                <w:lang w:eastAsia="en-AU"/>
              </w:rPr>
              <w:t>0.1</w:t>
            </w:r>
          </w:p>
        </w:tc>
      </w:tr>
      <w:tr w:rsidR="00494CC3" w:rsidRPr="00705B49" w14:paraId="17FE1270" w14:textId="77777777" w:rsidTr="00747265">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4BB3B5"/>
              <w:bottom w:val="single" w:sz="4" w:space="0" w:color="4BB3B5"/>
            </w:tcBorders>
            <w:noWrap/>
          </w:tcPr>
          <w:p w14:paraId="22CB7AEF" w14:textId="77777777" w:rsidR="00494CC3" w:rsidRPr="00705B49" w:rsidRDefault="00494CC3" w:rsidP="00747265">
            <w:pPr>
              <w:rPr>
                <w:rFonts w:eastAsia="Times New Roman" w:cs="Times New Roman"/>
                <w:color w:val="000000"/>
                <w:szCs w:val="22"/>
                <w:lang w:eastAsia="en-AU"/>
              </w:rPr>
            </w:pPr>
            <w:r w:rsidRPr="00705B49">
              <w:rPr>
                <w:rFonts w:eastAsia="Times New Roman" w:cs="Times New Roman"/>
                <w:color w:val="000000"/>
                <w:szCs w:val="22"/>
                <w:lang w:eastAsia="en-AU"/>
              </w:rPr>
              <w:t>LP growth</w:t>
            </w:r>
          </w:p>
        </w:tc>
        <w:tc>
          <w:tcPr>
            <w:tcW w:w="2979" w:type="dxa"/>
            <w:tcBorders>
              <w:top w:val="single" w:sz="4" w:space="0" w:color="4BB3B5"/>
              <w:bottom w:val="single" w:sz="4" w:space="0" w:color="4BB3B5"/>
            </w:tcBorders>
            <w:noWrap/>
            <w:vAlign w:val="center"/>
          </w:tcPr>
          <w:p w14:paraId="7337E13D" w14:textId="77777777" w:rsidR="00494CC3" w:rsidRPr="00705B49" w:rsidRDefault="00494CC3" w:rsidP="0074726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Cs w:val="22"/>
                <w:lang w:eastAsia="en-AU"/>
              </w:rPr>
            </w:pPr>
            <w:r w:rsidRPr="00705B49">
              <w:rPr>
                <w:color w:val="000000"/>
                <w:szCs w:val="22"/>
              </w:rPr>
              <w:t>1.6</w:t>
            </w:r>
          </w:p>
        </w:tc>
        <w:tc>
          <w:tcPr>
            <w:tcW w:w="1795" w:type="dxa"/>
            <w:tcBorders>
              <w:top w:val="single" w:sz="4" w:space="0" w:color="4BB3B5"/>
              <w:bottom w:val="single" w:sz="4" w:space="0" w:color="4BB3B5"/>
            </w:tcBorders>
            <w:noWrap/>
            <w:vAlign w:val="center"/>
          </w:tcPr>
          <w:p w14:paraId="41C8C6C3" w14:textId="77777777" w:rsidR="00494CC3" w:rsidRPr="00705B49" w:rsidRDefault="00494CC3" w:rsidP="0074726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Cs w:val="22"/>
                <w:lang w:eastAsia="en-AU"/>
              </w:rPr>
            </w:pPr>
            <w:r w:rsidRPr="00705B49">
              <w:rPr>
                <w:color w:val="000000"/>
                <w:szCs w:val="22"/>
              </w:rPr>
              <w:t>1.7</w:t>
            </w:r>
          </w:p>
        </w:tc>
        <w:tc>
          <w:tcPr>
            <w:tcW w:w="1605" w:type="dxa"/>
            <w:tcBorders>
              <w:top w:val="single" w:sz="4" w:space="0" w:color="4BB3B5"/>
              <w:bottom w:val="single" w:sz="4" w:space="0" w:color="4BB3B5"/>
            </w:tcBorders>
            <w:noWrap/>
            <w:vAlign w:val="center"/>
          </w:tcPr>
          <w:p w14:paraId="4E7E0C5E" w14:textId="77777777" w:rsidR="00494CC3" w:rsidRPr="00705B49" w:rsidRDefault="00494CC3" w:rsidP="0074726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Cs w:val="22"/>
                <w:lang w:eastAsia="en-AU"/>
              </w:rPr>
            </w:pPr>
            <w:r w:rsidRPr="00705B49">
              <w:rPr>
                <w:color w:val="000000"/>
                <w:szCs w:val="22"/>
              </w:rPr>
              <w:t>1.7</w:t>
            </w:r>
          </w:p>
        </w:tc>
        <w:tc>
          <w:tcPr>
            <w:tcW w:w="1796" w:type="dxa"/>
            <w:tcBorders>
              <w:top w:val="single" w:sz="4" w:space="0" w:color="4BB3B5"/>
              <w:bottom w:val="single" w:sz="4" w:space="0" w:color="4BB3B5"/>
            </w:tcBorders>
            <w:noWrap/>
            <w:vAlign w:val="center"/>
          </w:tcPr>
          <w:p w14:paraId="54AD50B5" w14:textId="77777777" w:rsidR="00494CC3" w:rsidRPr="00705B49" w:rsidRDefault="00494CC3" w:rsidP="0074726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Cs w:val="22"/>
                <w:lang w:eastAsia="en-AU"/>
              </w:rPr>
            </w:pPr>
            <w:r w:rsidRPr="00705B49">
              <w:rPr>
                <w:color w:val="000000"/>
                <w:szCs w:val="22"/>
              </w:rPr>
              <w:t>1.6</w:t>
            </w:r>
          </w:p>
        </w:tc>
      </w:tr>
    </w:tbl>
    <w:p w14:paraId="09160EA2" w14:textId="77777777" w:rsidR="00494CC3" w:rsidRPr="00705B49" w:rsidRDefault="00494CC3" w:rsidP="00494CC3">
      <w:pPr>
        <w:pStyle w:val="Sourcenotes"/>
      </w:pPr>
      <w:r w:rsidRPr="00705B49">
        <w:rPr>
          <w:lang w:val="en-AU"/>
        </w:rPr>
        <w:t>Source: BCARR analysis of BLADE</w:t>
      </w:r>
      <w:r w:rsidRPr="00705B49">
        <w:br w:type="page"/>
      </w:r>
    </w:p>
    <w:p w14:paraId="2E3C1C51" w14:textId="77777777" w:rsidR="00494CC3" w:rsidRPr="00705B49" w:rsidRDefault="00494CC3" w:rsidP="009B5D6B">
      <w:pPr>
        <w:pStyle w:val="Heading2"/>
      </w:pPr>
      <w:bookmarkStart w:id="249" w:name="_Ref125557679"/>
      <w:bookmarkStart w:id="250" w:name="_Toc127374101"/>
      <w:bookmarkStart w:id="251" w:name="_Toc129777706"/>
      <w:bookmarkStart w:id="252" w:name="_Toc97652783"/>
      <w:r w:rsidRPr="00705B49">
        <w:lastRenderedPageBreak/>
        <w:t>Appendix G: Economy-wide impacts of broadband (literature</w:t>
      </w:r>
      <w:r w:rsidR="009B5D6B">
        <w:t> </w:t>
      </w:r>
      <w:r w:rsidRPr="00705B49">
        <w:t>review)</w:t>
      </w:r>
      <w:bookmarkEnd w:id="249"/>
      <w:bookmarkEnd w:id="250"/>
      <w:bookmarkEnd w:id="251"/>
    </w:p>
    <w:p w14:paraId="5317237F" w14:textId="526687A5" w:rsidR="00494CC3" w:rsidRPr="00705B49" w:rsidRDefault="00494CC3" w:rsidP="00494CC3">
      <w:pPr>
        <w:pStyle w:val="Bullet1"/>
        <w:numPr>
          <w:ilvl w:val="0"/>
          <w:numId w:val="0"/>
        </w:numPr>
        <w:rPr>
          <w:lang w:val="en-AU"/>
        </w:rPr>
      </w:pPr>
      <w:r w:rsidRPr="00705B49">
        <w:rPr>
          <w:lang w:val="en-AU"/>
        </w:rPr>
        <w:t>Many econometric studies have used an economy</w:t>
      </w:r>
      <w:r w:rsidRPr="00705B49">
        <w:rPr>
          <w:lang w:val="en-AU"/>
        </w:rPr>
        <w:noBreakHyphen/>
        <w:t>wide analysis to examine the impact of broadband adoption and a well</w:t>
      </w:r>
      <w:r w:rsidRPr="00705B49">
        <w:rPr>
          <w:lang w:val="en-AU"/>
        </w:rPr>
        <w:noBreakHyphen/>
        <w:t xml:space="preserve">established methodology developed over the last </w:t>
      </w:r>
      <w:r>
        <w:rPr>
          <w:lang w:val="en-AU"/>
        </w:rPr>
        <w:t>2</w:t>
      </w:r>
      <w:r w:rsidRPr="00705B49">
        <w:rPr>
          <w:lang w:val="en-AU"/>
        </w:rPr>
        <w:t xml:space="preserve"> decades. This approach uses data from a large sample of countries which is necessary</w:t>
      </w:r>
      <w:r w:rsidRPr="00705B49">
        <w:t xml:space="preserve"> to provide robust results</w:t>
      </w:r>
      <w:r w:rsidRPr="00705B49">
        <w:rPr>
          <w:lang w:val="en-AU"/>
        </w:rPr>
        <w:t>. For this reason, estimates of the impact of broadband are generally presented as an average figure across all of the countries studied – or if the sample size is large enough, provided</w:t>
      </w:r>
      <w:r w:rsidRPr="00705B49">
        <w:t xml:space="preserve"> for</w:t>
      </w:r>
      <w:r w:rsidRPr="00705B49">
        <w:rPr>
          <w:lang w:val="en-AU"/>
        </w:rPr>
        <w:t xml:space="preserve"> a particular region or </w:t>
      </w:r>
      <w:r w:rsidRPr="00705B49">
        <w:t>group</w:t>
      </w:r>
      <w:r w:rsidRPr="00705B49">
        <w:rPr>
          <w:lang w:val="en-AU"/>
        </w:rPr>
        <w:t>, such as</w:t>
      </w:r>
      <w:r w:rsidRPr="00705B49">
        <w:t xml:space="preserve"> the Asia-Pacific</w:t>
      </w:r>
      <w:r w:rsidRPr="00705B49">
        <w:rPr>
          <w:lang w:val="en-AU"/>
        </w:rPr>
        <w:t xml:space="preserve"> region</w:t>
      </w:r>
      <w:r w:rsidRPr="00705B49">
        <w:t xml:space="preserve"> or</w:t>
      </w:r>
      <w:r w:rsidRPr="00705B49">
        <w:rPr>
          <w:lang w:val="en-AU"/>
        </w:rPr>
        <w:t xml:space="preserve"> for</w:t>
      </w:r>
      <w:r w:rsidRPr="00705B49">
        <w:t xml:space="preserve"> high</w:t>
      </w:r>
      <w:r w:rsidRPr="00705B49">
        <w:rPr>
          <w:lang w:val="en-AU"/>
        </w:rPr>
        <w:t xml:space="preserve"> income </w:t>
      </w:r>
      <w:r w:rsidRPr="00705B49">
        <w:t>countries</w:t>
      </w:r>
      <w:r w:rsidRPr="00705B49">
        <w:rPr>
          <w:lang w:val="en-AU"/>
        </w:rPr>
        <w:t xml:space="preserve">. </w:t>
      </w:r>
    </w:p>
    <w:p w14:paraId="39B99155" w14:textId="77777777" w:rsidR="00494CC3" w:rsidRPr="00705B49" w:rsidRDefault="00494CC3" w:rsidP="00494CC3">
      <w:pPr>
        <w:pStyle w:val="Bullet1"/>
        <w:numPr>
          <w:ilvl w:val="0"/>
          <w:numId w:val="0"/>
        </w:numPr>
      </w:pPr>
      <w:r w:rsidRPr="00705B49">
        <w:rPr>
          <w:lang w:val="en-AU"/>
        </w:rPr>
        <w:t xml:space="preserve">This appendix reviews the rich literature available on the economy-wide </w:t>
      </w:r>
      <w:r w:rsidRPr="00705B49">
        <w:t>impact</w:t>
      </w:r>
      <w:r w:rsidRPr="00705B49">
        <w:rPr>
          <w:lang w:val="en-AU"/>
        </w:rPr>
        <w:t>s</w:t>
      </w:r>
      <w:r w:rsidRPr="00705B49">
        <w:t xml:space="preserve"> of </w:t>
      </w:r>
      <w:r w:rsidRPr="00705B49">
        <w:rPr>
          <w:lang w:val="en-AU"/>
        </w:rPr>
        <w:t xml:space="preserve">broadband and aims to unpack the different types of approaches taken. </w:t>
      </w:r>
      <w:r w:rsidRPr="00705B49">
        <w:t>The studies largely point to positive effects</w:t>
      </w:r>
      <w:r w:rsidRPr="00705B49">
        <w:rPr>
          <w:lang w:val="en-AU"/>
        </w:rPr>
        <w:t>—</w:t>
      </w:r>
      <w:proofErr w:type="spellStart"/>
      <w:r w:rsidRPr="00705B49">
        <w:rPr>
          <w:lang w:val="en-AU"/>
        </w:rPr>
        <w:t>i</w:t>
      </w:r>
      <w:proofErr w:type="spellEnd"/>
      <w:r w:rsidRPr="00705B49">
        <w:t xml:space="preserve">n a 2015 survey of the literature </w:t>
      </w:r>
      <w:proofErr w:type="spellStart"/>
      <w:r w:rsidRPr="00705B49">
        <w:t>Bertschek</w:t>
      </w:r>
      <w:proofErr w:type="spellEnd"/>
      <w:r w:rsidRPr="00705B49">
        <w:t xml:space="preserve"> et al. concluded that broadband penetration</w:t>
      </w:r>
      <w:r w:rsidRPr="00705B49">
        <w:rPr>
          <w:rStyle w:val="FootnoteReference"/>
        </w:rPr>
        <w:footnoteReference w:id="9"/>
      </w:r>
      <w:r w:rsidRPr="00705B49">
        <w:t xml:space="preserve"> has a positive impact on economic growth, employment and productivity.</w:t>
      </w:r>
      <w:r w:rsidRPr="00705B49">
        <w:rPr>
          <w:rStyle w:val="EndnoteReference"/>
        </w:rPr>
        <w:endnoteReference w:id="57"/>
      </w:r>
      <w:r w:rsidRPr="00705B49">
        <w:t xml:space="preserve"> The magnitude of th</w:t>
      </w:r>
      <w:r w:rsidRPr="00705B49">
        <w:rPr>
          <w:lang w:val="en-AU"/>
        </w:rPr>
        <w:t>is</w:t>
      </w:r>
      <w:r w:rsidRPr="00705B49">
        <w:t xml:space="preserve"> impact differs across studies, owing to differences in the approaches taken, time periods covered and regions studied. The relationship between broadband and economic growth and the main findings from the literature are discussed below.</w:t>
      </w:r>
    </w:p>
    <w:p w14:paraId="1F094DB0" w14:textId="77777777" w:rsidR="00494CC3" w:rsidRPr="00705B49" w:rsidRDefault="00494CC3" w:rsidP="00494CC3">
      <w:pPr>
        <w:pStyle w:val="Bullet1"/>
        <w:numPr>
          <w:ilvl w:val="0"/>
          <w:numId w:val="0"/>
        </w:numPr>
      </w:pPr>
      <w:r w:rsidRPr="00705B49">
        <w:rPr>
          <w:lang w:val="en-US"/>
        </w:rPr>
        <w:t xml:space="preserve">In addition to the economy-wide impacts of broadband, this appendix briefly discusses studies on the firm-level impacts of broadband. Unlike the economy-wide literature, firm-level studies show mixed results with some finding a positive impact, others finding positive impacts in limited circumstances, or no impacts. </w:t>
      </w:r>
    </w:p>
    <w:p w14:paraId="42F60A51" w14:textId="77777777" w:rsidR="00494CC3" w:rsidRPr="00705B49" w:rsidRDefault="00494CC3" w:rsidP="009B5D6B">
      <w:pPr>
        <w:pStyle w:val="Heading3"/>
      </w:pPr>
      <w:bookmarkStart w:id="253" w:name="_Toc127374102"/>
      <w:bookmarkStart w:id="254" w:name="_Toc129777707"/>
      <w:r w:rsidRPr="00705B49">
        <w:t>The economy-wide relationship between broadband and growth</w:t>
      </w:r>
      <w:bookmarkEnd w:id="253"/>
      <w:bookmarkEnd w:id="254"/>
    </w:p>
    <w:p w14:paraId="73F693CC" w14:textId="77777777" w:rsidR="00494CC3" w:rsidRPr="00705B49" w:rsidRDefault="00494CC3" w:rsidP="00494CC3">
      <w:r w:rsidRPr="00705B49">
        <w:rPr>
          <w:rFonts w:cs="Calibri"/>
        </w:rPr>
        <w:t xml:space="preserve">Economy-wide studies estimate the effects of broadband on the economy through the use of a production function. </w:t>
      </w:r>
      <w:r w:rsidRPr="00705B49">
        <w:t>This approach makes it possible to estimate how much change in an economy’s output is determined by changes in inputs. An economy</w:t>
      </w:r>
      <w:r w:rsidRPr="00705B49">
        <w:noBreakHyphen/>
        <w:t xml:space="preserve">wide production function shows the country’s total output, or gross domestic product (GDP), achieved by its inputs – usually represented by the economy’s use of capital (machinery and equipment) and labour resources (hours worked). As these studies aim to measure the impact of broadband penetration in the economy, </w:t>
      </w:r>
      <w:r w:rsidRPr="00705B49">
        <w:rPr>
          <w:rFonts w:cs="Calibri"/>
        </w:rPr>
        <w:t>a specific broadband penetration variable is included as an input in the production function</w:t>
      </w:r>
      <w:r w:rsidRPr="00705B49">
        <w:t>. The relationship and value that broadband penetration has on economic growth can then be isolated using a variety of statistical techniques.</w:t>
      </w:r>
    </w:p>
    <w:p w14:paraId="5590F929" w14:textId="77777777" w:rsidR="00494CC3" w:rsidRDefault="00494CC3" w:rsidP="00494CC3">
      <w:r w:rsidRPr="00705B49">
        <w:t xml:space="preserve">A preliminary look at the relationship between levels of broadband penetration and GDP per capita ($US) is shown in </w:t>
      </w:r>
      <w:r w:rsidRPr="00705B49">
        <w:fldChar w:fldCharType="begin"/>
      </w:r>
      <w:r w:rsidRPr="00705B49">
        <w:instrText xml:space="preserve"> REF _Ref114149262 \h </w:instrText>
      </w:r>
      <w:r>
        <w:instrText xml:space="preserve"> \* MERGEFORMAT </w:instrText>
      </w:r>
      <w:r w:rsidRPr="00705B49">
        <w:fldChar w:fldCharType="separate"/>
      </w:r>
      <w:r w:rsidRPr="00705B49">
        <w:t xml:space="preserve">Figure </w:t>
      </w:r>
      <w:r w:rsidRPr="00705B49">
        <w:rPr>
          <w:noProof/>
        </w:rPr>
        <w:t>12</w:t>
      </w:r>
      <w:r w:rsidRPr="00705B49">
        <w:fldChar w:fldCharType="end"/>
      </w:r>
      <w:r w:rsidRPr="00705B49">
        <w:t>. It shows that for OECD</w:t>
      </w:r>
      <w:r>
        <w:t xml:space="preserve"> </w:t>
      </w:r>
      <w:r w:rsidRPr="00705B49">
        <w:t>countries there is a positive relationship where higher income countries tend to have higher levels of broadband penetration. Australia ranks slightly above average in both broadband penetration and GDP per capita – in 2020 Australia had 35 broadband subscriptions per 100 people (the OECD average was 33 subscriptions); while GDP per capita was $USD 48,000 (the OECD average was $USD 42,000).</w:t>
      </w:r>
    </w:p>
    <w:p w14:paraId="35B38412" w14:textId="77777777" w:rsidR="00494CC3" w:rsidRPr="00705B49" w:rsidRDefault="00494CC3" w:rsidP="00FF191D">
      <w:pPr>
        <w:pStyle w:val="Tablefigureheading"/>
      </w:pPr>
      <w:bookmarkStart w:id="255" w:name="_Ref114149262"/>
      <w:bookmarkStart w:id="256" w:name="_Toc115175410"/>
      <w:bookmarkStart w:id="257" w:name="_Toc129767641"/>
      <w:r w:rsidRPr="00705B49">
        <w:lastRenderedPageBreak/>
        <w:t xml:space="preserve">Figure </w:t>
      </w:r>
      <w:fldSimple w:instr=" SEQ Figure \* ARABIC ">
        <w:r w:rsidRPr="00705B49">
          <w:rPr>
            <w:noProof/>
          </w:rPr>
          <w:t>12</w:t>
        </w:r>
      </w:fldSimple>
      <w:bookmarkEnd w:id="255"/>
      <w:r w:rsidRPr="00705B49">
        <w:t>. Broadband penetration and GDP per capita in OECD countries, quarter 4 2020</w:t>
      </w:r>
      <w:bookmarkEnd w:id="256"/>
      <w:bookmarkEnd w:id="257"/>
    </w:p>
    <w:p w14:paraId="42DE68C7" w14:textId="77777777" w:rsidR="00494CC3" w:rsidRPr="00705B49" w:rsidRDefault="00494CC3" w:rsidP="00494CC3">
      <w:pPr>
        <w:pStyle w:val="Sourcenotes"/>
      </w:pPr>
      <w:r>
        <w:rPr>
          <w:noProof/>
          <w:lang w:val="en-AU"/>
        </w:rPr>
        <w:drawing>
          <wp:inline distT="0" distB="0" distL="0" distR="0" wp14:anchorId="55725317" wp14:editId="1DEA6DBA">
            <wp:extent cx="6261100" cy="3152140"/>
            <wp:effectExtent l="0" t="0" r="6350" b="0"/>
            <wp:docPr id="10" name="Picture 10" descr="This scatterplot shows the broadband penetration by GDP per capita in OECD countries. &#10;The general trend shows that countries with a higher GDP per capita have higher broadband penetration percentages. Luxembourg is an outlier to this trend. Australian broadband penetration is close to the OECD average and close to the United States. Canada and the United Kingdom have higher broadband penetration rates relative to Australi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61100" cy="3152140"/>
                    </a:xfrm>
                    <a:prstGeom prst="rect">
                      <a:avLst/>
                    </a:prstGeom>
                    <a:noFill/>
                  </pic:spPr>
                </pic:pic>
              </a:graphicData>
            </a:graphic>
          </wp:inline>
        </w:drawing>
      </w:r>
      <w:r w:rsidRPr="00705B49">
        <w:rPr>
          <w:lang w:val="en-AU"/>
        </w:rPr>
        <w:t xml:space="preserve">Source: OECD Quarterly National Accounts: GDP per capita (extracted on 23 August 2021) and OECD Broadband Portal. </w:t>
      </w:r>
    </w:p>
    <w:p w14:paraId="696663A5" w14:textId="77777777" w:rsidR="00494CC3" w:rsidRPr="00705B49" w:rsidRDefault="00494CC3" w:rsidP="00494CC3">
      <w:r w:rsidRPr="00705B49">
        <w:t>Despite the positive relationship, it is not clear from the information above whether broadband penetration raises GDP per capita, or if high income countries simply invest more in broadband infrastructure – an issue known as ‘reverse causality’.</w:t>
      </w:r>
      <w:r w:rsidRPr="00705B49">
        <w:rPr>
          <w:rStyle w:val="FootnoteReference"/>
        </w:rPr>
        <w:footnoteReference w:id="10"/>
      </w:r>
      <w:r w:rsidRPr="00705B49">
        <w:t xml:space="preserve"> Many studies attempt to untangle these complex relationships using advanced statistical methods (Box 1). While these methods allow for more reliable estimates of the impact of broadband on growth, the statistical bias can never be fully addressed and results should be interpreted with caution.</w:t>
      </w:r>
    </w:p>
    <w:p w14:paraId="1809AA7A" w14:textId="77777777" w:rsidR="00494CC3" w:rsidRPr="00705B49" w:rsidRDefault="00494CC3" w:rsidP="00494CC3">
      <w:pPr>
        <w:pStyle w:val="Box2Heading"/>
        <w:rPr>
          <w:lang w:val="en-US"/>
        </w:rPr>
      </w:pPr>
      <w:r w:rsidRPr="00705B49">
        <w:rPr>
          <w:lang w:val="en-US"/>
        </w:rPr>
        <w:t xml:space="preserve">Box 1: Statistical methods used to address reverse causality </w:t>
      </w:r>
    </w:p>
    <w:p w14:paraId="45DDD5A0" w14:textId="77777777" w:rsidR="00494CC3" w:rsidRPr="00705B49" w:rsidRDefault="00494CC3" w:rsidP="00494CC3">
      <w:pPr>
        <w:pStyle w:val="Box2Bullet1"/>
        <w:numPr>
          <w:ilvl w:val="0"/>
          <w:numId w:val="32"/>
        </w:numPr>
        <w:rPr>
          <w:lang w:val="en-US"/>
        </w:rPr>
      </w:pPr>
      <w:r w:rsidRPr="00705B49">
        <w:rPr>
          <w:b/>
          <w:lang w:val="en-US"/>
        </w:rPr>
        <w:t xml:space="preserve">Simultaneous equations </w:t>
      </w:r>
      <w:r w:rsidRPr="00705B49">
        <w:rPr>
          <w:rFonts w:ascii="Calibri" w:hAnsi="Calibri" w:cs="Calibri"/>
        </w:rPr>
        <w:t xml:space="preserve">of demand and supply as used by </w:t>
      </w:r>
      <w:proofErr w:type="spellStart"/>
      <w:r w:rsidRPr="00705B49">
        <w:rPr>
          <w:rFonts w:ascii="Calibri" w:hAnsi="Calibri" w:cs="Calibri"/>
        </w:rPr>
        <w:t>Koutro</w:t>
      </w:r>
      <w:r w:rsidRPr="00705B49">
        <w:rPr>
          <w:rFonts w:ascii="Calibri" w:hAnsi="Calibri" w:cs="Calibri"/>
          <w:lang w:val="en-AU"/>
        </w:rPr>
        <w:t>u</w:t>
      </w:r>
      <w:r w:rsidRPr="00705B49">
        <w:rPr>
          <w:rFonts w:ascii="Calibri" w:hAnsi="Calibri" w:cs="Calibri"/>
        </w:rPr>
        <w:t>mpis</w:t>
      </w:r>
      <w:proofErr w:type="spellEnd"/>
      <w:r w:rsidRPr="00705B49">
        <w:rPr>
          <w:rFonts w:ascii="Calibri" w:hAnsi="Calibri" w:cs="Calibri"/>
        </w:rPr>
        <w:t xml:space="preserve"> and the </w:t>
      </w:r>
      <w:r w:rsidRPr="00705B49">
        <w:rPr>
          <w:rFonts w:ascii="Calibri" w:eastAsia="Times New Roman" w:hAnsi="Calibri" w:cs="Calibri"/>
          <w:lang w:eastAsia="en-AU"/>
        </w:rPr>
        <w:t>International Telecommunication Union</w:t>
      </w:r>
      <w:r w:rsidRPr="00705B49">
        <w:rPr>
          <w:rFonts w:ascii="Calibri" w:hAnsi="Calibri" w:cs="Calibri"/>
        </w:rPr>
        <w:t>.</w:t>
      </w:r>
      <w:r w:rsidRPr="00705B49">
        <w:rPr>
          <w:rStyle w:val="EndnoteReference"/>
          <w:rFonts w:ascii="Calibri" w:hAnsi="Calibri" w:cs="Calibri"/>
        </w:rPr>
        <w:endnoteReference w:id="58"/>
      </w:r>
      <w:r w:rsidRPr="00705B49">
        <w:rPr>
          <w:rFonts w:ascii="Calibri" w:hAnsi="Calibri" w:cs="Calibri"/>
        </w:rPr>
        <w:t xml:space="preserve"> </w:t>
      </w:r>
      <w:r w:rsidRPr="00705B49">
        <w:t>The</w:t>
      </w:r>
      <w:r w:rsidRPr="00705B49">
        <w:rPr>
          <w:lang w:val="en-AU"/>
        </w:rPr>
        <w:t xml:space="preserve"> models are made up of a system of equations representing the economy’s production function and three demand, supply and output functions</w:t>
      </w:r>
      <w:r w:rsidRPr="00705B49">
        <w:t xml:space="preserve"> – </w:t>
      </w:r>
      <w:r w:rsidRPr="00705B49">
        <w:rPr>
          <w:lang w:val="en-AU"/>
        </w:rPr>
        <w:t xml:space="preserve">the last </w:t>
      </w:r>
      <w:r>
        <w:rPr>
          <w:lang w:val="en-AU"/>
        </w:rPr>
        <w:t>3</w:t>
      </w:r>
      <w:r w:rsidRPr="00705B49">
        <w:rPr>
          <w:lang w:val="en-AU"/>
        </w:rPr>
        <w:t xml:space="preserve"> equations solve for the </w:t>
      </w:r>
      <w:r w:rsidRPr="00705B49">
        <w:t>component of broadband that is actually demanded and provided</w:t>
      </w:r>
      <w:r w:rsidRPr="00705B49">
        <w:rPr>
          <w:lang w:val="en-AU"/>
        </w:rPr>
        <w:t xml:space="preserve"> </w:t>
      </w:r>
      <w:r w:rsidRPr="00705B49">
        <w:t xml:space="preserve">to consumers, </w:t>
      </w:r>
      <w:r w:rsidRPr="00705B49">
        <w:rPr>
          <w:lang w:val="en-AU"/>
        </w:rPr>
        <w:t>controlling for</w:t>
      </w:r>
      <w:r w:rsidRPr="00705B49">
        <w:t xml:space="preserve"> reverse causality</w:t>
      </w:r>
      <w:r w:rsidRPr="00705B49">
        <w:rPr>
          <w:lang w:val="en-US"/>
        </w:rPr>
        <w:t>.</w:t>
      </w:r>
    </w:p>
    <w:p w14:paraId="6A5923A7" w14:textId="77777777" w:rsidR="00494CC3" w:rsidRPr="00705B49" w:rsidRDefault="00494CC3" w:rsidP="00494CC3">
      <w:pPr>
        <w:pStyle w:val="Box2Bullet1"/>
        <w:numPr>
          <w:ilvl w:val="0"/>
          <w:numId w:val="32"/>
        </w:numPr>
        <w:rPr>
          <w:lang w:val="en-US"/>
        </w:rPr>
      </w:pPr>
      <w:r w:rsidRPr="00705B49">
        <w:rPr>
          <w:b/>
          <w:lang w:val="en-US"/>
        </w:rPr>
        <w:t>Instrumental variables</w:t>
      </w:r>
      <w:r w:rsidRPr="00705B49">
        <w:rPr>
          <w:lang w:val="en-US"/>
        </w:rPr>
        <w:t xml:space="preserve"> </w:t>
      </w:r>
      <w:r w:rsidRPr="00705B49">
        <w:t xml:space="preserve">as used by </w:t>
      </w:r>
      <w:proofErr w:type="spellStart"/>
      <w:r w:rsidRPr="00705B49">
        <w:t>Czernich</w:t>
      </w:r>
      <w:proofErr w:type="spellEnd"/>
      <w:r w:rsidRPr="00705B49">
        <w:t xml:space="preserve"> et al. (2011) where estimation of a third variable (the instrument) is applied to mitigate the potential bias of the explanatory variable (broadband).</w:t>
      </w:r>
      <w:r w:rsidRPr="00754E46">
        <w:rPr>
          <w:vertAlign w:val="superscript"/>
        </w:rPr>
        <w:endnoteReference w:id="59"/>
      </w:r>
      <w:r w:rsidRPr="00705B49">
        <w:t xml:space="preserve"> Using instruments of supply, broadband deployment is modelled by the authors based on the diffusion of existing broadband infrastructure. This approach rules out demand-side effects that arise from wealth, economic growth and government policy.</w:t>
      </w:r>
    </w:p>
    <w:p w14:paraId="07B8F111" w14:textId="77777777" w:rsidR="00494CC3" w:rsidRPr="00EA3F33" w:rsidRDefault="00494CC3" w:rsidP="00EA3F33">
      <w:pPr>
        <w:pStyle w:val="Heading3"/>
      </w:pPr>
      <w:bookmarkStart w:id="258" w:name="_Toc85468938"/>
      <w:bookmarkStart w:id="259" w:name="_Toc127374103"/>
      <w:bookmarkStart w:id="260" w:name="_Toc129777708"/>
      <w:r w:rsidRPr="00EA3F33">
        <w:lastRenderedPageBreak/>
        <w:t>Findings from the literature</w:t>
      </w:r>
      <w:bookmarkEnd w:id="258"/>
      <w:bookmarkEnd w:id="259"/>
      <w:bookmarkEnd w:id="260"/>
    </w:p>
    <w:p w14:paraId="5D04DDBC" w14:textId="77777777" w:rsidR="00494CC3" w:rsidRPr="00705B49" w:rsidRDefault="00494CC3" w:rsidP="00756E90">
      <w:pPr>
        <w:pStyle w:val="Heading4"/>
      </w:pPr>
      <w:bookmarkStart w:id="261" w:name="_Toc119052299"/>
      <w:bookmarkStart w:id="262" w:name="_Toc119058154"/>
      <w:bookmarkStart w:id="263" w:name="_Toc121932288"/>
      <w:bookmarkStart w:id="264" w:name="_Toc124169161"/>
      <w:bookmarkStart w:id="265" w:name="_Toc127374104"/>
      <w:bookmarkStart w:id="266" w:name="_Toc129777709"/>
      <w:r w:rsidRPr="00705B49">
        <w:t>Telecommunications infrastructure and growth</w:t>
      </w:r>
      <w:bookmarkEnd w:id="261"/>
      <w:bookmarkEnd w:id="262"/>
      <w:bookmarkEnd w:id="263"/>
      <w:bookmarkEnd w:id="264"/>
      <w:bookmarkEnd w:id="265"/>
      <w:bookmarkEnd w:id="266"/>
    </w:p>
    <w:p w14:paraId="1EBB56DB" w14:textId="77777777" w:rsidR="00494CC3" w:rsidRPr="00705B49" w:rsidRDefault="00494CC3" w:rsidP="00494CC3">
      <w:pPr>
        <w:textAlignment w:val="center"/>
      </w:pPr>
      <w:r w:rsidRPr="00705B49">
        <w:t>Most studies show that broadband penetration is causally related to economic growth by applying the statistical methods</w:t>
      </w:r>
      <w:r w:rsidRPr="00705B49" w:rsidDel="00612D55">
        <w:t xml:space="preserve"> </w:t>
      </w:r>
      <w:r w:rsidRPr="00705B49">
        <w:t xml:space="preserve">mentioned above. </w:t>
      </w:r>
      <w:proofErr w:type="spellStart"/>
      <w:r w:rsidRPr="00705B49">
        <w:t>Röller</w:t>
      </w:r>
      <w:proofErr w:type="spellEnd"/>
      <w:r w:rsidRPr="00705B49">
        <w:t xml:space="preserve"> and </w:t>
      </w:r>
      <w:proofErr w:type="spellStart"/>
      <w:r w:rsidRPr="00705B49">
        <w:t>Waverman</w:t>
      </w:r>
      <w:proofErr w:type="spellEnd"/>
      <w:r w:rsidRPr="00705B49">
        <w:t xml:space="preserve"> (2001) first applied this framework to telecommunications by analysing the relationship between telecommunications investment and economic growth.</w:t>
      </w:r>
      <w:r w:rsidRPr="00705B49">
        <w:rPr>
          <w:rStyle w:val="EndnoteReference"/>
        </w:rPr>
        <w:endnoteReference w:id="60"/>
      </w:r>
      <w:r w:rsidRPr="00705B49">
        <w:t xml:space="preserve"> The authors found a strong causal relationship but noticed that this occurs only when telecommunications services reach a certain threshold. </w:t>
      </w:r>
      <w:r w:rsidRPr="00705B49">
        <w:rPr>
          <w:rFonts w:eastAsia="Times New Roman" w:cs="Calibri"/>
          <w:lang w:eastAsia="en-AU"/>
        </w:rPr>
        <w:t xml:space="preserve">The results of selected studies are shown in </w:t>
      </w:r>
      <w:r w:rsidRPr="00705B49">
        <w:rPr>
          <w:rFonts w:eastAsia="Times New Roman" w:cs="Calibri"/>
          <w:lang w:eastAsia="en-AU"/>
        </w:rPr>
        <w:fldChar w:fldCharType="begin"/>
      </w:r>
      <w:r w:rsidRPr="00705B49">
        <w:rPr>
          <w:rFonts w:eastAsia="Times New Roman" w:cs="Calibri"/>
          <w:lang w:eastAsia="en-AU"/>
        </w:rPr>
        <w:instrText xml:space="preserve"> REF _Ref114149351 \h </w:instrText>
      </w:r>
      <w:r>
        <w:rPr>
          <w:rFonts w:eastAsia="Times New Roman" w:cs="Calibri"/>
          <w:lang w:eastAsia="en-AU"/>
        </w:rPr>
        <w:instrText xml:space="preserve"> \* MERGEFORMAT </w:instrText>
      </w:r>
      <w:r w:rsidRPr="00705B49">
        <w:rPr>
          <w:rFonts w:eastAsia="Times New Roman" w:cs="Calibri"/>
          <w:lang w:eastAsia="en-AU"/>
        </w:rPr>
      </w:r>
      <w:r w:rsidRPr="00705B49">
        <w:rPr>
          <w:rFonts w:eastAsia="Times New Roman" w:cs="Calibri"/>
          <w:lang w:eastAsia="en-AU"/>
        </w:rPr>
        <w:fldChar w:fldCharType="separate"/>
      </w:r>
      <w:r w:rsidRPr="00705B49">
        <w:t>Table</w:t>
      </w:r>
      <w:r w:rsidR="00756E90">
        <w:t> </w:t>
      </w:r>
      <w:r w:rsidRPr="00705B49">
        <w:rPr>
          <w:noProof/>
        </w:rPr>
        <w:t>22</w:t>
      </w:r>
      <w:r w:rsidRPr="00705B49">
        <w:rPr>
          <w:rFonts w:eastAsia="Times New Roman" w:cs="Calibri"/>
          <w:lang w:eastAsia="en-AU"/>
        </w:rPr>
        <w:fldChar w:fldCharType="end"/>
      </w:r>
      <w:r w:rsidRPr="00705B49">
        <w:rPr>
          <w:rFonts w:eastAsia="Times New Roman" w:cs="Calibri"/>
          <w:lang w:eastAsia="en-AU"/>
        </w:rPr>
        <w:t>.</w:t>
      </w:r>
    </w:p>
    <w:p w14:paraId="13FFD612" w14:textId="77777777" w:rsidR="00494CC3" w:rsidRPr="00705B49" w:rsidRDefault="00494CC3" w:rsidP="00756E90">
      <w:pPr>
        <w:pStyle w:val="Heading4"/>
      </w:pPr>
      <w:bookmarkStart w:id="267" w:name="_Toc119052300"/>
      <w:bookmarkStart w:id="268" w:name="_Toc119058155"/>
      <w:bookmarkStart w:id="269" w:name="_Toc121932289"/>
      <w:bookmarkStart w:id="270" w:name="_Toc124169162"/>
      <w:bookmarkStart w:id="271" w:name="_Toc127374105"/>
      <w:bookmarkStart w:id="272" w:name="_Toc129777710"/>
      <w:r w:rsidRPr="00705B49">
        <w:t>Adapting this framework to broadband</w:t>
      </w:r>
      <w:bookmarkEnd w:id="267"/>
      <w:bookmarkEnd w:id="268"/>
      <w:bookmarkEnd w:id="269"/>
      <w:bookmarkEnd w:id="270"/>
      <w:bookmarkEnd w:id="271"/>
      <w:bookmarkEnd w:id="272"/>
    </w:p>
    <w:p w14:paraId="58C42117" w14:textId="77777777" w:rsidR="00494CC3" w:rsidRPr="00705B49" w:rsidRDefault="00494CC3" w:rsidP="00494CC3">
      <w:pPr>
        <w:textAlignment w:val="center"/>
        <w:rPr>
          <w:rFonts w:eastAsia="Times New Roman" w:cs="Calibri"/>
          <w:lang w:eastAsia="en-AU"/>
        </w:rPr>
      </w:pPr>
      <w:proofErr w:type="spellStart"/>
      <w:r w:rsidRPr="00705B49">
        <w:t>Koutroumpis</w:t>
      </w:r>
      <w:proofErr w:type="spellEnd"/>
      <w:r w:rsidRPr="00705B49">
        <w:t xml:space="preserve"> (2009) adapted the </w:t>
      </w:r>
      <w:proofErr w:type="spellStart"/>
      <w:r w:rsidRPr="00705B49">
        <w:t>Röller</w:t>
      </w:r>
      <w:proofErr w:type="spellEnd"/>
      <w:r w:rsidRPr="00705B49">
        <w:t xml:space="preserve"> and </w:t>
      </w:r>
      <w:proofErr w:type="spellStart"/>
      <w:r w:rsidRPr="00705B49">
        <w:t>Waverman</w:t>
      </w:r>
      <w:proofErr w:type="spellEnd"/>
      <w:r w:rsidRPr="00705B49">
        <w:t xml:space="preserve"> framework to focus on broadband adoption.</w:t>
      </w:r>
      <w:r w:rsidRPr="00705B49">
        <w:rPr>
          <w:rStyle w:val="EndnoteReference"/>
        </w:rPr>
        <w:endnoteReference w:id="61"/>
      </w:r>
      <w:r w:rsidRPr="00705B49">
        <w:t xml:space="preserve"> Using data from 15 European Union (EU) countries, the author found a significant positive impact of broadband adoption, with a </w:t>
      </w:r>
      <w:r>
        <w:t>one</w:t>
      </w:r>
      <w:r w:rsidRPr="00705B49">
        <w:t> per cent increase producing a 0.0026</w:t>
      </w:r>
      <w:r w:rsidRPr="00705B49">
        <w:rPr>
          <w:rFonts w:eastAsia="Times New Roman" w:cs="Calibri"/>
          <w:lang w:eastAsia="en-AU"/>
        </w:rPr>
        <w:t>–</w:t>
      </w:r>
      <w:r w:rsidRPr="00705B49">
        <w:t xml:space="preserve">0.038 per cent increase in GDP growth. The results are found by solving the demand and supply equations that determine broadband investment, controlling for reverse causality. In 2018, </w:t>
      </w:r>
      <w:proofErr w:type="spellStart"/>
      <w:r w:rsidRPr="00705B49">
        <w:t>Koutroumpis</w:t>
      </w:r>
      <w:proofErr w:type="spellEnd"/>
      <w:r w:rsidRPr="00705B49">
        <w:t xml:space="preserve"> updated this research to examine broadband penetration and GDP growth for 35 OECD countries from 2002 to 2016.</w:t>
      </w:r>
      <w:r w:rsidRPr="00705B49">
        <w:rPr>
          <w:rStyle w:val="EndnoteReference"/>
        </w:rPr>
        <w:endnoteReference w:id="62"/>
      </w:r>
      <w:r w:rsidRPr="00705B49">
        <w:t xml:space="preserve"> </w:t>
      </w:r>
      <w:r w:rsidRPr="00705B49">
        <w:rPr>
          <w:rFonts w:eastAsia="Times New Roman" w:cs="Calibri"/>
          <w:lang w:eastAsia="en-AU"/>
        </w:rPr>
        <w:t>The author found a significant positive impact of broadband penetration on GDP, with a cumulative GDP increase of 4.34 per cent during this period. This increase in GDP is a result of the average penetration within the OECD sample growing from 3.8 connections per 100 people in 2002 to 31.3 connections per 100 people in 2016. This equates to an average GDP increase of 0.30 per cent per year.</w:t>
      </w:r>
    </w:p>
    <w:p w14:paraId="7736642A" w14:textId="77777777" w:rsidR="00494CC3" w:rsidRPr="00705B49" w:rsidRDefault="00494CC3" w:rsidP="00494CC3">
      <w:pPr>
        <w:textAlignment w:val="center"/>
        <w:rPr>
          <w:rFonts w:eastAsia="Times New Roman" w:cs="Calibri"/>
          <w:lang w:eastAsia="en-AU"/>
        </w:rPr>
      </w:pPr>
      <w:r w:rsidRPr="00705B49">
        <w:rPr>
          <w:rFonts w:eastAsia="Times New Roman" w:cs="Calibri"/>
          <w:lang w:eastAsia="en-AU"/>
        </w:rPr>
        <w:t xml:space="preserve">The International Telecommunication Union (ITU 2018), in their series on the ‘The impact of broadband on the economy’ applied a similar framework and found that a </w:t>
      </w:r>
      <w:r>
        <w:rPr>
          <w:rFonts w:eastAsia="Times New Roman" w:cs="Calibri"/>
          <w:lang w:eastAsia="en-AU"/>
        </w:rPr>
        <w:t>one</w:t>
      </w:r>
      <w:r w:rsidRPr="00705B49">
        <w:rPr>
          <w:rFonts w:eastAsia="Times New Roman" w:cs="Calibri"/>
          <w:lang w:eastAsia="en-AU"/>
        </w:rPr>
        <w:t> per cent increase in broadband penetration yielded a GDP increase of 0.08 per cent.</w:t>
      </w:r>
      <w:r w:rsidRPr="00705B49">
        <w:rPr>
          <w:rStyle w:val="EndnoteReference"/>
          <w:rFonts w:eastAsia="Times New Roman" w:cs="Calibri"/>
          <w:lang w:eastAsia="en-AU"/>
        </w:rPr>
        <w:endnoteReference w:id="63"/>
      </w:r>
      <w:r w:rsidRPr="00705B49">
        <w:rPr>
          <w:rFonts w:eastAsia="Times New Roman" w:cs="Calibri"/>
          <w:lang w:eastAsia="en-AU"/>
        </w:rPr>
        <w:t xml:space="preserve"> The research used a comprehensive dataset consisting of 139 countries from 2010 to 2017. The dataset was also split by region and income to focus on different outcomes. This approach provided estimates for groups of countries that are more comparable to Australia. For high-income countries (with a GDP per capita of over $USD 22,000) the effect of a </w:t>
      </w:r>
      <w:r>
        <w:rPr>
          <w:rFonts w:eastAsia="Times New Roman" w:cs="Calibri"/>
          <w:lang w:eastAsia="en-AU"/>
        </w:rPr>
        <w:t>one</w:t>
      </w:r>
      <w:r w:rsidRPr="00705B49">
        <w:rPr>
          <w:rFonts w:eastAsia="Times New Roman" w:cs="Calibri"/>
          <w:lang w:eastAsia="en-AU"/>
        </w:rPr>
        <w:t xml:space="preserve"> per cent increase in broadband penetration resulted in a 0.14 per cent increase in GDP growth. For Asia-Pacific countries the results were even more pronounced, with a </w:t>
      </w:r>
      <w:r>
        <w:rPr>
          <w:rFonts w:eastAsia="Times New Roman" w:cs="Calibri"/>
          <w:lang w:eastAsia="en-AU"/>
        </w:rPr>
        <w:t>one</w:t>
      </w:r>
      <w:r w:rsidRPr="00705B49">
        <w:rPr>
          <w:rFonts w:eastAsia="Times New Roman" w:cs="Calibri"/>
          <w:lang w:eastAsia="en-AU"/>
        </w:rPr>
        <w:t> per cent increase in broadband penetration resulting in a 0.16 per cent increase in GDP growth.</w:t>
      </w:r>
      <w:r w:rsidRPr="00705B49">
        <w:rPr>
          <w:rStyle w:val="EndnoteReference"/>
          <w:rFonts w:eastAsia="Times New Roman" w:cs="Calibri"/>
          <w:lang w:eastAsia="en-AU"/>
        </w:rPr>
        <w:endnoteReference w:id="64"/>
      </w:r>
    </w:p>
    <w:p w14:paraId="7CADA646" w14:textId="77777777" w:rsidR="00494CC3" w:rsidRPr="00705B49" w:rsidRDefault="00494CC3" w:rsidP="00494CC3">
      <w:pPr>
        <w:textAlignment w:val="center"/>
        <w:rPr>
          <w:rFonts w:eastAsia="Times New Roman" w:cs="Calibri"/>
          <w:lang w:eastAsia="en-AU"/>
        </w:rPr>
      </w:pPr>
      <w:r w:rsidRPr="00705B49">
        <w:rPr>
          <w:rFonts w:eastAsia="Times New Roman" w:cs="Calibri"/>
          <w:lang w:eastAsia="en-AU"/>
        </w:rPr>
        <w:t>Other studies using similar demand and supply approaches have found similar results. The World Bank (2009) using a sample of 120 countries from 1980 to 2006 found that a 10 per cent increase in broadband penetration</w:t>
      </w:r>
      <w:r w:rsidRPr="00705B49">
        <w:rPr>
          <w:rStyle w:val="FootnoteReference"/>
          <w:rFonts w:eastAsia="Times New Roman" w:cs="Calibri"/>
          <w:lang w:eastAsia="en-AU"/>
        </w:rPr>
        <w:footnoteReference w:id="11"/>
      </w:r>
      <w:r w:rsidRPr="00705B49">
        <w:rPr>
          <w:rFonts w:eastAsia="Times New Roman" w:cs="Calibri"/>
          <w:lang w:eastAsia="en-AU"/>
        </w:rPr>
        <w:t xml:space="preserve"> resulted in a 1.21 per cent increase in GDP per capita growth for developed countries, and a 1.38 per cent increase in GDP per capita growth for developing countries.</w:t>
      </w:r>
      <w:r w:rsidRPr="00705B49">
        <w:rPr>
          <w:rStyle w:val="EndnoteReference"/>
          <w:rFonts w:eastAsia="Times New Roman" w:cs="Calibri"/>
          <w:lang w:eastAsia="en-AU"/>
        </w:rPr>
        <w:endnoteReference w:id="65"/>
      </w:r>
      <w:r w:rsidRPr="00705B49">
        <w:rPr>
          <w:rFonts w:eastAsia="Times New Roman" w:cs="Calibri"/>
          <w:lang w:eastAsia="en-AU"/>
        </w:rPr>
        <w:t xml:space="preserve"> The authors caution that while it would appear that the scope for economic growth is greater in developing countries, these results were less statistically significant.</w:t>
      </w:r>
      <w:r w:rsidRPr="00705B49">
        <w:rPr>
          <w:rStyle w:val="FootnoteReference"/>
          <w:rFonts w:eastAsia="Times New Roman" w:cs="Calibri"/>
          <w:lang w:eastAsia="en-AU"/>
        </w:rPr>
        <w:footnoteReference w:id="12"/>
      </w:r>
      <w:r w:rsidRPr="00705B49">
        <w:rPr>
          <w:rFonts w:eastAsia="Times New Roman" w:cs="Calibri"/>
          <w:lang w:eastAsia="en-AU"/>
        </w:rPr>
        <w:t xml:space="preserve"> They suggested this was due to how broadband was a recent phenomenon in developing countries at the time and broadband penetration levels had not yet reached critical mass to generate aggregate impacts.</w:t>
      </w:r>
    </w:p>
    <w:p w14:paraId="2CD0D7EC" w14:textId="77777777" w:rsidR="00494CC3" w:rsidRPr="00705B49" w:rsidRDefault="00494CC3" w:rsidP="00494CC3">
      <w:pPr>
        <w:textAlignment w:val="center"/>
        <w:rPr>
          <w:rFonts w:eastAsia="Times New Roman" w:cs="Calibri"/>
          <w:lang w:eastAsia="en-AU"/>
        </w:rPr>
      </w:pPr>
      <w:r w:rsidRPr="00705B49">
        <w:rPr>
          <w:rFonts w:eastAsia="Times New Roman" w:cs="Calibri"/>
          <w:lang w:eastAsia="en-AU"/>
        </w:rPr>
        <w:t>A study by Gruber et al. (2013) of EU countries in 2013 focused on the economic value that broadband provides and found that use of these networks contributed 1.36 per cent to GDP annually.</w:t>
      </w:r>
      <w:r w:rsidRPr="00705B49">
        <w:rPr>
          <w:rStyle w:val="EndnoteReference"/>
          <w:rFonts w:eastAsia="Times New Roman" w:cs="Calibri"/>
          <w:lang w:eastAsia="en-AU"/>
        </w:rPr>
        <w:endnoteReference w:id="66"/>
      </w:r>
      <w:r w:rsidRPr="00705B49">
        <w:rPr>
          <w:rFonts w:eastAsia="Times New Roman" w:cs="Calibri"/>
          <w:lang w:eastAsia="en-AU"/>
        </w:rPr>
        <w:t xml:space="preserve"> In addition to the initial results, the authors also undertook a cost-benefit analysis of achieving the Digital Agenda for Europe (DAE) policy objective. The agenda targets 100 per cent broadband penetration and availability of at least 30 megabits per second (Mbps) speeds for all households by 2013, as well as the adoption of 100 Mbps speeds by at least 50 per cent of European households by 2020. The authors found that in their base case scenario, the overall benefits of achieving the policy would outweigh the costs associated with </w:t>
      </w:r>
      <w:r w:rsidRPr="00705B49">
        <w:rPr>
          <w:rFonts w:eastAsia="Times New Roman" w:cs="Calibri"/>
          <w:lang w:eastAsia="en-AU"/>
        </w:rPr>
        <w:lastRenderedPageBreak/>
        <w:t>the infrastructure build by 32 per cent for the European Union. Several other scenarios were tested under different economic conditions which also found positive returns.</w:t>
      </w:r>
    </w:p>
    <w:p w14:paraId="62F84263" w14:textId="77777777" w:rsidR="00494CC3" w:rsidRPr="00705B49" w:rsidRDefault="00494CC3" w:rsidP="00494CC3">
      <w:pPr>
        <w:textAlignment w:val="center"/>
        <w:rPr>
          <w:rFonts w:eastAsia="Times New Roman" w:cs="Calibri"/>
          <w:lang w:eastAsia="en-AU"/>
        </w:rPr>
      </w:pPr>
      <w:r w:rsidRPr="00705B49">
        <w:rPr>
          <w:rFonts w:eastAsia="Times New Roman" w:cs="Calibri"/>
          <w:lang w:eastAsia="en-AU"/>
        </w:rPr>
        <w:t xml:space="preserve">Alternative approaches have also been undertaken. </w:t>
      </w:r>
      <w:proofErr w:type="spellStart"/>
      <w:r w:rsidRPr="00705B49">
        <w:rPr>
          <w:rFonts w:eastAsia="Times New Roman" w:cs="Calibri"/>
          <w:lang w:eastAsia="en-AU"/>
        </w:rPr>
        <w:t>Czernich</w:t>
      </w:r>
      <w:proofErr w:type="spellEnd"/>
      <w:r w:rsidRPr="00705B49">
        <w:rPr>
          <w:rFonts w:eastAsia="Times New Roman" w:cs="Calibri"/>
          <w:lang w:eastAsia="en-AU"/>
        </w:rPr>
        <w:t xml:space="preserve"> et al. (2011) applied an instrumental variable approach using data for 25 OECD countries from 1996 to 2007 to calculate GDP per capita growth from changes in broadband penetration.</w:t>
      </w:r>
      <w:r w:rsidRPr="00705B49">
        <w:rPr>
          <w:rStyle w:val="EndnoteReference"/>
          <w:rFonts w:eastAsia="Times New Roman" w:cs="Calibri"/>
          <w:lang w:eastAsia="en-AU"/>
        </w:rPr>
        <w:endnoteReference w:id="67"/>
      </w:r>
      <w:r w:rsidRPr="00705B49">
        <w:rPr>
          <w:rFonts w:eastAsia="Times New Roman" w:cs="Calibri"/>
          <w:lang w:eastAsia="en-AU"/>
        </w:rPr>
        <w:t xml:space="preserve"> The authors found that a 10 per cent increase in broadband penetration equates to a 0.9</w:t>
      </w:r>
      <w:r w:rsidRPr="00705B49">
        <w:rPr>
          <w:rFonts w:eastAsia="Times New Roman" w:cs="Calibri"/>
          <w:color w:val="000000"/>
          <w:lang w:eastAsia="en-AU"/>
        </w:rPr>
        <w:t>–</w:t>
      </w:r>
      <w:r w:rsidRPr="00705B49">
        <w:rPr>
          <w:rFonts w:eastAsia="Times New Roman" w:cs="Calibri"/>
          <w:lang w:eastAsia="en-AU"/>
        </w:rPr>
        <w:t>1.5 per cent increase in annual GDP per capita growth. Data from this study was collected at a time when broadband had not yet been deployed in several countries. As a result, the authors were also interested in whether the introduction of broadband in the first instance had an effect on GDP at all. The authors found that GDP per capita was 2.7</w:t>
      </w:r>
      <w:r w:rsidRPr="00705B49">
        <w:rPr>
          <w:rFonts w:eastAsia="Times New Roman" w:cs="Calibri"/>
          <w:color w:val="000000"/>
          <w:lang w:eastAsia="en-AU"/>
        </w:rPr>
        <w:t>–</w:t>
      </w:r>
      <w:r w:rsidRPr="00705B49">
        <w:rPr>
          <w:rFonts w:eastAsia="Times New Roman" w:cs="Calibri"/>
          <w:lang w:eastAsia="en-AU"/>
        </w:rPr>
        <w:t>3.9 per cent higher on average than before the introduction of broadband in a particular country.</w:t>
      </w:r>
    </w:p>
    <w:p w14:paraId="6917BF02" w14:textId="77777777" w:rsidR="00494CC3" w:rsidRPr="00705B49" w:rsidRDefault="00494CC3" w:rsidP="00FF191D">
      <w:pPr>
        <w:pStyle w:val="Tablefigureheading"/>
      </w:pPr>
      <w:bookmarkStart w:id="273" w:name="_Ref114149351"/>
      <w:bookmarkStart w:id="274" w:name="_Toc115175411"/>
      <w:bookmarkStart w:id="275" w:name="_Toc129767642"/>
      <w:r w:rsidRPr="00705B49">
        <w:t xml:space="preserve">Table </w:t>
      </w:r>
      <w:fldSimple w:instr=" SEQ Table \* ARABIC ">
        <w:r w:rsidRPr="00705B49">
          <w:rPr>
            <w:noProof/>
          </w:rPr>
          <w:t>22</w:t>
        </w:r>
      </w:fldSimple>
      <w:bookmarkEnd w:id="273"/>
      <w:r w:rsidRPr="00705B49">
        <w:t xml:space="preserve">. </w:t>
      </w:r>
      <w:r w:rsidRPr="00705B49">
        <w:rPr>
          <w:lang w:eastAsia="en-AU"/>
        </w:rPr>
        <w:t>Selected studies showing GDP per capita impacts from a 10 per cent increase in fixed-broadband penetration</w:t>
      </w:r>
      <w:bookmarkEnd w:id="274"/>
      <w:bookmarkEnd w:id="275"/>
    </w:p>
    <w:tbl>
      <w:tblPr>
        <w:tblStyle w:val="DefaultTable1"/>
        <w:tblW w:w="9245" w:type="dxa"/>
        <w:tblLook w:val="04A0" w:firstRow="1" w:lastRow="0" w:firstColumn="1" w:lastColumn="0" w:noHBand="0" w:noVBand="1"/>
        <w:tblCaption w:val="Table 22. Selected studies showing GDP per capita impacts from a 10 per cent increase in fixed-broadband penetration"/>
      </w:tblPr>
      <w:tblGrid>
        <w:gridCol w:w="3544"/>
        <w:gridCol w:w="2693"/>
        <w:gridCol w:w="3008"/>
      </w:tblGrid>
      <w:tr w:rsidR="00494CC3" w:rsidRPr="00705B49" w14:paraId="3685E761" w14:textId="77777777" w:rsidTr="00747265">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595959" w:themeColor="text1" w:themeTint="A6"/>
            </w:tcBorders>
            <w:shd w:val="clear" w:color="auto" w:fill="081E3E"/>
            <w:noWrap/>
            <w:hideMark/>
          </w:tcPr>
          <w:p w14:paraId="4F0790E8" w14:textId="77777777" w:rsidR="00494CC3" w:rsidRPr="00705B49" w:rsidRDefault="00494CC3" w:rsidP="00494CC3">
            <w:pPr>
              <w:spacing w:before="0" w:after="0"/>
              <w:jc w:val="center"/>
              <w:rPr>
                <w:rFonts w:eastAsia="Times New Roman" w:cs="Calibri"/>
                <w:bCs/>
                <w:lang w:eastAsia="en-AU"/>
              </w:rPr>
            </w:pPr>
            <w:r w:rsidRPr="00705B49">
              <w:rPr>
                <w:rFonts w:eastAsia="Times New Roman" w:cs="Calibri"/>
                <w:bCs/>
                <w:lang w:eastAsia="en-AU"/>
              </w:rPr>
              <w:t>Study</w:t>
            </w:r>
          </w:p>
        </w:tc>
        <w:tc>
          <w:tcPr>
            <w:tcW w:w="2693" w:type="dxa"/>
            <w:tcBorders>
              <w:bottom w:val="single" w:sz="4" w:space="0" w:color="595959" w:themeColor="text1" w:themeTint="A6"/>
            </w:tcBorders>
            <w:shd w:val="clear" w:color="auto" w:fill="081E3E"/>
            <w:noWrap/>
            <w:hideMark/>
          </w:tcPr>
          <w:p w14:paraId="704F04AC" w14:textId="77777777" w:rsidR="00494CC3" w:rsidRPr="00705B49" w:rsidRDefault="00494CC3" w:rsidP="00494CC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Cs/>
                <w:lang w:eastAsia="en-AU"/>
              </w:rPr>
            </w:pPr>
            <w:r w:rsidRPr="00705B49">
              <w:rPr>
                <w:rFonts w:eastAsia="Times New Roman" w:cs="Calibri"/>
                <w:lang w:eastAsia="en-AU"/>
              </w:rPr>
              <w:t>Impact on GDP per capita growth</w:t>
            </w:r>
          </w:p>
        </w:tc>
        <w:tc>
          <w:tcPr>
            <w:tcW w:w="3008" w:type="dxa"/>
            <w:tcBorders>
              <w:bottom w:val="single" w:sz="4" w:space="0" w:color="595959" w:themeColor="text1" w:themeTint="A6"/>
            </w:tcBorders>
            <w:shd w:val="clear" w:color="auto" w:fill="081E3E"/>
            <w:noWrap/>
            <w:hideMark/>
          </w:tcPr>
          <w:p w14:paraId="22732602" w14:textId="77777777" w:rsidR="00494CC3" w:rsidRPr="00705B49" w:rsidRDefault="00494CC3" w:rsidP="00494CC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Cs/>
                <w:lang w:eastAsia="en-AU"/>
              </w:rPr>
            </w:pPr>
            <w:r w:rsidRPr="00705B49">
              <w:rPr>
                <w:rFonts w:eastAsia="Times New Roman" w:cs="Calibri"/>
                <w:bCs/>
                <w:lang w:eastAsia="en-AU"/>
              </w:rPr>
              <w:t>Sample</w:t>
            </w:r>
          </w:p>
        </w:tc>
      </w:tr>
      <w:tr w:rsidR="00494CC3" w:rsidRPr="00705B49" w14:paraId="6D233F22" w14:textId="77777777" w:rsidTr="00747265">
        <w:trPr>
          <w:trHeight w:val="287"/>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4BB3B5"/>
            </w:tcBorders>
            <w:noWrap/>
          </w:tcPr>
          <w:p w14:paraId="4A0A471C" w14:textId="77777777" w:rsidR="00494CC3" w:rsidRPr="00705B49" w:rsidRDefault="00494CC3" w:rsidP="00494CC3">
            <w:pPr>
              <w:spacing w:before="0" w:after="0"/>
              <w:rPr>
                <w:rFonts w:eastAsia="Times New Roman" w:cs="Calibri"/>
                <w:color w:val="000000"/>
                <w:lang w:eastAsia="en-AU"/>
              </w:rPr>
            </w:pPr>
            <w:proofErr w:type="spellStart"/>
            <w:r w:rsidRPr="00705B49">
              <w:rPr>
                <w:rFonts w:eastAsia="Times New Roman" w:cs="Calibri"/>
                <w:color w:val="000000"/>
                <w:lang w:eastAsia="en-AU"/>
              </w:rPr>
              <w:t>Koutroumpis</w:t>
            </w:r>
            <w:proofErr w:type="spellEnd"/>
            <w:r w:rsidRPr="00705B49">
              <w:rPr>
                <w:rFonts w:eastAsia="Times New Roman" w:cs="Calibri"/>
                <w:color w:val="000000"/>
                <w:lang w:eastAsia="en-AU"/>
              </w:rPr>
              <w:t xml:space="preserve"> (2009)</w:t>
            </w:r>
          </w:p>
        </w:tc>
        <w:tc>
          <w:tcPr>
            <w:tcW w:w="2693" w:type="dxa"/>
            <w:tcBorders>
              <w:bottom w:val="single" w:sz="4" w:space="0" w:color="4BB3B5"/>
            </w:tcBorders>
            <w:noWrap/>
          </w:tcPr>
          <w:p w14:paraId="0756D2F8"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0.26–0.38%</w:t>
            </w:r>
          </w:p>
        </w:tc>
        <w:tc>
          <w:tcPr>
            <w:tcW w:w="3008" w:type="dxa"/>
            <w:tcBorders>
              <w:bottom w:val="single" w:sz="4" w:space="0" w:color="4BB3B5"/>
            </w:tcBorders>
            <w:noWrap/>
          </w:tcPr>
          <w:p w14:paraId="28E826BF"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22 OECD countries (2002</w:t>
            </w:r>
            <w:r w:rsidRPr="00705B49">
              <w:rPr>
                <w:rFonts w:eastAsia="Times New Roman" w:cs="Calibri"/>
                <w:color w:val="auto"/>
                <w:lang w:eastAsia="en-AU"/>
              </w:rPr>
              <w:t>–</w:t>
            </w:r>
            <w:r w:rsidRPr="00705B49">
              <w:rPr>
                <w:rFonts w:eastAsia="Times New Roman" w:cs="Calibri"/>
                <w:color w:val="000000"/>
                <w:lang w:eastAsia="en-AU"/>
              </w:rPr>
              <w:t>2007)</w:t>
            </w:r>
          </w:p>
        </w:tc>
      </w:tr>
      <w:tr w:rsidR="00494CC3" w:rsidRPr="00705B49" w14:paraId="70BEA2D9" w14:textId="77777777" w:rsidTr="00747265">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tcPr>
          <w:p w14:paraId="7C39DBB5" w14:textId="77777777" w:rsidR="00494CC3" w:rsidRPr="00705B49" w:rsidRDefault="00494CC3" w:rsidP="00494CC3">
            <w:pPr>
              <w:spacing w:before="0" w:after="0"/>
              <w:rPr>
                <w:rFonts w:eastAsia="Times New Roman" w:cs="Calibri"/>
                <w:color w:val="000000"/>
                <w:lang w:eastAsia="en-AU"/>
              </w:rPr>
            </w:pPr>
            <w:r w:rsidRPr="00705B49">
              <w:rPr>
                <w:rFonts w:eastAsia="Times New Roman" w:cs="Calibri"/>
                <w:color w:val="000000"/>
                <w:lang w:eastAsia="en-AU"/>
              </w:rPr>
              <w:t>World Bank (2009) - Developing countries</w:t>
            </w:r>
          </w:p>
        </w:tc>
        <w:tc>
          <w:tcPr>
            <w:tcW w:w="2693" w:type="dxa"/>
            <w:tcBorders>
              <w:top w:val="single" w:sz="4" w:space="0" w:color="4BB3B5"/>
              <w:bottom w:val="single" w:sz="4" w:space="0" w:color="4BB3B5"/>
            </w:tcBorders>
            <w:noWrap/>
          </w:tcPr>
          <w:p w14:paraId="52AE9F5F"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1.38%</w:t>
            </w:r>
          </w:p>
        </w:tc>
        <w:tc>
          <w:tcPr>
            <w:tcW w:w="3008" w:type="dxa"/>
            <w:tcBorders>
              <w:top w:val="single" w:sz="4" w:space="0" w:color="4BB3B5"/>
              <w:bottom w:val="single" w:sz="4" w:space="0" w:color="4BB3B5"/>
            </w:tcBorders>
            <w:noWrap/>
          </w:tcPr>
          <w:p w14:paraId="1024D9A7"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120 countries (1980</w:t>
            </w:r>
            <w:r w:rsidRPr="00705B49">
              <w:rPr>
                <w:rFonts w:eastAsia="Times New Roman" w:cs="Calibri"/>
                <w:color w:val="auto"/>
                <w:lang w:eastAsia="en-AU"/>
              </w:rPr>
              <w:t>–</w:t>
            </w:r>
            <w:r w:rsidRPr="00705B49">
              <w:rPr>
                <w:rFonts w:eastAsia="Times New Roman" w:cs="Calibri"/>
                <w:color w:val="000000"/>
                <w:lang w:eastAsia="en-AU"/>
              </w:rPr>
              <w:t>2006)</w:t>
            </w:r>
          </w:p>
        </w:tc>
      </w:tr>
      <w:tr w:rsidR="00494CC3" w:rsidRPr="00705B49" w14:paraId="0422BAD8" w14:textId="77777777" w:rsidTr="00747265">
        <w:trPr>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tcPr>
          <w:p w14:paraId="5C7A4E19" w14:textId="77777777" w:rsidR="00494CC3" w:rsidRPr="00705B49" w:rsidRDefault="00494CC3" w:rsidP="00494CC3">
            <w:pPr>
              <w:spacing w:before="0" w:after="0"/>
              <w:rPr>
                <w:rFonts w:eastAsia="Times New Roman" w:cs="Calibri"/>
                <w:color w:val="000000"/>
                <w:lang w:eastAsia="en-AU"/>
              </w:rPr>
            </w:pPr>
            <w:r w:rsidRPr="00705B49">
              <w:rPr>
                <w:rFonts w:eastAsia="Times New Roman" w:cs="Calibri"/>
                <w:color w:val="000000"/>
                <w:lang w:eastAsia="en-AU"/>
              </w:rPr>
              <w:t>World Bank (2009) - Developed countries</w:t>
            </w:r>
          </w:p>
        </w:tc>
        <w:tc>
          <w:tcPr>
            <w:tcW w:w="2693" w:type="dxa"/>
            <w:tcBorders>
              <w:top w:val="single" w:sz="4" w:space="0" w:color="4BB3B5"/>
              <w:bottom w:val="single" w:sz="4" w:space="0" w:color="4BB3B5"/>
            </w:tcBorders>
            <w:noWrap/>
          </w:tcPr>
          <w:p w14:paraId="5B130B3E"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1.21%</w:t>
            </w:r>
          </w:p>
        </w:tc>
        <w:tc>
          <w:tcPr>
            <w:tcW w:w="3008" w:type="dxa"/>
            <w:tcBorders>
              <w:top w:val="single" w:sz="4" w:space="0" w:color="4BB3B5"/>
              <w:bottom w:val="single" w:sz="4" w:space="0" w:color="4BB3B5"/>
            </w:tcBorders>
            <w:noWrap/>
          </w:tcPr>
          <w:p w14:paraId="04A33486"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as above</w:t>
            </w:r>
          </w:p>
        </w:tc>
      </w:tr>
      <w:tr w:rsidR="00494CC3" w:rsidRPr="00705B49" w14:paraId="600BD7AD" w14:textId="77777777" w:rsidTr="00747265">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tcPr>
          <w:p w14:paraId="4366B2DB" w14:textId="77777777" w:rsidR="00494CC3" w:rsidRPr="00705B49" w:rsidRDefault="00494CC3" w:rsidP="00494CC3">
            <w:pPr>
              <w:spacing w:before="0" w:after="0"/>
              <w:rPr>
                <w:rFonts w:eastAsia="Times New Roman" w:cs="Calibri"/>
                <w:color w:val="000000"/>
                <w:lang w:eastAsia="en-AU"/>
              </w:rPr>
            </w:pPr>
            <w:proofErr w:type="spellStart"/>
            <w:r w:rsidRPr="00705B49">
              <w:rPr>
                <w:rFonts w:eastAsia="Times New Roman" w:cs="Calibri"/>
                <w:color w:val="000000"/>
                <w:lang w:eastAsia="en-AU"/>
              </w:rPr>
              <w:t>Czernich</w:t>
            </w:r>
            <w:proofErr w:type="spellEnd"/>
            <w:r w:rsidRPr="00705B49">
              <w:rPr>
                <w:rFonts w:eastAsia="Times New Roman" w:cs="Calibri"/>
                <w:color w:val="000000"/>
                <w:lang w:eastAsia="en-AU"/>
              </w:rPr>
              <w:t xml:space="preserve"> et al. (2011)</w:t>
            </w:r>
          </w:p>
        </w:tc>
        <w:tc>
          <w:tcPr>
            <w:tcW w:w="2693" w:type="dxa"/>
            <w:tcBorders>
              <w:top w:val="single" w:sz="4" w:space="0" w:color="4BB3B5"/>
              <w:bottom w:val="single" w:sz="4" w:space="0" w:color="4BB3B5"/>
            </w:tcBorders>
            <w:noWrap/>
          </w:tcPr>
          <w:p w14:paraId="55E852D9"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0.9–1.5%</w:t>
            </w:r>
          </w:p>
        </w:tc>
        <w:tc>
          <w:tcPr>
            <w:tcW w:w="3008" w:type="dxa"/>
            <w:tcBorders>
              <w:top w:val="single" w:sz="4" w:space="0" w:color="4BB3B5"/>
              <w:bottom w:val="single" w:sz="4" w:space="0" w:color="4BB3B5"/>
            </w:tcBorders>
            <w:noWrap/>
          </w:tcPr>
          <w:p w14:paraId="4CBF4020"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25 OECD countries (1996</w:t>
            </w:r>
            <w:r w:rsidRPr="00705B49">
              <w:rPr>
                <w:rFonts w:eastAsia="Times New Roman" w:cs="Calibri"/>
                <w:color w:val="auto"/>
                <w:lang w:eastAsia="en-AU"/>
              </w:rPr>
              <w:t>–</w:t>
            </w:r>
            <w:r w:rsidRPr="00705B49">
              <w:rPr>
                <w:rFonts w:eastAsia="Times New Roman" w:cs="Calibri"/>
                <w:color w:val="000000"/>
                <w:lang w:eastAsia="en-AU"/>
              </w:rPr>
              <w:t>2007)</w:t>
            </w:r>
          </w:p>
        </w:tc>
      </w:tr>
      <w:tr w:rsidR="00494CC3" w:rsidRPr="00705B49" w14:paraId="2222B9F5" w14:textId="77777777" w:rsidTr="00747265">
        <w:trPr>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hideMark/>
          </w:tcPr>
          <w:p w14:paraId="415DEFB3" w14:textId="77777777" w:rsidR="00494CC3" w:rsidRPr="00705B49" w:rsidRDefault="00494CC3" w:rsidP="00494CC3">
            <w:pPr>
              <w:spacing w:before="0" w:after="0"/>
              <w:rPr>
                <w:rFonts w:eastAsia="Times New Roman" w:cs="Calibri"/>
                <w:color w:val="000000"/>
                <w:lang w:eastAsia="en-AU"/>
              </w:rPr>
            </w:pPr>
            <w:proofErr w:type="spellStart"/>
            <w:r w:rsidRPr="00705B49">
              <w:rPr>
                <w:rFonts w:eastAsia="Times New Roman" w:cs="Calibri"/>
                <w:color w:val="000000"/>
                <w:lang w:eastAsia="en-AU"/>
              </w:rPr>
              <w:t>Koutroumpis</w:t>
            </w:r>
            <w:proofErr w:type="spellEnd"/>
            <w:r w:rsidRPr="00705B49">
              <w:rPr>
                <w:rFonts w:eastAsia="Times New Roman" w:cs="Calibri"/>
                <w:color w:val="000000"/>
                <w:lang w:eastAsia="en-AU"/>
              </w:rPr>
              <w:t xml:space="preserve"> (2018)</w:t>
            </w:r>
          </w:p>
        </w:tc>
        <w:tc>
          <w:tcPr>
            <w:tcW w:w="2693" w:type="dxa"/>
            <w:tcBorders>
              <w:top w:val="single" w:sz="4" w:space="0" w:color="4BB3B5"/>
              <w:bottom w:val="single" w:sz="4" w:space="0" w:color="4BB3B5"/>
            </w:tcBorders>
            <w:noWrap/>
            <w:hideMark/>
          </w:tcPr>
          <w:p w14:paraId="4BC1766D"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1.4% from an increase of 10 to 20 subscriptions</w:t>
            </w:r>
          </w:p>
        </w:tc>
        <w:tc>
          <w:tcPr>
            <w:tcW w:w="3008" w:type="dxa"/>
            <w:tcBorders>
              <w:top w:val="single" w:sz="4" w:space="0" w:color="4BB3B5"/>
              <w:bottom w:val="single" w:sz="4" w:space="0" w:color="4BB3B5"/>
            </w:tcBorders>
            <w:noWrap/>
            <w:hideMark/>
          </w:tcPr>
          <w:p w14:paraId="57E9099D"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35 OECD countries (2002</w:t>
            </w:r>
            <w:r w:rsidRPr="00705B49">
              <w:rPr>
                <w:rFonts w:eastAsia="Times New Roman" w:cs="Calibri"/>
                <w:color w:val="auto"/>
                <w:lang w:eastAsia="en-AU"/>
              </w:rPr>
              <w:t>–</w:t>
            </w:r>
            <w:r w:rsidRPr="00705B49">
              <w:rPr>
                <w:rFonts w:eastAsia="Times New Roman" w:cs="Calibri"/>
                <w:color w:val="000000"/>
                <w:lang w:eastAsia="en-AU"/>
              </w:rPr>
              <w:t>2016)</w:t>
            </w:r>
          </w:p>
        </w:tc>
      </w:tr>
      <w:tr w:rsidR="00494CC3" w:rsidRPr="00705B49" w14:paraId="0BBC5178" w14:textId="77777777" w:rsidTr="00747265">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hideMark/>
          </w:tcPr>
          <w:p w14:paraId="2944B164" w14:textId="77777777" w:rsidR="00494CC3" w:rsidRPr="00705B49" w:rsidRDefault="00494CC3" w:rsidP="00494CC3">
            <w:pPr>
              <w:spacing w:before="0" w:after="0"/>
              <w:rPr>
                <w:rFonts w:eastAsia="Times New Roman" w:cs="Calibri"/>
                <w:color w:val="000000"/>
                <w:lang w:eastAsia="en-AU"/>
              </w:rPr>
            </w:pPr>
          </w:p>
        </w:tc>
        <w:tc>
          <w:tcPr>
            <w:tcW w:w="2693" w:type="dxa"/>
            <w:tcBorders>
              <w:top w:val="single" w:sz="4" w:space="0" w:color="4BB3B5"/>
              <w:bottom w:val="single" w:sz="4" w:space="0" w:color="4BB3B5"/>
            </w:tcBorders>
            <w:noWrap/>
            <w:hideMark/>
          </w:tcPr>
          <w:p w14:paraId="4B560472"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0.82% from an increase of 20 to 30 subscriptions</w:t>
            </w:r>
          </w:p>
        </w:tc>
        <w:tc>
          <w:tcPr>
            <w:tcW w:w="3008" w:type="dxa"/>
            <w:tcBorders>
              <w:top w:val="single" w:sz="4" w:space="0" w:color="4BB3B5"/>
              <w:bottom w:val="single" w:sz="4" w:space="0" w:color="4BB3B5"/>
            </w:tcBorders>
            <w:noWrap/>
            <w:hideMark/>
          </w:tcPr>
          <w:p w14:paraId="3DF56F51"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as above</w:t>
            </w:r>
          </w:p>
        </w:tc>
      </w:tr>
      <w:tr w:rsidR="00494CC3" w:rsidRPr="00705B49" w14:paraId="6DEAA81D" w14:textId="77777777" w:rsidTr="00747265">
        <w:trPr>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hideMark/>
          </w:tcPr>
          <w:p w14:paraId="528E104E" w14:textId="77777777" w:rsidR="00494CC3" w:rsidRPr="00705B49" w:rsidRDefault="00494CC3" w:rsidP="00494CC3">
            <w:pPr>
              <w:spacing w:before="0" w:after="0"/>
              <w:rPr>
                <w:rFonts w:eastAsia="Times New Roman" w:cs="Calibri"/>
                <w:color w:val="000000"/>
                <w:lang w:eastAsia="en-AU"/>
              </w:rPr>
            </w:pPr>
            <w:r w:rsidRPr="00705B49">
              <w:rPr>
                <w:rFonts w:eastAsia="Times New Roman" w:cs="Calibri"/>
                <w:color w:val="000000"/>
                <w:lang w:eastAsia="en-AU"/>
              </w:rPr>
              <w:t>ITU (2018) - All countries</w:t>
            </w:r>
          </w:p>
        </w:tc>
        <w:tc>
          <w:tcPr>
            <w:tcW w:w="2693" w:type="dxa"/>
            <w:tcBorders>
              <w:top w:val="single" w:sz="4" w:space="0" w:color="4BB3B5"/>
              <w:bottom w:val="single" w:sz="4" w:space="0" w:color="4BB3B5"/>
            </w:tcBorders>
            <w:noWrap/>
            <w:hideMark/>
          </w:tcPr>
          <w:p w14:paraId="2F146484"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0.77%</w:t>
            </w:r>
          </w:p>
        </w:tc>
        <w:tc>
          <w:tcPr>
            <w:tcW w:w="3008" w:type="dxa"/>
            <w:tcBorders>
              <w:top w:val="single" w:sz="4" w:space="0" w:color="4BB3B5"/>
              <w:bottom w:val="single" w:sz="4" w:space="0" w:color="4BB3B5"/>
            </w:tcBorders>
            <w:noWrap/>
            <w:hideMark/>
          </w:tcPr>
          <w:p w14:paraId="3C60F02C"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139 countries (2010</w:t>
            </w:r>
            <w:r w:rsidRPr="00705B49">
              <w:rPr>
                <w:rFonts w:eastAsia="Times New Roman" w:cs="Calibri"/>
                <w:color w:val="auto"/>
                <w:lang w:eastAsia="en-AU"/>
              </w:rPr>
              <w:t>–</w:t>
            </w:r>
            <w:r w:rsidRPr="00705B49">
              <w:rPr>
                <w:rFonts w:eastAsia="Times New Roman" w:cs="Calibri"/>
                <w:color w:val="000000"/>
                <w:lang w:eastAsia="en-AU"/>
              </w:rPr>
              <w:t>2017)</w:t>
            </w:r>
          </w:p>
        </w:tc>
      </w:tr>
      <w:tr w:rsidR="00494CC3" w:rsidRPr="00705B49" w14:paraId="3931CFBD" w14:textId="77777777" w:rsidTr="00747265">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hideMark/>
          </w:tcPr>
          <w:p w14:paraId="5E406276" w14:textId="77777777" w:rsidR="00494CC3" w:rsidRPr="00705B49" w:rsidRDefault="00494CC3" w:rsidP="00494CC3">
            <w:pPr>
              <w:spacing w:before="0" w:after="0"/>
              <w:rPr>
                <w:rFonts w:eastAsia="Times New Roman" w:cs="Calibri"/>
                <w:color w:val="000000"/>
                <w:lang w:eastAsia="en-AU"/>
              </w:rPr>
            </w:pPr>
            <w:r w:rsidRPr="00705B49">
              <w:rPr>
                <w:rFonts w:eastAsia="Times New Roman" w:cs="Calibri"/>
                <w:color w:val="000000"/>
                <w:lang w:eastAsia="en-AU"/>
              </w:rPr>
              <w:t>ITU (2019) - Asia-Pacific region</w:t>
            </w:r>
          </w:p>
        </w:tc>
        <w:tc>
          <w:tcPr>
            <w:tcW w:w="2693" w:type="dxa"/>
            <w:tcBorders>
              <w:top w:val="single" w:sz="4" w:space="0" w:color="4BB3B5"/>
              <w:bottom w:val="single" w:sz="4" w:space="0" w:color="4BB3B5"/>
            </w:tcBorders>
            <w:noWrap/>
            <w:hideMark/>
          </w:tcPr>
          <w:p w14:paraId="670E2181"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1.63%</w:t>
            </w:r>
          </w:p>
        </w:tc>
        <w:tc>
          <w:tcPr>
            <w:tcW w:w="3008" w:type="dxa"/>
            <w:tcBorders>
              <w:top w:val="single" w:sz="4" w:space="0" w:color="4BB3B5"/>
              <w:bottom w:val="single" w:sz="4" w:space="0" w:color="4BB3B5"/>
            </w:tcBorders>
            <w:noWrap/>
            <w:hideMark/>
          </w:tcPr>
          <w:p w14:paraId="24284D7F" w14:textId="77777777" w:rsidR="00494CC3" w:rsidRPr="00705B49" w:rsidRDefault="00494CC3" w:rsidP="00494CC3">
            <w:pPr>
              <w:spacing w:before="0" w:after="0"/>
              <w:cnfStyle w:val="000000010000" w:firstRow="0" w:lastRow="0" w:firstColumn="0" w:lastColumn="0" w:oddVBand="0" w:evenVBand="0" w:oddHBand="0" w:evenHBand="1"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18 countries (2010</w:t>
            </w:r>
            <w:r w:rsidRPr="00705B49">
              <w:rPr>
                <w:rFonts w:eastAsia="Times New Roman" w:cs="Calibri"/>
                <w:color w:val="auto"/>
                <w:lang w:eastAsia="en-AU"/>
              </w:rPr>
              <w:t>–</w:t>
            </w:r>
            <w:r w:rsidRPr="00705B49">
              <w:rPr>
                <w:rFonts w:eastAsia="Times New Roman" w:cs="Calibri"/>
                <w:color w:val="000000"/>
                <w:lang w:eastAsia="en-AU"/>
              </w:rPr>
              <w:t>2017)</w:t>
            </w:r>
          </w:p>
        </w:tc>
      </w:tr>
      <w:tr w:rsidR="00494CC3" w:rsidRPr="00705B49" w14:paraId="4B247973" w14:textId="77777777" w:rsidTr="00747265">
        <w:trPr>
          <w:trHeight w:val="28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4BB3B5"/>
              <w:bottom w:val="single" w:sz="4" w:space="0" w:color="4BB3B5"/>
            </w:tcBorders>
            <w:noWrap/>
            <w:hideMark/>
          </w:tcPr>
          <w:p w14:paraId="46FB4DE4" w14:textId="77777777" w:rsidR="00494CC3" w:rsidRPr="00705B49" w:rsidRDefault="00494CC3" w:rsidP="00494CC3">
            <w:pPr>
              <w:spacing w:before="0" w:after="0"/>
              <w:rPr>
                <w:rFonts w:eastAsia="Times New Roman" w:cs="Calibri"/>
                <w:color w:val="000000"/>
                <w:lang w:eastAsia="en-AU"/>
              </w:rPr>
            </w:pPr>
            <w:r w:rsidRPr="00705B49">
              <w:rPr>
                <w:rFonts w:eastAsia="Times New Roman" w:cs="Calibri"/>
                <w:color w:val="000000"/>
                <w:lang w:eastAsia="en-AU"/>
              </w:rPr>
              <w:t>ITU (2018) - High-income countries</w:t>
            </w:r>
          </w:p>
        </w:tc>
        <w:tc>
          <w:tcPr>
            <w:tcW w:w="2693" w:type="dxa"/>
            <w:tcBorders>
              <w:top w:val="single" w:sz="4" w:space="0" w:color="4BB3B5"/>
              <w:bottom w:val="single" w:sz="4" w:space="0" w:color="4BB3B5"/>
            </w:tcBorders>
            <w:noWrap/>
            <w:hideMark/>
          </w:tcPr>
          <w:p w14:paraId="31E80191"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1.40%</w:t>
            </w:r>
          </w:p>
        </w:tc>
        <w:tc>
          <w:tcPr>
            <w:tcW w:w="3008" w:type="dxa"/>
            <w:tcBorders>
              <w:top w:val="single" w:sz="4" w:space="0" w:color="4BB3B5"/>
              <w:bottom w:val="single" w:sz="4" w:space="0" w:color="4BB3B5"/>
            </w:tcBorders>
            <w:noWrap/>
            <w:hideMark/>
          </w:tcPr>
          <w:p w14:paraId="2C90D412" w14:textId="77777777" w:rsidR="00494CC3" w:rsidRPr="00705B49" w:rsidRDefault="00494CC3" w:rsidP="00494CC3">
            <w:pPr>
              <w:spacing w:before="0"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AU"/>
              </w:rPr>
            </w:pPr>
            <w:r w:rsidRPr="00705B49">
              <w:rPr>
                <w:rFonts w:eastAsia="Times New Roman" w:cs="Calibri"/>
                <w:color w:val="000000"/>
                <w:lang w:eastAsia="en-AU"/>
              </w:rPr>
              <w:t>50 countries (2010</w:t>
            </w:r>
            <w:r w:rsidRPr="00705B49">
              <w:rPr>
                <w:rFonts w:eastAsia="Times New Roman" w:cs="Calibri"/>
                <w:color w:val="auto"/>
                <w:lang w:eastAsia="en-AU"/>
              </w:rPr>
              <w:t>–</w:t>
            </w:r>
            <w:r w:rsidRPr="00705B49">
              <w:rPr>
                <w:rFonts w:eastAsia="Times New Roman" w:cs="Calibri"/>
                <w:color w:val="000000"/>
                <w:lang w:eastAsia="en-AU"/>
              </w:rPr>
              <w:t>2017)</w:t>
            </w:r>
          </w:p>
        </w:tc>
      </w:tr>
    </w:tbl>
    <w:p w14:paraId="5154127C" w14:textId="77777777" w:rsidR="00494CC3" w:rsidRPr="00705B49" w:rsidRDefault="00494CC3" w:rsidP="00494CC3">
      <w:pPr>
        <w:pStyle w:val="Sourcenotes"/>
      </w:pPr>
      <w:r w:rsidRPr="00705B49">
        <w:rPr>
          <w:lang w:val="en-AU"/>
        </w:rPr>
        <w:t xml:space="preserve">Source: BCARR analysis of various sources. </w:t>
      </w:r>
      <w:r w:rsidRPr="00705B49">
        <w:t xml:space="preserve">Penetration is defined as subscribers per 100 people. </w:t>
      </w:r>
      <w:proofErr w:type="spellStart"/>
      <w:r w:rsidRPr="00705B49">
        <w:t>Koutroumpis</w:t>
      </w:r>
      <w:proofErr w:type="spellEnd"/>
      <w:r w:rsidRPr="00705B49">
        <w:t xml:space="preserve"> (2018) uses aggregate GDP growth </w:t>
      </w:r>
      <w:r w:rsidRPr="00705B49">
        <w:rPr>
          <w:lang w:val="en-AU"/>
        </w:rPr>
        <w:t>rather than</w:t>
      </w:r>
      <w:r w:rsidRPr="00705B49">
        <w:t xml:space="preserve"> GDP per capita</w:t>
      </w:r>
      <w:r w:rsidRPr="00705B49">
        <w:rPr>
          <w:lang w:val="en-AU"/>
        </w:rPr>
        <w:t xml:space="preserve"> growth</w:t>
      </w:r>
      <w:r w:rsidRPr="00705B49">
        <w:t>.</w:t>
      </w:r>
    </w:p>
    <w:p w14:paraId="2155F37E" w14:textId="426EA6F3" w:rsidR="00494CC3" w:rsidRPr="00705B49" w:rsidRDefault="00494CC3" w:rsidP="00494CC3">
      <w:pPr>
        <w:pStyle w:val="Box2Heading"/>
        <w:keepNext/>
        <w:ind w:left="284" w:right="284"/>
        <w:rPr>
          <w:lang w:val="en-AU"/>
        </w:rPr>
      </w:pPr>
      <w:bookmarkStart w:id="276" w:name="_Hlk119396529"/>
      <w:bookmarkStart w:id="277" w:name="_Toc119052301"/>
      <w:bookmarkStart w:id="278" w:name="_Toc119058156"/>
      <w:r w:rsidRPr="00705B49">
        <w:rPr>
          <w:lang w:val="en-AU"/>
        </w:rPr>
        <w:t>Box 2: Firm</w:t>
      </w:r>
      <w:r w:rsidR="00261D33">
        <w:rPr>
          <w:lang w:val="en-AU"/>
        </w:rPr>
        <w:t>-</w:t>
      </w:r>
      <w:r w:rsidRPr="00705B49">
        <w:rPr>
          <w:lang w:val="en-AU"/>
        </w:rPr>
        <w:t xml:space="preserve">level impacts of broadband </w:t>
      </w:r>
    </w:p>
    <w:p w14:paraId="796AF772" w14:textId="77777777" w:rsidR="00494CC3" w:rsidRPr="00705B49" w:rsidRDefault="00494CC3" w:rsidP="00494CC3">
      <w:pPr>
        <w:pStyle w:val="Box2Heading"/>
        <w:keepNext/>
        <w:ind w:left="284" w:right="284"/>
      </w:pPr>
      <w:r w:rsidRPr="00705B49">
        <w:rPr>
          <w:b w:val="0"/>
          <w:lang w:val="en-AU"/>
        </w:rPr>
        <w:t xml:space="preserve">At a firm level, studies provide mixed findings in relation to the impact of broadband on productivity. Studies done by </w:t>
      </w:r>
      <w:proofErr w:type="spellStart"/>
      <w:r w:rsidRPr="00705B49">
        <w:rPr>
          <w:b w:val="0"/>
          <w:lang w:val="en-AU"/>
        </w:rPr>
        <w:t>Canzian</w:t>
      </w:r>
      <w:proofErr w:type="spellEnd"/>
      <w:r w:rsidRPr="00705B49">
        <w:rPr>
          <w:b w:val="0"/>
          <w:lang w:val="en-AU"/>
        </w:rPr>
        <w:t xml:space="preserve"> et al</w:t>
      </w:r>
      <w:r w:rsidRPr="00705B49">
        <w:rPr>
          <w:b w:val="0"/>
        </w:rPr>
        <w:t>. (2019)</w:t>
      </w:r>
      <w:r w:rsidRPr="00705B49">
        <w:rPr>
          <w:rStyle w:val="EndnoteReference"/>
          <w:b w:val="0"/>
          <w:lang w:val="en-US"/>
        </w:rPr>
        <w:endnoteReference w:id="68"/>
      </w:r>
      <w:r w:rsidRPr="00705B49">
        <w:rPr>
          <w:b w:val="0"/>
        </w:rPr>
        <w:t xml:space="preserve"> in Italy and Ipsos MORI (2018)</w:t>
      </w:r>
      <w:r w:rsidRPr="00705B49">
        <w:rPr>
          <w:rStyle w:val="EndnoteReference"/>
          <w:b w:val="0"/>
          <w:lang w:val="en-US"/>
        </w:rPr>
        <w:endnoteReference w:id="69"/>
      </w:r>
      <w:r w:rsidRPr="00705B49">
        <w:rPr>
          <w:b w:val="0"/>
        </w:rPr>
        <w:t xml:space="preserve"> in the UK indicate that firms adopting high speed broadband experience an overall increase in productivity. This reaffirms the findings of older studies which suggest that productivity gains of up to 10 per cent may result from the adoption of broadband.</w:t>
      </w:r>
      <w:r w:rsidRPr="00705B49">
        <w:rPr>
          <w:rStyle w:val="EndnoteReference"/>
          <w:b w:val="0"/>
          <w:lang w:val="en-US"/>
        </w:rPr>
        <w:endnoteReference w:id="70"/>
      </w:r>
      <w:r w:rsidRPr="00705B49">
        <w:rPr>
          <w:b w:val="0"/>
        </w:rPr>
        <w:t xml:space="preserve"> However, other studies </w:t>
      </w:r>
      <w:r w:rsidRPr="00705B49">
        <w:rPr>
          <w:b w:val="0"/>
          <w:lang w:val="en-US"/>
        </w:rPr>
        <w:t>do not find a link between b</w:t>
      </w:r>
      <w:proofErr w:type="spellStart"/>
      <w:r w:rsidRPr="00705B49">
        <w:rPr>
          <w:b w:val="0"/>
        </w:rPr>
        <w:t>roadband</w:t>
      </w:r>
      <w:proofErr w:type="spellEnd"/>
      <w:r w:rsidRPr="00705B49">
        <w:rPr>
          <w:b w:val="0"/>
        </w:rPr>
        <w:t xml:space="preserve"> adoption </w:t>
      </w:r>
      <w:r w:rsidRPr="00705B49">
        <w:rPr>
          <w:b w:val="0"/>
          <w:lang w:val="en-US"/>
        </w:rPr>
        <w:t>and</w:t>
      </w:r>
      <w:r w:rsidRPr="00705B49">
        <w:rPr>
          <w:b w:val="0"/>
        </w:rPr>
        <w:t xml:space="preserve"> productivity</w:t>
      </w:r>
      <w:r w:rsidRPr="00705B49">
        <w:rPr>
          <w:b w:val="0"/>
          <w:lang w:val="en-US"/>
        </w:rPr>
        <w:t>,</w:t>
      </w:r>
      <w:r w:rsidRPr="00705B49">
        <w:rPr>
          <w:rStyle w:val="EndnoteReference"/>
          <w:b w:val="0"/>
          <w:lang w:val="en-US"/>
        </w:rPr>
        <w:endnoteReference w:id="71"/>
      </w:r>
      <w:r w:rsidRPr="00705B49">
        <w:rPr>
          <w:b w:val="0"/>
        </w:rPr>
        <w:t xml:space="preserve"> </w:t>
      </w:r>
      <w:r w:rsidRPr="00705B49">
        <w:rPr>
          <w:b w:val="0"/>
          <w:lang w:val="en-US"/>
        </w:rPr>
        <w:t>or that the impacts are selective – boosting</w:t>
      </w:r>
      <w:r w:rsidRPr="00705B49">
        <w:rPr>
          <w:b w:val="0"/>
        </w:rPr>
        <w:t xml:space="preserve"> productivity only </w:t>
      </w:r>
      <w:r w:rsidRPr="00705B49">
        <w:rPr>
          <w:b w:val="0"/>
          <w:lang w:val="en-US"/>
        </w:rPr>
        <w:t>for firms that also invest in their management capability,</w:t>
      </w:r>
      <w:r w:rsidRPr="00705B49">
        <w:rPr>
          <w:rStyle w:val="EndnoteReference"/>
          <w:b w:val="0"/>
          <w:lang w:val="en-US"/>
        </w:rPr>
        <w:endnoteReference w:id="72"/>
      </w:r>
      <w:r w:rsidRPr="00705B49">
        <w:rPr>
          <w:b w:val="0"/>
          <w:lang w:val="en-US"/>
        </w:rPr>
        <w:t xml:space="preserve"> or benefiting firms </w:t>
      </w:r>
      <w:r w:rsidRPr="00705B49">
        <w:rPr>
          <w:b w:val="0"/>
        </w:rPr>
        <w:t>using skilled labour</w:t>
      </w:r>
      <w:r w:rsidRPr="00705B49">
        <w:rPr>
          <w:b w:val="0"/>
          <w:lang w:val="en-US"/>
        </w:rPr>
        <w:t xml:space="preserve"> but having </w:t>
      </w:r>
      <w:r w:rsidRPr="00705B49">
        <w:rPr>
          <w:b w:val="0"/>
        </w:rPr>
        <w:t xml:space="preserve">no impact </w:t>
      </w:r>
      <w:r w:rsidRPr="00705B49">
        <w:rPr>
          <w:b w:val="0"/>
          <w:lang w:val="en-US"/>
        </w:rPr>
        <w:t>for</w:t>
      </w:r>
      <w:r w:rsidRPr="00705B49">
        <w:rPr>
          <w:b w:val="0"/>
        </w:rPr>
        <w:t xml:space="preserve"> </w:t>
      </w:r>
      <w:r w:rsidRPr="00705B49">
        <w:rPr>
          <w:b w:val="0"/>
          <w:lang w:val="en-US"/>
        </w:rPr>
        <w:t>firms</w:t>
      </w:r>
      <w:r w:rsidRPr="00705B49">
        <w:rPr>
          <w:b w:val="0"/>
        </w:rPr>
        <w:t xml:space="preserve"> using unskilled labour.</w:t>
      </w:r>
      <w:r w:rsidRPr="00705B49">
        <w:rPr>
          <w:rStyle w:val="EndnoteReference"/>
          <w:b w:val="0"/>
          <w:lang w:val="en-US"/>
        </w:rPr>
        <w:endnoteReference w:id="73"/>
      </w:r>
    </w:p>
    <w:p w14:paraId="17A3C5FB" w14:textId="77777777" w:rsidR="00494CC3" w:rsidRPr="00705B49" w:rsidRDefault="00494CC3" w:rsidP="00756E90">
      <w:pPr>
        <w:pStyle w:val="Heading4"/>
      </w:pPr>
      <w:bookmarkStart w:id="279" w:name="_Toc121932290"/>
      <w:bookmarkStart w:id="280" w:name="_Toc124169163"/>
      <w:bookmarkStart w:id="281" w:name="_Toc127374106"/>
      <w:bookmarkStart w:id="282" w:name="_Toc129777711"/>
      <w:bookmarkEnd w:id="276"/>
      <w:r w:rsidRPr="00705B49">
        <w:t>Impacts depend on the level of broadband penetration</w:t>
      </w:r>
      <w:bookmarkEnd w:id="277"/>
      <w:bookmarkEnd w:id="278"/>
      <w:bookmarkEnd w:id="279"/>
      <w:bookmarkEnd w:id="280"/>
      <w:bookmarkEnd w:id="281"/>
      <w:bookmarkEnd w:id="282"/>
    </w:p>
    <w:p w14:paraId="00EEE183" w14:textId="77777777" w:rsidR="00494CC3" w:rsidRPr="00705B49" w:rsidRDefault="00494CC3" w:rsidP="00494CC3">
      <w:r w:rsidRPr="00705B49">
        <w:t>While these studies show a positive impact of broadband penetration on economic growth, the nature of the relationship varies depending on just how widespread broadband is within a region. Generally, there is a curve whereby very low levels of broadband penetration have a small impact on economic growth. This impact gets larger as broadband penetration expands, with improvements diminishing as broadband penetration nears saturation.</w:t>
      </w:r>
      <w:r w:rsidRPr="00705B49">
        <w:rPr>
          <w:rStyle w:val="EndnoteReference"/>
        </w:rPr>
        <w:endnoteReference w:id="74"/>
      </w:r>
    </w:p>
    <w:p w14:paraId="674E2253" w14:textId="77777777" w:rsidR="00494CC3" w:rsidRPr="00705B49" w:rsidRDefault="00494CC3" w:rsidP="00494CC3">
      <w:pPr>
        <w:rPr>
          <w:lang w:eastAsia="en-AU"/>
        </w:rPr>
      </w:pPr>
      <w:r w:rsidRPr="00705B49">
        <w:rPr>
          <w:rFonts w:eastAsia="Times New Roman"/>
          <w:lang w:eastAsia="en-AU"/>
        </w:rPr>
        <w:lastRenderedPageBreak/>
        <w:t xml:space="preserve">By splitting the sample of countries by income or region, the econometric studies show that the impacts of broadband will be different in each country, as demonstrated by the ITU and World Bank studies. </w:t>
      </w:r>
      <w:proofErr w:type="spellStart"/>
      <w:r w:rsidRPr="00705B49">
        <w:rPr>
          <w:rFonts w:eastAsia="Times New Roman"/>
          <w:lang w:eastAsia="en-AU"/>
        </w:rPr>
        <w:t>Czernich</w:t>
      </w:r>
      <w:proofErr w:type="spellEnd"/>
      <w:r w:rsidRPr="00705B49">
        <w:rPr>
          <w:rFonts w:eastAsia="Times New Roman"/>
          <w:lang w:eastAsia="en-AU"/>
        </w:rPr>
        <w:t xml:space="preserve"> et al. (2011) also noted this by including dummy variables in their model for when a country has reached 10 per cent and 20 per cent broadband penetration. The results showed that a significant broadband effect emerges only when the 10 per cent threshold is passed but that no additional benefits emerge beyond 20 per cent. </w:t>
      </w:r>
      <w:proofErr w:type="spellStart"/>
      <w:r w:rsidRPr="00705B49">
        <w:rPr>
          <w:rFonts w:eastAsia="Times New Roman"/>
          <w:lang w:eastAsia="en-AU"/>
        </w:rPr>
        <w:t>Koutroumpis</w:t>
      </w:r>
      <w:proofErr w:type="spellEnd"/>
      <w:r w:rsidRPr="00705B49">
        <w:rPr>
          <w:rFonts w:eastAsia="Times New Roman"/>
          <w:lang w:eastAsia="en-AU"/>
        </w:rPr>
        <w:t xml:space="preserve"> (2018) also found diminished benefits from broadband penetration beyond a certain level. An increase in subscriptions per 100 people from 10 to 20 results in GDP growth of 1.40 per cent, whereas an increase from 20 to 30 subscriptions results in GDP growth of only 0.82 per cent.</w:t>
      </w:r>
    </w:p>
    <w:p w14:paraId="3B87ABC9" w14:textId="77777777" w:rsidR="00494CC3" w:rsidRPr="00705B49" w:rsidRDefault="00494CC3" w:rsidP="00756E90">
      <w:pPr>
        <w:pStyle w:val="Heading4"/>
      </w:pPr>
      <w:bookmarkStart w:id="283" w:name="_Toc85468939"/>
      <w:bookmarkStart w:id="284" w:name="_Toc119052302"/>
      <w:bookmarkStart w:id="285" w:name="_Toc119058157"/>
      <w:bookmarkStart w:id="286" w:name="_Toc121932291"/>
      <w:bookmarkStart w:id="287" w:name="_Toc124169164"/>
      <w:bookmarkStart w:id="288" w:name="_Toc127374107"/>
      <w:bookmarkStart w:id="289" w:name="_Toc129777712"/>
      <w:r w:rsidRPr="00705B49">
        <w:t>The inclusion of speed</w:t>
      </w:r>
      <w:bookmarkEnd w:id="283"/>
      <w:bookmarkEnd w:id="284"/>
      <w:bookmarkEnd w:id="285"/>
      <w:bookmarkEnd w:id="286"/>
      <w:bookmarkEnd w:id="287"/>
      <w:bookmarkEnd w:id="288"/>
      <w:bookmarkEnd w:id="289"/>
    </w:p>
    <w:p w14:paraId="5ED616F5" w14:textId="77777777" w:rsidR="00494CC3" w:rsidRPr="00705B49" w:rsidRDefault="00494CC3" w:rsidP="00494CC3">
      <w:pPr>
        <w:rPr>
          <w:rFonts w:eastAsia="Times New Roman" w:cs="Calibri"/>
          <w:lang w:eastAsia="en-AU"/>
        </w:rPr>
      </w:pPr>
      <w:r w:rsidRPr="00705B49">
        <w:rPr>
          <w:rFonts w:eastAsia="Times New Roman" w:cs="Calibri"/>
          <w:lang w:eastAsia="en-AU"/>
        </w:rPr>
        <w:t xml:space="preserve">More recent studies have also examined the impact of faster broadband speeds on economic growth. Speed represents a broadband quality indicator in the country’s production function. If </w:t>
      </w:r>
      <w:r>
        <w:rPr>
          <w:rFonts w:eastAsia="Times New Roman" w:cs="Calibri"/>
          <w:lang w:eastAsia="en-AU"/>
        </w:rPr>
        <w:t>2</w:t>
      </w:r>
      <w:r w:rsidRPr="00705B49">
        <w:rPr>
          <w:rFonts w:eastAsia="Times New Roman" w:cs="Calibri"/>
          <w:lang w:eastAsia="en-AU"/>
        </w:rPr>
        <w:t xml:space="preserve"> regions have comparable levels of broadband penetration but one region has a much faster average broadband speed, it is expected that this region will be able to better utilise some technologies which could increase economic output. While speed alone does not address all the quality aspects of broadband it is a key feature that enables activities that enhance economic outcomes such as information sharing, e-commerce, worker mobility, data analytics and cloud computing, as well as reduce</w:t>
      </w:r>
      <w:r>
        <w:rPr>
          <w:rFonts w:eastAsia="Times New Roman" w:cs="Calibri"/>
          <w:lang w:eastAsia="en-AU"/>
        </w:rPr>
        <w:t>d</w:t>
      </w:r>
      <w:r w:rsidRPr="00705B49">
        <w:rPr>
          <w:rFonts w:eastAsia="Times New Roman" w:cs="Calibri"/>
          <w:lang w:eastAsia="en-AU"/>
        </w:rPr>
        <w:t xml:space="preserve"> firm costs. </w:t>
      </w:r>
      <w:r w:rsidRPr="00705B49">
        <w:t>The inclusion of speed in these studies means that the economic benefits provided by such activities can still be captured even when broadband penetration approaches near complete diffusion. Economic</w:t>
      </w:r>
      <w:r w:rsidRPr="00705B49">
        <w:rPr>
          <w:rFonts w:eastAsia="Times New Roman" w:cs="Calibri"/>
          <w:lang w:eastAsia="en-AU"/>
        </w:rPr>
        <w:t xml:space="preserve"> studies which examine speed are shown in </w:t>
      </w:r>
      <w:r w:rsidRPr="00705B49">
        <w:rPr>
          <w:rFonts w:eastAsia="Times New Roman" w:cs="Calibri"/>
          <w:lang w:eastAsia="en-AU"/>
        </w:rPr>
        <w:fldChar w:fldCharType="begin"/>
      </w:r>
      <w:r w:rsidRPr="00705B49">
        <w:rPr>
          <w:rFonts w:eastAsia="Times New Roman" w:cs="Calibri"/>
          <w:lang w:eastAsia="en-AU"/>
        </w:rPr>
        <w:instrText xml:space="preserve"> REF _Ref114149560 \h </w:instrText>
      </w:r>
      <w:r>
        <w:rPr>
          <w:rFonts w:eastAsia="Times New Roman" w:cs="Calibri"/>
          <w:lang w:eastAsia="en-AU"/>
        </w:rPr>
        <w:instrText xml:space="preserve"> \* MERGEFORMAT </w:instrText>
      </w:r>
      <w:r w:rsidRPr="00705B49">
        <w:rPr>
          <w:rFonts w:eastAsia="Times New Roman" w:cs="Calibri"/>
          <w:lang w:eastAsia="en-AU"/>
        </w:rPr>
      </w:r>
      <w:r w:rsidRPr="00705B49">
        <w:rPr>
          <w:rFonts w:eastAsia="Times New Roman" w:cs="Calibri"/>
          <w:lang w:eastAsia="en-AU"/>
        </w:rPr>
        <w:fldChar w:fldCharType="separate"/>
      </w:r>
      <w:r w:rsidRPr="00705B49">
        <w:t xml:space="preserve">Table </w:t>
      </w:r>
      <w:r w:rsidRPr="00705B49">
        <w:rPr>
          <w:noProof/>
        </w:rPr>
        <w:t>23</w:t>
      </w:r>
      <w:r w:rsidRPr="00705B49">
        <w:rPr>
          <w:rFonts w:eastAsia="Times New Roman" w:cs="Calibri"/>
          <w:lang w:eastAsia="en-AU"/>
        </w:rPr>
        <w:fldChar w:fldCharType="end"/>
      </w:r>
      <w:r w:rsidRPr="00705B49">
        <w:rPr>
          <w:rFonts w:eastAsia="Times New Roman" w:cs="Calibri"/>
          <w:lang w:eastAsia="en-AU"/>
        </w:rPr>
        <w:t>.</w:t>
      </w:r>
    </w:p>
    <w:p w14:paraId="563BA625" w14:textId="77777777" w:rsidR="00494CC3" w:rsidRPr="00705B49" w:rsidRDefault="00494CC3" w:rsidP="00494CC3">
      <w:r w:rsidRPr="00705B49">
        <w:t>Few studies so far have focused on broadband speed as a driver of economic growth. Speed has been applied using different forms – from including a speed variable in the production function, to splitting the dataset using different speed tiers, to applying the adoption of different broadband technologies (such as fibre) as a proxy for improved broadband speed and quality over copper-based technologies.</w:t>
      </w:r>
    </w:p>
    <w:p w14:paraId="4961BDEC" w14:textId="77777777" w:rsidR="00494CC3" w:rsidRPr="00705B49" w:rsidRDefault="00494CC3" w:rsidP="00494CC3">
      <w:pPr>
        <w:rPr>
          <w:rFonts w:eastAsia="Times New Roman" w:cs="Calibri"/>
          <w:lang w:eastAsia="en-AU"/>
        </w:rPr>
      </w:pPr>
      <w:r w:rsidRPr="00705B49">
        <w:rPr>
          <w:rFonts w:eastAsia="Times New Roman" w:cs="Calibri"/>
          <w:lang w:eastAsia="en-AU"/>
        </w:rPr>
        <w:t xml:space="preserve">One of the first attempts to measure the impact on broadband speed on economic growth was by </w:t>
      </w:r>
      <w:proofErr w:type="spellStart"/>
      <w:r w:rsidRPr="00705B49">
        <w:rPr>
          <w:rFonts w:eastAsia="Times New Roman" w:cs="Calibri"/>
          <w:lang w:eastAsia="en-AU"/>
        </w:rPr>
        <w:t>Rohman</w:t>
      </w:r>
      <w:proofErr w:type="spellEnd"/>
      <w:r w:rsidRPr="00705B49">
        <w:rPr>
          <w:rFonts w:eastAsia="Times New Roman" w:cs="Calibri"/>
          <w:lang w:eastAsia="en-AU"/>
        </w:rPr>
        <w:t xml:space="preserve"> and Bohlin (2012) using OECD data from 33 countries over the period 2008 to 2010 and a proprietary speed testing dataset. Their findings suggest that doubling the broadband speed would contribute an additional 0.3 per cent to annual GDP growth (the average speed in the sample was 8.3 Mbps).</w:t>
      </w:r>
      <w:r w:rsidRPr="00705B49">
        <w:rPr>
          <w:rStyle w:val="EndnoteReference"/>
          <w:rFonts w:eastAsia="Times New Roman" w:cs="Calibri"/>
          <w:lang w:eastAsia="en-AU"/>
        </w:rPr>
        <w:endnoteReference w:id="75"/>
      </w:r>
      <w:r w:rsidRPr="00705B49">
        <w:rPr>
          <w:rFonts w:eastAsia="Times New Roman" w:cs="Calibri"/>
          <w:lang w:eastAsia="en-AU"/>
        </w:rPr>
        <w:t xml:space="preserve"> </w:t>
      </w:r>
      <w:proofErr w:type="spellStart"/>
      <w:r w:rsidRPr="00705B49">
        <w:rPr>
          <w:rFonts w:eastAsia="Times New Roman" w:cs="Calibri"/>
          <w:lang w:eastAsia="en-AU"/>
        </w:rPr>
        <w:t>Kongaut</w:t>
      </w:r>
      <w:proofErr w:type="spellEnd"/>
      <w:r w:rsidRPr="00705B49">
        <w:rPr>
          <w:rFonts w:eastAsia="Times New Roman" w:cs="Calibri"/>
          <w:lang w:eastAsia="en-AU"/>
        </w:rPr>
        <w:t xml:space="preserve"> and Bohlin (2014) performed a similar study but also compare the relationship between high- and low-income countries. The authors found that a </w:t>
      </w:r>
      <w:r>
        <w:rPr>
          <w:rFonts w:eastAsia="Times New Roman" w:cs="Calibri"/>
          <w:lang w:eastAsia="en-AU"/>
        </w:rPr>
        <w:t>one</w:t>
      </w:r>
      <w:r w:rsidRPr="00705B49">
        <w:rPr>
          <w:rFonts w:eastAsia="Times New Roman" w:cs="Calibri"/>
          <w:lang w:eastAsia="en-AU"/>
        </w:rPr>
        <w:t> per cent increase in speeds resulted in an additional 0.09 per cent GDP per capita for low income countries and a 0.06 per cent increase for high income countries.</w:t>
      </w:r>
      <w:r w:rsidRPr="00705B49">
        <w:rPr>
          <w:rStyle w:val="EndnoteReference"/>
          <w:rFonts w:eastAsia="Times New Roman" w:cs="Calibri"/>
          <w:lang w:eastAsia="en-AU"/>
        </w:rPr>
        <w:endnoteReference w:id="76"/>
      </w:r>
      <w:r w:rsidRPr="00705B49">
        <w:t xml:space="preserve"> </w:t>
      </w:r>
      <w:r w:rsidRPr="00705B49">
        <w:rPr>
          <w:rFonts w:eastAsia="Times New Roman" w:cs="Calibri"/>
          <w:lang w:eastAsia="en-AU"/>
        </w:rPr>
        <w:t xml:space="preserve">In contrast, Gruber et al. (2013), in an update of their initial model, split their sample by speed rather than by income and </w:t>
      </w:r>
      <w:r w:rsidRPr="00705B49">
        <w:t>grouped countries using dummy variables as either having high or low broadband speed.</w:t>
      </w:r>
      <w:r w:rsidRPr="00705B49">
        <w:rPr>
          <w:rStyle w:val="FootnoteReference"/>
        </w:rPr>
        <w:footnoteReference w:id="13"/>
      </w:r>
      <w:r w:rsidRPr="00705B49">
        <w:t xml:space="preserve"> The authors found that the high speed broadband sample had an annual GDP increase of 0.032 per cent over the low speed sample.</w:t>
      </w:r>
      <w:r w:rsidRPr="00705B49">
        <w:rPr>
          <w:rStyle w:val="EndnoteReference"/>
        </w:rPr>
        <w:endnoteReference w:id="77"/>
      </w:r>
      <w:r w:rsidRPr="00705B49">
        <w:t xml:space="preserve"> </w:t>
      </w:r>
    </w:p>
    <w:p w14:paraId="45BFD077" w14:textId="77777777" w:rsidR="00494CC3" w:rsidRPr="00705B49" w:rsidRDefault="00494CC3" w:rsidP="00494CC3">
      <w:pPr>
        <w:rPr>
          <w:rFonts w:eastAsia="Times New Roman" w:cs="Calibri"/>
          <w:lang w:eastAsia="en-AU"/>
        </w:rPr>
      </w:pPr>
      <w:proofErr w:type="spellStart"/>
      <w:r w:rsidRPr="00705B49">
        <w:t>Koutroumpis</w:t>
      </w:r>
      <w:proofErr w:type="spellEnd"/>
      <w:r w:rsidRPr="00705B49">
        <w:t xml:space="preserve"> (2018) found that faster broadband speeds led to a 1.32 per cent additional GDP increase over the period studied (</w:t>
      </w:r>
      <w:r w:rsidRPr="00705B49">
        <w:rPr>
          <w:rFonts w:eastAsia="Times New Roman" w:cs="Calibri"/>
          <w:color w:val="000000"/>
          <w:lang w:eastAsia="en-AU"/>
        </w:rPr>
        <w:t>2002 to 2016)</w:t>
      </w:r>
      <w:r w:rsidRPr="00705B49">
        <w:t xml:space="preserve"> or 0.09 per cent annually when speed was included in the production function.</w:t>
      </w:r>
      <w:r w:rsidRPr="00705B49">
        <w:rPr>
          <w:rStyle w:val="EndnoteReference"/>
        </w:rPr>
        <w:endnoteReference w:id="78"/>
      </w:r>
      <w:r w:rsidRPr="00705B49">
        <w:t xml:space="preserve"> The author observed that across the regions, average broadband speeds grew from 0.75 Mbps in 2002 to 12.85 Mbps in 2016. Accordingly, when interpreting the results alongside broadband adoption the effects become a 5.66 per cent increase in GDP</w:t>
      </w:r>
      <w:r w:rsidRPr="00705B49">
        <w:rPr>
          <w:rFonts w:eastAsia="Times New Roman" w:cs="Calibri"/>
          <w:lang w:eastAsia="en-AU"/>
        </w:rPr>
        <w:t>.</w:t>
      </w:r>
      <w:r w:rsidRPr="00705B49">
        <w:t xml:space="preserve"> Much like broadband adoption, the evidence suggests that there is a point at which there are diminishing marginal returns to speed. </w:t>
      </w:r>
      <w:proofErr w:type="spellStart"/>
      <w:r w:rsidRPr="00705B49">
        <w:t>Koutroumpis</w:t>
      </w:r>
      <w:proofErr w:type="spellEnd"/>
      <w:r w:rsidRPr="00705B49">
        <w:t xml:space="preserve"> estimated this level to be 9.8 Mbps after which the additional economic benefits are negligible. However, both the overall economic benefits and saturation point will differ from country to country and speed</w:t>
      </w:r>
      <w:r w:rsidRPr="00705B49">
        <w:noBreakHyphen/>
        <w:t xml:space="preserve">related gains are moving higher as a result of the readiness of the economy to make productive use of broadband. </w:t>
      </w:r>
      <w:r w:rsidRPr="00705B49">
        <w:rPr>
          <w:rFonts w:eastAsia="Times New Roman" w:cs="Calibri"/>
          <w:lang w:eastAsia="en-AU"/>
        </w:rPr>
        <w:t xml:space="preserve">Katz and </w:t>
      </w:r>
      <w:proofErr w:type="spellStart"/>
      <w:r w:rsidRPr="00705B49">
        <w:rPr>
          <w:rFonts w:eastAsia="Times New Roman" w:cs="Calibri"/>
          <w:lang w:eastAsia="en-AU"/>
        </w:rPr>
        <w:t>Callorda</w:t>
      </w:r>
      <w:proofErr w:type="spellEnd"/>
      <w:r w:rsidRPr="00705B49">
        <w:rPr>
          <w:rFonts w:eastAsia="Times New Roman" w:cs="Calibri"/>
          <w:lang w:eastAsia="en-AU"/>
        </w:rPr>
        <w:t xml:space="preserve"> (2019) used an extensive dataset of 159 countries and </w:t>
      </w:r>
      <w:r w:rsidRPr="00705B49">
        <w:rPr>
          <w:rFonts w:eastAsia="Times New Roman" w:cs="Calibri"/>
          <w:lang w:eastAsia="en-AU"/>
        </w:rPr>
        <w:lastRenderedPageBreak/>
        <w:t xml:space="preserve">found that the impact on GDP of fixed broadband speeds only became positive when the average speed was between 10 and 40 Mbps. This effect became even greater </w:t>
      </w:r>
      <w:r w:rsidRPr="00705B49">
        <w:t>for speeds in excess of 40 Mbps</w:t>
      </w:r>
      <w:r w:rsidRPr="00705B49">
        <w:rPr>
          <w:rFonts w:eastAsia="Times New Roman" w:cs="Calibri"/>
          <w:lang w:eastAsia="en-AU"/>
        </w:rPr>
        <w:t>.</w:t>
      </w:r>
      <w:r w:rsidRPr="00705B49">
        <w:rPr>
          <w:rStyle w:val="EndnoteReference"/>
          <w:rFonts w:eastAsia="Times New Roman" w:cs="Calibri"/>
          <w:lang w:eastAsia="en-AU"/>
        </w:rPr>
        <w:endnoteReference w:id="79"/>
      </w:r>
    </w:p>
    <w:p w14:paraId="6AAD34E1" w14:textId="77777777" w:rsidR="00494CC3" w:rsidRPr="00705B49" w:rsidRDefault="00494CC3" w:rsidP="00756E90">
      <w:pPr>
        <w:pStyle w:val="Heading4"/>
      </w:pPr>
      <w:bookmarkStart w:id="290" w:name="_Toc119052303"/>
      <w:bookmarkStart w:id="291" w:name="_Toc119058158"/>
      <w:bookmarkStart w:id="292" w:name="_Toc121932292"/>
      <w:bookmarkStart w:id="293" w:name="_Toc124169165"/>
      <w:bookmarkStart w:id="294" w:name="_Toc127374108"/>
      <w:bookmarkStart w:id="295" w:name="_Toc129777713"/>
      <w:r w:rsidRPr="00705B49">
        <w:t>Broadband impacts by technology type</w:t>
      </w:r>
      <w:bookmarkEnd w:id="290"/>
      <w:bookmarkEnd w:id="291"/>
      <w:bookmarkEnd w:id="292"/>
      <w:bookmarkEnd w:id="293"/>
      <w:bookmarkEnd w:id="294"/>
      <w:bookmarkEnd w:id="295"/>
    </w:p>
    <w:p w14:paraId="11D278CD" w14:textId="77777777" w:rsidR="00494CC3" w:rsidRPr="00705B49" w:rsidRDefault="00494CC3" w:rsidP="00494CC3">
      <w:pPr>
        <w:rPr>
          <w:rFonts w:eastAsia="Times New Roman" w:cs="Calibri"/>
          <w:lang w:eastAsia="en-AU"/>
        </w:rPr>
      </w:pPr>
      <w:proofErr w:type="spellStart"/>
      <w:r w:rsidRPr="00705B49">
        <w:rPr>
          <w:rFonts w:eastAsia="Times New Roman" w:cs="Calibri"/>
          <w:lang w:eastAsia="en-AU"/>
        </w:rPr>
        <w:t>Briglauer</w:t>
      </w:r>
      <w:proofErr w:type="spellEnd"/>
      <w:r w:rsidRPr="00705B49">
        <w:rPr>
          <w:rFonts w:eastAsia="Times New Roman" w:cs="Calibri"/>
          <w:lang w:eastAsia="en-AU"/>
        </w:rPr>
        <w:t xml:space="preserve"> and </w:t>
      </w:r>
      <w:proofErr w:type="spellStart"/>
      <w:r w:rsidRPr="00705B49">
        <w:rPr>
          <w:rFonts w:eastAsia="Times New Roman" w:cs="Calibri"/>
          <w:lang w:eastAsia="en-AU"/>
        </w:rPr>
        <w:t>Gugler</w:t>
      </w:r>
      <w:proofErr w:type="spellEnd"/>
      <w:r w:rsidRPr="00705B49">
        <w:rPr>
          <w:rFonts w:eastAsia="Times New Roman" w:cs="Calibri"/>
          <w:lang w:eastAsia="en-AU"/>
        </w:rPr>
        <w:t xml:space="preserve"> (2018) examined the impacts of broadband by the type of technology used. The authors analysed 27 EU countries between 2003 and 2015 and found that a </w:t>
      </w:r>
      <w:r>
        <w:rPr>
          <w:rFonts w:eastAsia="Times New Roman" w:cs="Calibri"/>
          <w:lang w:eastAsia="en-AU"/>
        </w:rPr>
        <w:t>one</w:t>
      </w:r>
      <w:r w:rsidRPr="00705B49">
        <w:rPr>
          <w:rFonts w:eastAsia="Times New Roman" w:cs="Calibri"/>
          <w:lang w:eastAsia="en-AU"/>
        </w:rPr>
        <w:t> per cent increase in end-to-end fibre broadband adoption led to a GDP increase that was 0.002 to 0.005 per cent higher than basic broadband.</w:t>
      </w:r>
      <w:r w:rsidRPr="00705B49">
        <w:rPr>
          <w:rStyle w:val="FootnoteReference"/>
          <w:rFonts w:eastAsia="Times New Roman" w:cs="Calibri"/>
          <w:lang w:eastAsia="en-AU"/>
        </w:rPr>
        <w:footnoteReference w:id="14"/>
      </w:r>
      <w:r w:rsidRPr="00705B49">
        <w:rPr>
          <w:rFonts w:eastAsia="Times New Roman" w:cs="Calibri"/>
          <w:vertAlign w:val="superscript"/>
          <w:lang w:eastAsia="en-AU"/>
        </w:rPr>
        <w:t>,</w:t>
      </w:r>
      <w:r w:rsidRPr="00705B49">
        <w:rPr>
          <w:rStyle w:val="EndnoteReference"/>
          <w:rFonts w:eastAsia="Times New Roman" w:cs="Calibri"/>
          <w:lang w:eastAsia="en-AU"/>
        </w:rPr>
        <w:endnoteReference w:id="80"/>
      </w:r>
      <w:r w:rsidRPr="00705B49">
        <w:rPr>
          <w:rFonts w:eastAsia="Times New Roman" w:cs="Calibri"/>
          <w:lang w:eastAsia="en-AU"/>
        </w:rPr>
        <w:t xml:space="preserve"> The authors used an instrumental variable approach to account for statistical bias using specific variables related to regulation and competition as factors that influence broadband adoption. The results also showed that the benefits of adopting hybrid-fibre broadband over basic broadband were slightly lower, with a 0.002 to 0.003 per cent increase in GDP.</w:t>
      </w:r>
      <w:r w:rsidRPr="00705B49">
        <w:rPr>
          <w:rStyle w:val="FootnoteReference"/>
          <w:rFonts w:eastAsia="Times New Roman" w:cs="Calibri"/>
          <w:lang w:eastAsia="en-AU"/>
        </w:rPr>
        <w:footnoteReference w:id="15"/>
      </w:r>
    </w:p>
    <w:p w14:paraId="52711AE0" w14:textId="77777777" w:rsidR="00494CC3" w:rsidRPr="00705B49" w:rsidRDefault="00494CC3" w:rsidP="00494CC3">
      <w:pPr>
        <w:rPr>
          <w:rFonts w:eastAsia="Times New Roman" w:cs="Calibri"/>
          <w:lang w:eastAsia="en-AU"/>
        </w:rPr>
      </w:pPr>
      <w:r w:rsidRPr="00705B49">
        <w:rPr>
          <w:rFonts w:eastAsia="Times New Roman" w:cs="Calibri"/>
          <w:lang w:eastAsia="en-AU"/>
        </w:rPr>
        <w:t xml:space="preserve">Applying a similar framework to an intra-country study, </w:t>
      </w:r>
      <w:proofErr w:type="spellStart"/>
      <w:r w:rsidRPr="00705B49">
        <w:rPr>
          <w:rFonts w:eastAsia="Times New Roman" w:cs="Calibri"/>
          <w:lang w:eastAsia="en-AU"/>
        </w:rPr>
        <w:t>Briglauer</w:t>
      </w:r>
      <w:proofErr w:type="spellEnd"/>
      <w:r w:rsidRPr="00705B49">
        <w:rPr>
          <w:rFonts w:eastAsia="Times New Roman" w:cs="Calibri"/>
          <w:lang w:eastAsia="en-AU"/>
        </w:rPr>
        <w:t xml:space="preserve"> et al (2021) focused on high-speed broadband adoption in German counties over the period 2010 to 2015, finding an increase in average speeds</w:t>
      </w:r>
      <w:r>
        <w:rPr>
          <w:rFonts w:eastAsia="Times New Roman" w:cs="Calibri"/>
          <w:lang w:eastAsia="en-AU"/>
        </w:rPr>
        <w:t xml:space="preserve"> </w:t>
      </w:r>
      <w:r w:rsidRPr="00A2795A">
        <w:rPr>
          <w:rFonts w:eastAsia="Times New Roman" w:cs="Calibri"/>
          <w:lang w:eastAsia="en-AU"/>
        </w:rPr>
        <w:t xml:space="preserve">by </w:t>
      </w:r>
      <w:r>
        <w:rPr>
          <w:rFonts w:eastAsia="Times New Roman" w:cs="Calibri"/>
          <w:lang w:eastAsia="en-AU"/>
        </w:rPr>
        <w:t>one</w:t>
      </w:r>
      <w:r w:rsidRPr="00705B49">
        <w:rPr>
          <w:rFonts w:eastAsia="Times New Roman" w:cs="Calibri"/>
          <w:lang w:eastAsia="en-AU"/>
        </w:rPr>
        <w:t> Mbps resulted in a GDP increase of 0.</w:t>
      </w:r>
      <w:r>
        <w:rPr>
          <w:rFonts w:eastAsia="Times New Roman" w:cs="Calibri"/>
          <w:lang w:eastAsia="en-AU"/>
        </w:rPr>
        <w:t>18</w:t>
      </w:r>
      <w:r w:rsidRPr="00705B49">
        <w:rPr>
          <w:rFonts w:eastAsia="Times New Roman" w:cs="Calibri"/>
          <w:lang w:eastAsia="en-AU"/>
        </w:rPr>
        <w:t> per cent in that region.</w:t>
      </w:r>
      <w:r w:rsidRPr="00705B49">
        <w:rPr>
          <w:rStyle w:val="EndnoteReference"/>
          <w:rFonts w:eastAsia="Times New Roman" w:cs="Calibri"/>
          <w:lang w:eastAsia="en-AU"/>
        </w:rPr>
        <w:endnoteReference w:id="81"/>
      </w:r>
      <w:r w:rsidRPr="00705B49">
        <w:rPr>
          <w:rFonts w:eastAsia="Times New Roman" w:cs="Calibri"/>
          <w:lang w:eastAsia="en-AU"/>
        </w:rPr>
        <w:t xml:space="preserve"> Frontier Economics applied these results to Australia, finding a 10 per cent increase in average speeds could lead to a 0.23 per cent GDP increase by 2024.</w:t>
      </w:r>
      <w:r w:rsidRPr="00705B49">
        <w:rPr>
          <w:rStyle w:val="EndnoteReference"/>
          <w:rFonts w:eastAsia="Times New Roman" w:cs="Calibri"/>
          <w:lang w:eastAsia="en-AU"/>
        </w:rPr>
        <w:endnoteReference w:id="82"/>
      </w:r>
      <w:r w:rsidRPr="00705B49">
        <w:rPr>
          <w:rFonts w:eastAsia="Times New Roman" w:cs="Calibri"/>
          <w:lang w:eastAsia="en-AU"/>
        </w:rPr>
        <w:t xml:space="preserve"> They found consistent speeds nationwide with the GDP impact equating to $4.5 billion in 2024, with $1.2 billion in gains coming from rural areas.</w:t>
      </w:r>
      <w:r w:rsidRPr="00705B49">
        <w:rPr>
          <w:rStyle w:val="FootnoteReference"/>
          <w:rFonts w:eastAsia="Times New Roman" w:cs="Calibri"/>
          <w:lang w:eastAsia="en-AU"/>
        </w:rPr>
        <w:footnoteReference w:id="16"/>
      </w:r>
    </w:p>
    <w:p w14:paraId="5820EB60" w14:textId="77777777" w:rsidR="00494CC3" w:rsidRDefault="00494CC3" w:rsidP="00FF191D">
      <w:pPr>
        <w:pStyle w:val="Tablefigureheading"/>
        <w:rPr>
          <w:lang w:eastAsia="en-AU"/>
        </w:rPr>
      </w:pPr>
      <w:bookmarkStart w:id="296" w:name="_Ref114149560"/>
      <w:bookmarkStart w:id="297" w:name="_Toc115175412"/>
      <w:bookmarkStart w:id="298" w:name="_Toc129767643"/>
      <w:r w:rsidRPr="00705B49">
        <w:t xml:space="preserve">Table </w:t>
      </w:r>
      <w:fldSimple w:instr=" SEQ Table \* ARABIC ">
        <w:r w:rsidRPr="00705B49">
          <w:rPr>
            <w:noProof/>
          </w:rPr>
          <w:t>23</w:t>
        </w:r>
      </w:fldSimple>
      <w:bookmarkEnd w:id="296"/>
      <w:r w:rsidRPr="00705B49">
        <w:t xml:space="preserve">. </w:t>
      </w:r>
      <w:r w:rsidRPr="00705B49">
        <w:rPr>
          <w:lang w:eastAsia="en-AU"/>
        </w:rPr>
        <w:t>Selected studies showing GDP per capita impacts from changes in broadband speeds</w:t>
      </w:r>
      <w:bookmarkEnd w:id="297"/>
      <w:bookmarkEnd w:id="298"/>
    </w:p>
    <w:tbl>
      <w:tblPr>
        <w:tblStyle w:val="DefaultTable11"/>
        <w:tblW w:w="5000" w:type="pct"/>
        <w:tblLook w:val="04A0" w:firstRow="1" w:lastRow="0" w:firstColumn="1" w:lastColumn="0" w:noHBand="0" w:noVBand="1"/>
        <w:tblDescription w:val="Table 23. Selected studies showing GDP per capita impacts from changes in broadband speeds"/>
      </w:tblPr>
      <w:tblGrid>
        <w:gridCol w:w="2368"/>
        <w:gridCol w:w="2369"/>
        <w:gridCol w:w="2369"/>
        <w:gridCol w:w="2369"/>
      </w:tblGrid>
      <w:tr w:rsidR="00756E90" w:rsidRPr="00654F9E" w14:paraId="5F910289" w14:textId="77777777" w:rsidTr="00756E9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01F2A037" w14:textId="77777777" w:rsidR="00756E90" w:rsidRPr="00756E90" w:rsidRDefault="00756E90" w:rsidP="00756E90">
            <w:pPr>
              <w:pStyle w:val="Tablerowcolumnheadingcentred"/>
              <w:rPr>
                <w:b/>
                <w:lang w:eastAsia="en-AU"/>
              </w:rPr>
            </w:pPr>
            <w:r w:rsidRPr="00756E90">
              <w:rPr>
                <w:b/>
                <w:lang w:eastAsia="en-AU"/>
              </w:rPr>
              <w:t>Study</w:t>
            </w:r>
          </w:p>
        </w:tc>
        <w:tc>
          <w:tcPr>
            <w:tcW w:w="1250" w:type="pct"/>
          </w:tcPr>
          <w:p w14:paraId="53F90564" w14:textId="77777777" w:rsidR="00756E90" w:rsidRPr="00756E90" w:rsidRDefault="00756E90" w:rsidP="00756E90">
            <w:pPr>
              <w:pStyle w:val="Tablerowcolumnheadingcentred"/>
              <w:cnfStyle w:val="100000000000" w:firstRow="1" w:lastRow="0" w:firstColumn="0" w:lastColumn="0" w:oddVBand="0" w:evenVBand="0" w:oddHBand="0" w:evenHBand="0" w:firstRowFirstColumn="0" w:firstRowLastColumn="0" w:lastRowFirstColumn="0" w:lastRowLastColumn="0"/>
              <w:rPr>
                <w:b/>
                <w:lang w:eastAsia="en-AU"/>
              </w:rPr>
            </w:pPr>
            <w:r w:rsidRPr="00756E90">
              <w:rPr>
                <w:b/>
                <w:lang w:eastAsia="en-AU"/>
              </w:rPr>
              <w:t>Speed changes</w:t>
            </w:r>
          </w:p>
        </w:tc>
        <w:tc>
          <w:tcPr>
            <w:tcW w:w="1250" w:type="pct"/>
          </w:tcPr>
          <w:p w14:paraId="1350BC01" w14:textId="77777777" w:rsidR="00756E90" w:rsidRPr="00756E90" w:rsidRDefault="00756E90" w:rsidP="00756E90">
            <w:pPr>
              <w:pStyle w:val="Tablerowcolumnheadingcentred"/>
              <w:cnfStyle w:val="100000000000" w:firstRow="1" w:lastRow="0" w:firstColumn="0" w:lastColumn="0" w:oddVBand="0" w:evenVBand="0" w:oddHBand="0" w:evenHBand="0" w:firstRowFirstColumn="0" w:firstRowLastColumn="0" w:lastRowFirstColumn="0" w:lastRowLastColumn="0"/>
              <w:rPr>
                <w:b/>
                <w:lang w:eastAsia="en-AU"/>
              </w:rPr>
            </w:pPr>
            <w:r w:rsidRPr="00756E90">
              <w:rPr>
                <w:b/>
                <w:lang w:eastAsia="en-AU"/>
              </w:rPr>
              <w:t>Impact on GDP per capita growth</w:t>
            </w:r>
          </w:p>
        </w:tc>
        <w:tc>
          <w:tcPr>
            <w:tcW w:w="1250" w:type="pct"/>
          </w:tcPr>
          <w:p w14:paraId="1B492159" w14:textId="77777777" w:rsidR="00756E90" w:rsidRPr="00756E90" w:rsidRDefault="00756E90" w:rsidP="00756E90">
            <w:pPr>
              <w:pStyle w:val="Tablerowcolumnheadingcentred"/>
              <w:cnfStyle w:val="100000000000" w:firstRow="1" w:lastRow="0" w:firstColumn="0" w:lastColumn="0" w:oddVBand="0" w:evenVBand="0" w:oddHBand="0" w:evenHBand="0" w:firstRowFirstColumn="0" w:firstRowLastColumn="0" w:lastRowFirstColumn="0" w:lastRowLastColumn="0"/>
              <w:rPr>
                <w:b/>
                <w:lang w:eastAsia="en-AU"/>
              </w:rPr>
            </w:pPr>
            <w:r w:rsidRPr="00756E90">
              <w:rPr>
                <w:b/>
                <w:lang w:eastAsia="en-AU"/>
              </w:rPr>
              <w:t>Sample</w:t>
            </w:r>
          </w:p>
        </w:tc>
      </w:tr>
      <w:tr w:rsidR="00756E90" w:rsidRPr="00654F9E" w14:paraId="688C77FA" w14:textId="77777777" w:rsidTr="00756E90">
        <w:trPr>
          <w:cantSplit/>
        </w:trPr>
        <w:tc>
          <w:tcPr>
            <w:cnfStyle w:val="001000000000" w:firstRow="0" w:lastRow="0" w:firstColumn="1" w:lastColumn="0" w:oddVBand="0" w:evenVBand="0" w:oddHBand="0" w:evenHBand="0" w:firstRowFirstColumn="0" w:firstRowLastColumn="0" w:lastRowFirstColumn="0" w:lastRowLastColumn="0"/>
            <w:tcW w:w="1250" w:type="pct"/>
          </w:tcPr>
          <w:p w14:paraId="591B2C3E" w14:textId="77777777" w:rsidR="00756E90" w:rsidRPr="00705B49" w:rsidRDefault="00756E90" w:rsidP="00DA2DA1">
            <w:pPr>
              <w:pStyle w:val="Tabletext"/>
              <w:rPr>
                <w:lang w:eastAsia="en-AU"/>
              </w:rPr>
            </w:pPr>
            <w:proofErr w:type="spellStart"/>
            <w:r w:rsidRPr="00705B49">
              <w:rPr>
                <w:lang w:eastAsia="en-AU"/>
              </w:rPr>
              <w:t>Rohman</w:t>
            </w:r>
            <w:proofErr w:type="spellEnd"/>
            <w:r w:rsidRPr="00705B49">
              <w:rPr>
                <w:lang w:eastAsia="en-AU"/>
              </w:rPr>
              <w:t xml:space="preserve"> and Bohlin (2012)</w:t>
            </w:r>
          </w:p>
        </w:tc>
        <w:tc>
          <w:tcPr>
            <w:tcW w:w="1250" w:type="pct"/>
          </w:tcPr>
          <w:p w14:paraId="027D24A3" w14:textId="77777777" w:rsidR="00756E90" w:rsidRPr="004729CA"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Doubling the sample average speed from 8.3 Mbps to 16.6 Mbps</w:t>
            </w:r>
          </w:p>
        </w:tc>
        <w:tc>
          <w:tcPr>
            <w:tcW w:w="1250" w:type="pct"/>
          </w:tcPr>
          <w:p w14:paraId="15F33A17" w14:textId="77777777" w:rsidR="00756E90" w:rsidRPr="004729CA"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0.3 per cent increase in GDP</w:t>
            </w:r>
          </w:p>
        </w:tc>
        <w:tc>
          <w:tcPr>
            <w:tcW w:w="1250" w:type="pct"/>
          </w:tcPr>
          <w:p w14:paraId="2F0832AA" w14:textId="77777777" w:rsidR="00756E90" w:rsidRPr="004729CA"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33 OECD countries (2008</w:t>
            </w:r>
            <w:r w:rsidRPr="00705B49">
              <w:rPr>
                <w:color w:val="auto"/>
                <w:lang w:eastAsia="en-AU"/>
              </w:rPr>
              <w:t>–</w:t>
            </w:r>
            <w:r w:rsidRPr="00705B49">
              <w:rPr>
                <w:lang w:eastAsia="en-AU"/>
              </w:rPr>
              <w:t>2010)</w:t>
            </w:r>
          </w:p>
        </w:tc>
      </w:tr>
      <w:tr w:rsidR="00756E90" w:rsidRPr="00654F9E" w14:paraId="2B98F103" w14:textId="77777777" w:rsidTr="00756E9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6FE391F3" w14:textId="77777777" w:rsidR="00756E90" w:rsidRPr="00705B49" w:rsidRDefault="00756E90" w:rsidP="00DA2DA1">
            <w:pPr>
              <w:pStyle w:val="Tabletext"/>
              <w:rPr>
                <w:lang w:eastAsia="en-AU"/>
              </w:rPr>
            </w:pPr>
            <w:r w:rsidRPr="00705B49">
              <w:rPr>
                <w:lang w:eastAsia="en-AU"/>
              </w:rPr>
              <w:t>Gruber et al (2013)</w:t>
            </w:r>
          </w:p>
        </w:tc>
        <w:tc>
          <w:tcPr>
            <w:tcW w:w="1250" w:type="pct"/>
          </w:tcPr>
          <w:p w14:paraId="08631935" w14:textId="77777777" w:rsidR="00756E90" w:rsidRPr="004729CA" w:rsidRDefault="00756E90" w:rsidP="00DA2DA1">
            <w:pPr>
              <w:pStyle w:val="Tabletext"/>
              <w:cnfStyle w:val="000000010000" w:firstRow="0" w:lastRow="0" w:firstColumn="0" w:lastColumn="0" w:oddVBand="0" w:evenVBand="0" w:oddHBand="0" w:evenHBand="1" w:firstRowFirstColumn="0" w:firstRowLastColumn="0" w:lastRowFirstColumn="0" w:lastRowLastColumn="0"/>
            </w:pPr>
            <w:r w:rsidRPr="00705B49">
              <w:rPr>
                <w:lang w:eastAsia="en-AU"/>
              </w:rPr>
              <w:t>For countries with broadband speeds greater than 2 Mbps</w:t>
            </w:r>
          </w:p>
        </w:tc>
        <w:tc>
          <w:tcPr>
            <w:tcW w:w="1250" w:type="pct"/>
          </w:tcPr>
          <w:p w14:paraId="5CCAB888" w14:textId="77777777" w:rsidR="00756E90" w:rsidRPr="004729CA" w:rsidRDefault="00756E90" w:rsidP="00DA2DA1">
            <w:pPr>
              <w:pStyle w:val="Tabletext"/>
              <w:cnfStyle w:val="000000010000" w:firstRow="0" w:lastRow="0" w:firstColumn="0" w:lastColumn="0" w:oddVBand="0" w:evenVBand="0" w:oddHBand="0" w:evenHBand="1" w:firstRowFirstColumn="0" w:firstRowLastColumn="0" w:lastRowFirstColumn="0" w:lastRowLastColumn="0"/>
            </w:pPr>
            <w:r w:rsidRPr="00705B49">
              <w:rPr>
                <w:lang w:eastAsia="en-AU"/>
              </w:rPr>
              <w:t>Experienced additional annual GDP effects of 0.032 per cent due to speed</w:t>
            </w:r>
          </w:p>
        </w:tc>
        <w:tc>
          <w:tcPr>
            <w:tcW w:w="1250" w:type="pct"/>
          </w:tcPr>
          <w:p w14:paraId="68160EAC"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27 EU countries</w:t>
            </w:r>
          </w:p>
          <w:p w14:paraId="313DD173" w14:textId="77777777" w:rsidR="00756E90" w:rsidRPr="004729CA" w:rsidRDefault="00756E90" w:rsidP="00DA2DA1">
            <w:pPr>
              <w:pStyle w:val="Tabletext"/>
              <w:cnfStyle w:val="000000010000" w:firstRow="0" w:lastRow="0" w:firstColumn="0" w:lastColumn="0" w:oddVBand="0" w:evenVBand="0" w:oddHBand="0" w:evenHBand="1" w:firstRowFirstColumn="0" w:firstRowLastColumn="0" w:lastRowFirstColumn="0" w:lastRowLastColumn="0"/>
            </w:pPr>
            <w:r w:rsidRPr="00705B49">
              <w:rPr>
                <w:lang w:eastAsia="en-AU"/>
              </w:rPr>
              <w:t>(2005</w:t>
            </w:r>
            <w:r w:rsidRPr="00705B49">
              <w:rPr>
                <w:szCs w:val="22"/>
              </w:rPr>
              <w:t>–</w:t>
            </w:r>
            <w:r w:rsidRPr="00705B49">
              <w:rPr>
                <w:lang w:eastAsia="en-AU"/>
              </w:rPr>
              <w:t>2011)</w:t>
            </w:r>
          </w:p>
        </w:tc>
      </w:tr>
      <w:tr w:rsidR="00756E90" w:rsidRPr="00654F9E" w14:paraId="0773FE45" w14:textId="77777777" w:rsidTr="00756E90">
        <w:trPr>
          <w:cantSplit/>
        </w:trPr>
        <w:tc>
          <w:tcPr>
            <w:cnfStyle w:val="001000000000" w:firstRow="0" w:lastRow="0" w:firstColumn="1" w:lastColumn="0" w:oddVBand="0" w:evenVBand="0" w:oddHBand="0" w:evenHBand="0" w:firstRowFirstColumn="0" w:firstRowLastColumn="0" w:lastRowFirstColumn="0" w:lastRowLastColumn="0"/>
            <w:tcW w:w="1250" w:type="pct"/>
          </w:tcPr>
          <w:p w14:paraId="2562B777" w14:textId="77777777" w:rsidR="00756E90" w:rsidRPr="00705B49" w:rsidRDefault="00756E90" w:rsidP="00DA2DA1">
            <w:pPr>
              <w:pStyle w:val="Tabletext"/>
              <w:rPr>
                <w:lang w:eastAsia="en-AU"/>
              </w:rPr>
            </w:pPr>
            <w:proofErr w:type="spellStart"/>
            <w:r w:rsidRPr="00705B49">
              <w:rPr>
                <w:lang w:eastAsia="en-AU"/>
              </w:rPr>
              <w:t>Kongaut</w:t>
            </w:r>
            <w:proofErr w:type="spellEnd"/>
            <w:r w:rsidRPr="00705B49">
              <w:rPr>
                <w:lang w:eastAsia="en-AU"/>
              </w:rPr>
              <w:t xml:space="preserve"> and Bohlin (2014)</w:t>
            </w:r>
          </w:p>
        </w:tc>
        <w:tc>
          <w:tcPr>
            <w:tcW w:w="1250" w:type="pct"/>
          </w:tcPr>
          <w:p w14:paraId="57250C9F" w14:textId="77777777" w:rsidR="00756E90" w:rsidRPr="008E534F"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Results from a 10 per cent increase in broadband speed</w:t>
            </w:r>
          </w:p>
        </w:tc>
        <w:tc>
          <w:tcPr>
            <w:tcW w:w="1250" w:type="pct"/>
          </w:tcPr>
          <w:p w14:paraId="43621909" w14:textId="77777777" w:rsidR="00756E90" w:rsidRPr="008E534F"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All countries: 0.80 per cent increase in GDP per capita</w:t>
            </w:r>
          </w:p>
        </w:tc>
        <w:tc>
          <w:tcPr>
            <w:tcW w:w="1250" w:type="pct"/>
          </w:tcPr>
          <w:p w14:paraId="25674FFA" w14:textId="77777777" w:rsidR="00756E90" w:rsidRPr="004729CA"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33 OECD countries (2008</w:t>
            </w:r>
            <w:r w:rsidRPr="00705B49">
              <w:rPr>
                <w:color w:val="auto"/>
                <w:lang w:eastAsia="en-AU"/>
              </w:rPr>
              <w:t>–</w:t>
            </w:r>
            <w:r w:rsidRPr="00705B49">
              <w:rPr>
                <w:lang w:eastAsia="en-AU"/>
              </w:rPr>
              <w:t>2012)</w:t>
            </w:r>
          </w:p>
        </w:tc>
      </w:tr>
      <w:tr w:rsidR="00756E90" w:rsidRPr="00654F9E" w14:paraId="7F8EA332" w14:textId="77777777" w:rsidTr="00756E9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07EE4562" w14:textId="77777777" w:rsidR="00756E90" w:rsidRPr="00705B49" w:rsidRDefault="00756E90" w:rsidP="00DA2DA1">
            <w:pPr>
              <w:pStyle w:val="Tabletext"/>
              <w:rPr>
                <w:lang w:eastAsia="en-AU"/>
              </w:rPr>
            </w:pPr>
            <w:proofErr w:type="spellStart"/>
            <w:r w:rsidRPr="00705B49">
              <w:rPr>
                <w:lang w:eastAsia="en-AU"/>
              </w:rPr>
              <w:t>Kongaut</w:t>
            </w:r>
            <w:proofErr w:type="spellEnd"/>
            <w:r w:rsidRPr="00705B49">
              <w:rPr>
                <w:lang w:eastAsia="en-AU"/>
              </w:rPr>
              <w:t xml:space="preserve"> and Bohlin (2014)</w:t>
            </w:r>
          </w:p>
        </w:tc>
        <w:tc>
          <w:tcPr>
            <w:tcW w:w="1250" w:type="pct"/>
          </w:tcPr>
          <w:p w14:paraId="5AE86970" w14:textId="77777777" w:rsidR="00756E90" w:rsidRPr="008E534F" w:rsidRDefault="00756E90" w:rsidP="00DA2DA1">
            <w:pPr>
              <w:pStyle w:val="Tabletext"/>
              <w:cnfStyle w:val="000000010000" w:firstRow="0" w:lastRow="0" w:firstColumn="0" w:lastColumn="0" w:oddVBand="0" w:evenVBand="0" w:oddHBand="0" w:evenHBand="1" w:firstRowFirstColumn="0" w:firstRowLastColumn="0" w:lastRowFirstColumn="0" w:lastRowLastColumn="0"/>
            </w:pPr>
            <w:r w:rsidRPr="00705B49">
              <w:rPr>
                <w:lang w:eastAsia="en-AU"/>
              </w:rPr>
              <w:t>Results from a 10 per cent increase in broadband speed</w:t>
            </w:r>
          </w:p>
        </w:tc>
        <w:tc>
          <w:tcPr>
            <w:tcW w:w="1250" w:type="pct"/>
          </w:tcPr>
          <w:p w14:paraId="2121C74E" w14:textId="77777777" w:rsidR="00756E90" w:rsidRPr="008E534F" w:rsidRDefault="00756E90" w:rsidP="00DA2DA1">
            <w:pPr>
              <w:pStyle w:val="Tabletext"/>
              <w:cnfStyle w:val="000000010000" w:firstRow="0" w:lastRow="0" w:firstColumn="0" w:lastColumn="0" w:oddVBand="0" w:evenVBand="0" w:oddHBand="0" w:evenHBand="1" w:firstRowFirstColumn="0" w:firstRowLastColumn="0" w:lastRowFirstColumn="0" w:lastRowLastColumn="0"/>
            </w:pPr>
            <w:r w:rsidRPr="00705B49">
              <w:rPr>
                <w:lang w:eastAsia="en-AU"/>
              </w:rPr>
              <w:t>Low-income countries: 0.97 per cent increase in GDP per capita</w:t>
            </w:r>
          </w:p>
        </w:tc>
        <w:tc>
          <w:tcPr>
            <w:tcW w:w="1250" w:type="pct"/>
          </w:tcPr>
          <w:p w14:paraId="27E7B81B" w14:textId="77777777" w:rsidR="00756E90" w:rsidRPr="004729CA" w:rsidRDefault="00756E90" w:rsidP="00DA2DA1">
            <w:pPr>
              <w:pStyle w:val="Tabletext"/>
              <w:cnfStyle w:val="000000010000" w:firstRow="0" w:lastRow="0" w:firstColumn="0" w:lastColumn="0" w:oddVBand="0" w:evenVBand="0" w:oddHBand="0" w:evenHBand="1" w:firstRowFirstColumn="0" w:firstRowLastColumn="0" w:lastRowFirstColumn="0" w:lastRowLastColumn="0"/>
            </w:pPr>
            <w:r w:rsidRPr="00705B49">
              <w:rPr>
                <w:lang w:eastAsia="en-AU"/>
              </w:rPr>
              <w:t>33 OECD countries (2008</w:t>
            </w:r>
            <w:r w:rsidRPr="00705B49">
              <w:rPr>
                <w:color w:val="auto"/>
                <w:lang w:eastAsia="en-AU"/>
              </w:rPr>
              <w:t>–</w:t>
            </w:r>
            <w:r w:rsidRPr="00705B49">
              <w:rPr>
                <w:lang w:eastAsia="en-AU"/>
              </w:rPr>
              <w:t>2012)</w:t>
            </w:r>
          </w:p>
        </w:tc>
      </w:tr>
      <w:tr w:rsidR="00756E90" w:rsidRPr="00654F9E" w14:paraId="02E57DEB" w14:textId="77777777" w:rsidTr="00756E90">
        <w:trPr>
          <w:cantSplit/>
        </w:trPr>
        <w:tc>
          <w:tcPr>
            <w:cnfStyle w:val="001000000000" w:firstRow="0" w:lastRow="0" w:firstColumn="1" w:lastColumn="0" w:oddVBand="0" w:evenVBand="0" w:oddHBand="0" w:evenHBand="0" w:firstRowFirstColumn="0" w:firstRowLastColumn="0" w:lastRowFirstColumn="0" w:lastRowLastColumn="0"/>
            <w:tcW w:w="1250" w:type="pct"/>
          </w:tcPr>
          <w:p w14:paraId="1E17A8A2" w14:textId="77777777" w:rsidR="00756E90" w:rsidRPr="00705B49" w:rsidRDefault="00756E90" w:rsidP="00DA2DA1">
            <w:pPr>
              <w:pStyle w:val="Tabletext"/>
              <w:rPr>
                <w:lang w:eastAsia="en-AU"/>
              </w:rPr>
            </w:pPr>
            <w:proofErr w:type="spellStart"/>
            <w:r w:rsidRPr="00705B49">
              <w:rPr>
                <w:lang w:eastAsia="en-AU"/>
              </w:rPr>
              <w:t>Kongaut</w:t>
            </w:r>
            <w:proofErr w:type="spellEnd"/>
            <w:r w:rsidRPr="00705B49">
              <w:rPr>
                <w:lang w:eastAsia="en-AU"/>
              </w:rPr>
              <w:t xml:space="preserve"> and Bohlin (2014)</w:t>
            </w:r>
          </w:p>
        </w:tc>
        <w:tc>
          <w:tcPr>
            <w:tcW w:w="1250" w:type="pct"/>
          </w:tcPr>
          <w:p w14:paraId="0CACFEE2" w14:textId="77777777" w:rsidR="00756E90" w:rsidRPr="004729CA"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Results from a 10 per cent increase in broadband speed</w:t>
            </w:r>
          </w:p>
        </w:tc>
        <w:tc>
          <w:tcPr>
            <w:tcW w:w="1250" w:type="pct"/>
          </w:tcPr>
          <w:p w14:paraId="63BAE822" w14:textId="77777777" w:rsidR="00756E90" w:rsidRPr="008E534F"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High-income countries: 0.59 per cent increase in GDP per capita</w:t>
            </w:r>
          </w:p>
        </w:tc>
        <w:tc>
          <w:tcPr>
            <w:tcW w:w="1250" w:type="pct"/>
          </w:tcPr>
          <w:p w14:paraId="14685DDC" w14:textId="77777777" w:rsidR="00756E90" w:rsidRPr="004729CA" w:rsidRDefault="00756E90" w:rsidP="00DA2DA1">
            <w:pPr>
              <w:pStyle w:val="Tabletext"/>
              <w:cnfStyle w:val="000000000000" w:firstRow="0" w:lastRow="0" w:firstColumn="0" w:lastColumn="0" w:oddVBand="0" w:evenVBand="0" w:oddHBand="0" w:evenHBand="0" w:firstRowFirstColumn="0" w:firstRowLastColumn="0" w:lastRowFirstColumn="0" w:lastRowLastColumn="0"/>
            </w:pPr>
            <w:r w:rsidRPr="00705B49">
              <w:rPr>
                <w:lang w:eastAsia="en-AU"/>
              </w:rPr>
              <w:t>33 OECD countries (2008</w:t>
            </w:r>
            <w:r w:rsidRPr="00705B49">
              <w:rPr>
                <w:color w:val="auto"/>
                <w:lang w:eastAsia="en-AU"/>
              </w:rPr>
              <w:t>–</w:t>
            </w:r>
            <w:r w:rsidRPr="00705B49">
              <w:rPr>
                <w:lang w:eastAsia="en-AU"/>
              </w:rPr>
              <w:t>2012)</w:t>
            </w:r>
          </w:p>
        </w:tc>
      </w:tr>
      <w:tr w:rsidR="00756E90" w:rsidRPr="00654F9E" w14:paraId="39C3CCFD" w14:textId="77777777" w:rsidTr="00756E9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391C4E4E" w14:textId="77777777" w:rsidR="00756E90" w:rsidRPr="00705B49" w:rsidRDefault="00756E90" w:rsidP="00DA2DA1">
            <w:pPr>
              <w:pStyle w:val="Tabletext"/>
              <w:rPr>
                <w:lang w:eastAsia="en-AU"/>
              </w:rPr>
            </w:pPr>
            <w:proofErr w:type="spellStart"/>
            <w:r w:rsidRPr="00705B49">
              <w:rPr>
                <w:lang w:eastAsia="en-AU"/>
              </w:rPr>
              <w:t>Briglauer</w:t>
            </w:r>
            <w:proofErr w:type="spellEnd"/>
            <w:r w:rsidRPr="00705B49">
              <w:rPr>
                <w:lang w:eastAsia="en-AU"/>
              </w:rPr>
              <w:t xml:space="preserve"> and </w:t>
            </w:r>
            <w:proofErr w:type="spellStart"/>
            <w:r w:rsidRPr="00705B49">
              <w:rPr>
                <w:lang w:eastAsia="en-AU"/>
              </w:rPr>
              <w:t>Gugler</w:t>
            </w:r>
            <w:proofErr w:type="spellEnd"/>
            <w:r w:rsidRPr="00705B49">
              <w:rPr>
                <w:lang w:eastAsia="en-AU"/>
              </w:rPr>
              <w:t xml:space="preserve"> (2018)</w:t>
            </w:r>
          </w:p>
        </w:tc>
        <w:tc>
          <w:tcPr>
            <w:tcW w:w="1250" w:type="pct"/>
          </w:tcPr>
          <w:p w14:paraId="0DF4C714"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one</w:t>
            </w:r>
            <w:r w:rsidRPr="00705B49">
              <w:rPr>
                <w:lang w:eastAsia="en-AU"/>
              </w:rPr>
              <w:t> per cent increase in fibre adoption</w:t>
            </w:r>
          </w:p>
        </w:tc>
        <w:tc>
          <w:tcPr>
            <w:tcW w:w="1250" w:type="pct"/>
          </w:tcPr>
          <w:p w14:paraId="0286125A"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0.002–0.005 per cent increase in GDP per annum</w:t>
            </w:r>
          </w:p>
        </w:tc>
        <w:tc>
          <w:tcPr>
            <w:tcW w:w="1250" w:type="pct"/>
          </w:tcPr>
          <w:p w14:paraId="6C7AB021"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27 EU countries (2003</w:t>
            </w:r>
            <w:r w:rsidRPr="00705B49">
              <w:rPr>
                <w:color w:val="auto"/>
                <w:lang w:eastAsia="en-AU"/>
              </w:rPr>
              <w:t>–</w:t>
            </w:r>
            <w:r w:rsidRPr="00705B49">
              <w:rPr>
                <w:lang w:eastAsia="en-AU"/>
              </w:rPr>
              <w:t>2015)</w:t>
            </w:r>
          </w:p>
        </w:tc>
      </w:tr>
      <w:tr w:rsidR="00756E90" w:rsidRPr="00654F9E" w14:paraId="50957F7F" w14:textId="77777777" w:rsidTr="00756E90">
        <w:trPr>
          <w:cantSplit/>
        </w:trPr>
        <w:tc>
          <w:tcPr>
            <w:cnfStyle w:val="001000000000" w:firstRow="0" w:lastRow="0" w:firstColumn="1" w:lastColumn="0" w:oddVBand="0" w:evenVBand="0" w:oddHBand="0" w:evenHBand="0" w:firstRowFirstColumn="0" w:firstRowLastColumn="0" w:lastRowFirstColumn="0" w:lastRowLastColumn="0"/>
            <w:tcW w:w="1250" w:type="pct"/>
          </w:tcPr>
          <w:p w14:paraId="279BDF27" w14:textId="77777777" w:rsidR="00756E90" w:rsidRPr="00705B49" w:rsidRDefault="00756E90" w:rsidP="00DA2DA1">
            <w:pPr>
              <w:pStyle w:val="Tabletext"/>
              <w:rPr>
                <w:lang w:eastAsia="en-AU"/>
              </w:rPr>
            </w:pPr>
            <w:proofErr w:type="spellStart"/>
            <w:r w:rsidRPr="00705B49">
              <w:rPr>
                <w:lang w:eastAsia="en-AU"/>
              </w:rPr>
              <w:t>Briglauer</w:t>
            </w:r>
            <w:proofErr w:type="spellEnd"/>
            <w:r w:rsidRPr="00705B49">
              <w:rPr>
                <w:lang w:eastAsia="en-AU"/>
              </w:rPr>
              <w:t xml:space="preserve"> and </w:t>
            </w:r>
            <w:proofErr w:type="spellStart"/>
            <w:r w:rsidRPr="00705B49">
              <w:rPr>
                <w:lang w:eastAsia="en-AU"/>
              </w:rPr>
              <w:t>Gugler</w:t>
            </w:r>
            <w:proofErr w:type="spellEnd"/>
            <w:r w:rsidRPr="00705B49">
              <w:rPr>
                <w:lang w:eastAsia="en-AU"/>
              </w:rPr>
              <w:t xml:space="preserve"> (2018)</w:t>
            </w:r>
          </w:p>
        </w:tc>
        <w:tc>
          <w:tcPr>
            <w:tcW w:w="1250" w:type="pct"/>
          </w:tcPr>
          <w:p w14:paraId="21CC9B75"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one</w:t>
            </w:r>
            <w:r w:rsidRPr="00705B49">
              <w:rPr>
                <w:lang w:eastAsia="en-AU"/>
              </w:rPr>
              <w:t> per cent increase hybrid-fibre adoption</w:t>
            </w:r>
          </w:p>
        </w:tc>
        <w:tc>
          <w:tcPr>
            <w:tcW w:w="1250" w:type="pct"/>
          </w:tcPr>
          <w:p w14:paraId="4174AB80"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705B49">
              <w:rPr>
                <w:lang w:eastAsia="en-AU"/>
              </w:rPr>
              <w:t>0.002–0.003 per cent increase in GDP per annum</w:t>
            </w:r>
          </w:p>
        </w:tc>
        <w:tc>
          <w:tcPr>
            <w:tcW w:w="1250" w:type="pct"/>
          </w:tcPr>
          <w:p w14:paraId="33E418BB"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705B49">
              <w:rPr>
                <w:lang w:eastAsia="en-AU"/>
              </w:rPr>
              <w:t>27 EU countries (2003</w:t>
            </w:r>
            <w:r w:rsidRPr="00705B49">
              <w:rPr>
                <w:color w:val="auto"/>
                <w:lang w:eastAsia="en-AU"/>
              </w:rPr>
              <w:t>–</w:t>
            </w:r>
            <w:r w:rsidRPr="00705B49">
              <w:rPr>
                <w:lang w:eastAsia="en-AU"/>
              </w:rPr>
              <w:t>2015)</w:t>
            </w:r>
          </w:p>
        </w:tc>
      </w:tr>
      <w:tr w:rsidR="00756E90" w:rsidRPr="00654F9E" w14:paraId="207631B3" w14:textId="77777777" w:rsidTr="00756E9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12490282" w14:textId="77777777" w:rsidR="00756E90" w:rsidRPr="00705B49" w:rsidRDefault="00756E90" w:rsidP="00DA2DA1">
            <w:pPr>
              <w:pStyle w:val="Tabletext"/>
              <w:rPr>
                <w:lang w:eastAsia="en-AU"/>
              </w:rPr>
            </w:pPr>
            <w:proofErr w:type="spellStart"/>
            <w:r w:rsidRPr="00705B49">
              <w:rPr>
                <w:lang w:eastAsia="en-AU"/>
              </w:rPr>
              <w:lastRenderedPageBreak/>
              <w:t>Koutroumpis</w:t>
            </w:r>
            <w:proofErr w:type="spellEnd"/>
            <w:r w:rsidRPr="00705B49">
              <w:rPr>
                <w:lang w:eastAsia="en-AU"/>
              </w:rPr>
              <w:t xml:space="preserve"> (2018)</w:t>
            </w:r>
          </w:p>
        </w:tc>
        <w:tc>
          <w:tcPr>
            <w:tcW w:w="1250" w:type="pct"/>
          </w:tcPr>
          <w:p w14:paraId="15F1E0C3"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 xml:space="preserve">Increase in average speeds from 0.75 Mbps to 12.85 Mbps across the sample period </w:t>
            </w:r>
          </w:p>
        </w:tc>
        <w:tc>
          <w:tcPr>
            <w:tcW w:w="1250" w:type="pct"/>
          </w:tcPr>
          <w:p w14:paraId="7B4860C5"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0.09 per cent increase in GDP annually. Combined with adoption, the impact was 0.39 per cent annually</w:t>
            </w:r>
          </w:p>
        </w:tc>
        <w:tc>
          <w:tcPr>
            <w:tcW w:w="1250" w:type="pct"/>
          </w:tcPr>
          <w:p w14:paraId="22B54DCB"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35 OECD countries (2002–2016)</w:t>
            </w:r>
          </w:p>
        </w:tc>
      </w:tr>
      <w:tr w:rsidR="00756E90" w:rsidRPr="00654F9E" w14:paraId="2A4F83DB" w14:textId="77777777" w:rsidTr="00756E90">
        <w:trPr>
          <w:cantSplit/>
        </w:trPr>
        <w:tc>
          <w:tcPr>
            <w:cnfStyle w:val="001000000000" w:firstRow="0" w:lastRow="0" w:firstColumn="1" w:lastColumn="0" w:oddVBand="0" w:evenVBand="0" w:oddHBand="0" w:evenHBand="0" w:firstRowFirstColumn="0" w:firstRowLastColumn="0" w:lastRowFirstColumn="0" w:lastRowLastColumn="0"/>
            <w:tcW w:w="1250" w:type="pct"/>
          </w:tcPr>
          <w:p w14:paraId="715D6868" w14:textId="77777777" w:rsidR="00756E90" w:rsidRPr="00705B49" w:rsidRDefault="00756E90" w:rsidP="00DA2DA1">
            <w:pPr>
              <w:pStyle w:val="Tabletext"/>
              <w:rPr>
                <w:lang w:eastAsia="en-AU"/>
              </w:rPr>
            </w:pPr>
            <w:r w:rsidRPr="00705B49">
              <w:rPr>
                <w:lang w:eastAsia="en-AU"/>
              </w:rPr>
              <w:t xml:space="preserve">Katz and </w:t>
            </w:r>
            <w:proofErr w:type="spellStart"/>
            <w:r w:rsidRPr="00705B49">
              <w:rPr>
                <w:lang w:eastAsia="en-AU"/>
              </w:rPr>
              <w:t>Callorda</w:t>
            </w:r>
            <w:proofErr w:type="spellEnd"/>
            <w:r w:rsidRPr="00705B49">
              <w:rPr>
                <w:lang w:eastAsia="en-AU"/>
              </w:rPr>
              <w:t xml:space="preserve"> (2019)</w:t>
            </w:r>
          </w:p>
        </w:tc>
        <w:tc>
          <w:tcPr>
            <w:tcW w:w="1250" w:type="pct"/>
          </w:tcPr>
          <w:p w14:paraId="277B4974"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one</w:t>
            </w:r>
            <w:r w:rsidRPr="00705B49">
              <w:rPr>
                <w:lang w:eastAsia="en-AU"/>
              </w:rPr>
              <w:t> per cent increase in download speeds</w:t>
            </w:r>
          </w:p>
        </w:tc>
        <w:tc>
          <w:tcPr>
            <w:tcW w:w="1250" w:type="pct"/>
          </w:tcPr>
          <w:p w14:paraId="3FBDC1BB"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705B49">
              <w:rPr>
                <w:lang w:eastAsia="en-AU"/>
              </w:rPr>
              <w:t>No impact on GDP for countries with download speeds less than 10 Mbps</w:t>
            </w:r>
          </w:p>
        </w:tc>
        <w:tc>
          <w:tcPr>
            <w:tcW w:w="1250" w:type="pct"/>
          </w:tcPr>
          <w:p w14:paraId="6DBDED8F"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705B49">
              <w:rPr>
                <w:lang w:eastAsia="en-AU"/>
              </w:rPr>
              <w:t>159 countries (2008</w:t>
            </w:r>
            <w:r w:rsidRPr="00705B49">
              <w:rPr>
                <w:color w:val="auto"/>
                <w:lang w:eastAsia="en-AU"/>
              </w:rPr>
              <w:t>–</w:t>
            </w:r>
            <w:r w:rsidRPr="00705B49">
              <w:rPr>
                <w:lang w:eastAsia="en-AU"/>
              </w:rPr>
              <w:t>2019)</w:t>
            </w:r>
          </w:p>
        </w:tc>
      </w:tr>
      <w:tr w:rsidR="00756E90" w:rsidRPr="00654F9E" w14:paraId="48CC0F98" w14:textId="77777777" w:rsidTr="00756E9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47823A9B" w14:textId="77777777" w:rsidR="00756E90" w:rsidRPr="00705B49" w:rsidRDefault="00756E90" w:rsidP="00DA2DA1">
            <w:pPr>
              <w:pStyle w:val="Tabletext"/>
              <w:rPr>
                <w:lang w:eastAsia="en-AU"/>
              </w:rPr>
            </w:pPr>
            <w:r w:rsidRPr="00705B49">
              <w:rPr>
                <w:lang w:eastAsia="en-AU"/>
              </w:rPr>
              <w:t xml:space="preserve">Katz and </w:t>
            </w:r>
            <w:proofErr w:type="spellStart"/>
            <w:r w:rsidRPr="00705B49">
              <w:rPr>
                <w:lang w:eastAsia="en-AU"/>
              </w:rPr>
              <w:t>Callorda</w:t>
            </w:r>
            <w:proofErr w:type="spellEnd"/>
            <w:r w:rsidRPr="00705B49">
              <w:rPr>
                <w:lang w:eastAsia="en-AU"/>
              </w:rPr>
              <w:t xml:space="preserve"> (2019)</w:t>
            </w:r>
          </w:p>
        </w:tc>
        <w:tc>
          <w:tcPr>
            <w:tcW w:w="1250" w:type="pct"/>
          </w:tcPr>
          <w:p w14:paraId="6A0F222D"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one</w:t>
            </w:r>
            <w:r w:rsidRPr="00705B49">
              <w:rPr>
                <w:lang w:eastAsia="en-AU"/>
              </w:rPr>
              <w:t> per cent increase in download speeds</w:t>
            </w:r>
          </w:p>
        </w:tc>
        <w:tc>
          <w:tcPr>
            <w:tcW w:w="1250" w:type="pct"/>
          </w:tcPr>
          <w:p w14:paraId="619EF854"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0.00264 per cent increase in GDP for countries with download speeds between 10 Mbps and 40 Mbps</w:t>
            </w:r>
          </w:p>
        </w:tc>
        <w:tc>
          <w:tcPr>
            <w:tcW w:w="1250" w:type="pct"/>
          </w:tcPr>
          <w:p w14:paraId="2AA9A282" w14:textId="77777777" w:rsidR="00756E90" w:rsidRPr="00705B49" w:rsidRDefault="00756E90"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159 countries (2008</w:t>
            </w:r>
            <w:r w:rsidRPr="00705B49">
              <w:rPr>
                <w:color w:val="auto"/>
                <w:lang w:eastAsia="en-AU"/>
              </w:rPr>
              <w:t>–</w:t>
            </w:r>
            <w:r w:rsidRPr="00705B49">
              <w:rPr>
                <w:lang w:eastAsia="en-AU"/>
              </w:rPr>
              <w:t>2019)</w:t>
            </w:r>
          </w:p>
        </w:tc>
      </w:tr>
      <w:tr w:rsidR="00756E90" w:rsidRPr="00654F9E" w14:paraId="3BBC3F1D" w14:textId="77777777" w:rsidTr="00756E90">
        <w:trPr>
          <w:cantSplit/>
        </w:trPr>
        <w:tc>
          <w:tcPr>
            <w:cnfStyle w:val="001000000000" w:firstRow="0" w:lastRow="0" w:firstColumn="1" w:lastColumn="0" w:oddVBand="0" w:evenVBand="0" w:oddHBand="0" w:evenHBand="0" w:firstRowFirstColumn="0" w:firstRowLastColumn="0" w:lastRowFirstColumn="0" w:lastRowLastColumn="0"/>
            <w:tcW w:w="1250" w:type="pct"/>
          </w:tcPr>
          <w:p w14:paraId="577F272A" w14:textId="77777777" w:rsidR="00756E90" w:rsidRPr="00705B49" w:rsidRDefault="00756E90" w:rsidP="00DA2DA1">
            <w:pPr>
              <w:pStyle w:val="Tabletext"/>
              <w:rPr>
                <w:lang w:eastAsia="en-AU"/>
              </w:rPr>
            </w:pPr>
            <w:r w:rsidRPr="00705B49">
              <w:rPr>
                <w:lang w:eastAsia="en-AU"/>
              </w:rPr>
              <w:t xml:space="preserve">Katz and </w:t>
            </w:r>
            <w:proofErr w:type="spellStart"/>
            <w:r w:rsidRPr="00705B49">
              <w:rPr>
                <w:lang w:eastAsia="en-AU"/>
              </w:rPr>
              <w:t>Callorda</w:t>
            </w:r>
            <w:proofErr w:type="spellEnd"/>
            <w:r w:rsidRPr="00705B49">
              <w:rPr>
                <w:lang w:eastAsia="en-AU"/>
              </w:rPr>
              <w:t xml:space="preserve"> (2019)</w:t>
            </w:r>
          </w:p>
        </w:tc>
        <w:tc>
          <w:tcPr>
            <w:tcW w:w="1250" w:type="pct"/>
          </w:tcPr>
          <w:p w14:paraId="440E5425"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one</w:t>
            </w:r>
            <w:r w:rsidRPr="00705B49">
              <w:rPr>
                <w:lang w:eastAsia="en-AU"/>
              </w:rPr>
              <w:t> per cent increase in download speeds</w:t>
            </w:r>
          </w:p>
        </w:tc>
        <w:tc>
          <w:tcPr>
            <w:tcW w:w="1250" w:type="pct"/>
          </w:tcPr>
          <w:p w14:paraId="74BED9C4"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705B49">
              <w:rPr>
                <w:lang w:eastAsia="en-AU"/>
              </w:rPr>
              <w:t>0.0073 per cent increase in GDP for countries with download speeds greater than 40 Mbps</w:t>
            </w:r>
          </w:p>
        </w:tc>
        <w:tc>
          <w:tcPr>
            <w:tcW w:w="1250" w:type="pct"/>
          </w:tcPr>
          <w:p w14:paraId="58B53B99" w14:textId="77777777" w:rsidR="00756E90" w:rsidRPr="00705B49" w:rsidRDefault="00756E90" w:rsidP="00DA2DA1">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705B49">
              <w:rPr>
                <w:lang w:eastAsia="en-AU"/>
              </w:rPr>
              <w:t>159 countries (2008</w:t>
            </w:r>
            <w:r w:rsidRPr="00705B49">
              <w:rPr>
                <w:color w:val="auto"/>
                <w:lang w:eastAsia="en-AU"/>
              </w:rPr>
              <w:t>–</w:t>
            </w:r>
            <w:r w:rsidRPr="00705B49">
              <w:rPr>
                <w:lang w:eastAsia="en-AU"/>
              </w:rPr>
              <w:t>2019)</w:t>
            </w:r>
          </w:p>
        </w:tc>
      </w:tr>
      <w:tr w:rsidR="0078566B" w:rsidRPr="00654F9E" w14:paraId="1A4FF837" w14:textId="77777777" w:rsidTr="00756E9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3FCE0FE8" w14:textId="77777777" w:rsidR="0078566B" w:rsidRPr="00705B49" w:rsidRDefault="0078566B" w:rsidP="00DA2DA1">
            <w:pPr>
              <w:pStyle w:val="Tabletext"/>
              <w:rPr>
                <w:lang w:eastAsia="en-AU"/>
              </w:rPr>
            </w:pPr>
            <w:r w:rsidRPr="00705B49">
              <w:rPr>
                <w:lang w:eastAsia="en-AU"/>
              </w:rPr>
              <w:t>Frontier Economics (2021)</w:t>
            </w:r>
          </w:p>
        </w:tc>
        <w:tc>
          <w:tcPr>
            <w:tcW w:w="1250" w:type="pct"/>
          </w:tcPr>
          <w:p w14:paraId="5F44FEFC" w14:textId="77777777" w:rsidR="0078566B" w:rsidRPr="00705B49" w:rsidRDefault="0078566B"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10 per cent increase in average speeds</w:t>
            </w:r>
          </w:p>
        </w:tc>
        <w:tc>
          <w:tcPr>
            <w:tcW w:w="1250" w:type="pct"/>
          </w:tcPr>
          <w:p w14:paraId="74F7033A" w14:textId="77777777" w:rsidR="0078566B" w:rsidRPr="00705B49" w:rsidRDefault="0078566B"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0.23 per cent increase in GDP</w:t>
            </w:r>
          </w:p>
        </w:tc>
        <w:tc>
          <w:tcPr>
            <w:tcW w:w="1250" w:type="pct"/>
          </w:tcPr>
          <w:p w14:paraId="4343C7AC" w14:textId="77777777" w:rsidR="0078566B" w:rsidRPr="00705B49" w:rsidRDefault="0078566B" w:rsidP="00DA2DA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705B49">
              <w:rPr>
                <w:lang w:eastAsia="en-AU"/>
              </w:rPr>
              <w:t>Australian forecast (2024)</w:t>
            </w:r>
          </w:p>
        </w:tc>
      </w:tr>
    </w:tbl>
    <w:p w14:paraId="08F20A95" w14:textId="77777777" w:rsidR="00494CC3" w:rsidRPr="00705B49" w:rsidRDefault="00494CC3" w:rsidP="00494CC3">
      <w:pPr>
        <w:pStyle w:val="Sourcenotes"/>
        <w:rPr>
          <w:lang w:val="en-AU" w:eastAsia="en-AU"/>
        </w:rPr>
      </w:pPr>
      <w:r w:rsidRPr="00705B49">
        <w:rPr>
          <w:lang w:val="en-AU" w:eastAsia="en-AU"/>
        </w:rPr>
        <w:t>Source: BCARR analysis of various sources.</w:t>
      </w:r>
    </w:p>
    <w:p w14:paraId="488CBD3C" w14:textId="77777777" w:rsidR="00494CC3" w:rsidRPr="00705B49" w:rsidRDefault="00494CC3" w:rsidP="00494CC3">
      <w:pPr>
        <w:textAlignment w:val="center"/>
        <w:rPr>
          <w:lang w:eastAsia="en-AU"/>
        </w:rPr>
      </w:pPr>
      <w:r w:rsidRPr="00705B49">
        <w:rPr>
          <w:lang w:eastAsia="en-AU"/>
        </w:rPr>
        <w:t>These economy-wide studies indicate that both broadband penetration and speed have a positive impact on growth. The magnitude of this impact varies depending on the countries studied and the initial level of broadband adoption and speeds available in the country. While broadband penetration and speed are key indicators of broadband use and quality, it will become more important in coming years to expand this approach to include other indicators of broadband quality.</w:t>
      </w:r>
      <w:r w:rsidRPr="00705B49">
        <w:rPr>
          <w:rFonts w:eastAsia="Times New Roman" w:cs="Calibri"/>
          <w:lang w:eastAsia="en-AU"/>
        </w:rPr>
        <w:t xml:space="preserve"> These indicators</w:t>
      </w:r>
      <w:r w:rsidRPr="00705B49">
        <w:rPr>
          <w:lang w:eastAsia="en-AU"/>
        </w:rPr>
        <w:t xml:space="preserve"> include connection reliability (the consistent high quality of the broadband service) and latency (the lag between transmission and receipt of data) which can affect the utility of certain applications that are of growing importance in service-based economies, such as video-conferencing, cloud computing and financial transactions.</w:t>
      </w:r>
    </w:p>
    <w:p w14:paraId="5A448F19" w14:textId="77777777" w:rsidR="00494CC3" w:rsidRPr="00705B49" w:rsidRDefault="00494CC3" w:rsidP="00494CC3">
      <w:r w:rsidRPr="00705B49">
        <w:rPr>
          <w:lang w:eastAsia="en-AU"/>
        </w:rPr>
        <w:t>While there is now an extensive number of studies and a well</w:t>
      </w:r>
      <w:r w:rsidRPr="00705B49">
        <w:rPr>
          <w:lang w:eastAsia="en-AU"/>
        </w:rPr>
        <w:noBreakHyphen/>
        <w:t xml:space="preserve">established methodology, economy-wide studies can be a blunt tool for examining the economic impacts of broadband as it relies on data collected from a large sample of countries. The country-level data therefore limits the studies to allow only an aggregate assessment to be made on the economic impacts from broadband penetration and speed. The approach also requires a wide time window for analysis which limits the ability to capture more recent advances in broadband or the impact of specific policy interventions. </w:t>
      </w:r>
      <w:r w:rsidRPr="00705B49">
        <w:t xml:space="preserve"> </w:t>
      </w:r>
    </w:p>
    <w:p w14:paraId="133285EE" w14:textId="77777777" w:rsidR="00494CC3" w:rsidRPr="008C7366" w:rsidRDefault="00494CC3" w:rsidP="00756E90">
      <w:pPr>
        <w:pStyle w:val="Heading2"/>
      </w:pPr>
      <w:bookmarkStart w:id="299" w:name="_Toc68180543"/>
      <w:bookmarkStart w:id="300" w:name="_Toc68186238"/>
      <w:bookmarkStart w:id="301" w:name="_Toc68186859"/>
      <w:bookmarkStart w:id="302" w:name="_Toc68592535"/>
      <w:bookmarkStart w:id="303" w:name="_Toc90041223"/>
      <w:bookmarkStart w:id="304" w:name="_Toc97652784"/>
      <w:bookmarkStart w:id="305" w:name="_Toc127374109"/>
      <w:bookmarkStart w:id="306" w:name="_Toc129777714"/>
      <w:bookmarkEnd w:id="252"/>
      <w:r w:rsidRPr="00705B49">
        <w:lastRenderedPageBreak/>
        <w:t>References</w:t>
      </w:r>
      <w:bookmarkEnd w:id="299"/>
      <w:bookmarkEnd w:id="300"/>
      <w:bookmarkEnd w:id="301"/>
      <w:bookmarkEnd w:id="302"/>
      <w:bookmarkEnd w:id="303"/>
      <w:bookmarkEnd w:id="304"/>
      <w:bookmarkEnd w:id="305"/>
      <w:bookmarkEnd w:id="306"/>
    </w:p>
    <w:sectPr w:rsidR="00494CC3" w:rsidRPr="008C7366" w:rsidSect="00796AB4">
      <w:headerReference w:type="default" r:id="rId33"/>
      <w:headerReference w:type="first" r:id="rId34"/>
      <w:footerReference w:type="first" r:id="rId35"/>
      <w:footnotePr>
        <w:numFmt w:val="lowerRoman"/>
      </w:footnotePr>
      <w:endnotePr>
        <w:numFmt w:val="decimal"/>
      </w:endnotePr>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9A765" w14:textId="77777777" w:rsidR="005562AF" w:rsidRDefault="005562AF" w:rsidP="00FC413F">
      <w:pPr>
        <w:spacing w:after="0"/>
      </w:pPr>
      <w:r>
        <w:separator/>
      </w:r>
    </w:p>
  </w:endnote>
  <w:endnote w:type="continuationSeparator" w:id="0">
    <w:p w14:paraId="04808B25" w14:textId="77777777" w:rsidR="005562AF" w:rsidRDefault="005562AF" w:rsidP="00FC413F">
      <w:pPr>
        <w:spacing w:after="0"/>
      </w:pPr>
      <w:r>
        <w:continuationSeparator/>
      </w:r>
    </w:p>
  </w:endnote>
  <w:endnote w:id="1">
    <w:p w14:paraId="5D622407" w14:textId="77777777" w:rsidR="005562AF" w:rsidRDefault="005562AF" w:rsidP="00494CC3">
      <w:pPr>
        <w:pStyle w:val="EndnoteText"/>
      </w:pPr>
      <w:r>
        <w:rPr>
          <w:rStyle w:val="EndnoteReference"/>
        </w:rPr>
        <w:endnoteRef/>
      </w:r>
      <w:r>
        <w:t xml:space="preserve"> NBN Co Limited, December 2022, </w:t>
      </w:r>
      <w:hyperlink r:id="rId1" w:history="1">
        <w:r w:rsidRPr="00E86450">
          <w:rPr>
            <w:rStyle w:val="Hyperlink"/>
          </w:rPr>
          <w:t>Statement of Expectations</w:t>
        </w:r>
      </w:hyperlink>
      <w:r>
        <w:t>.</w:t>
      </w:r>
    </w:p>
  </w:endnote>
  <w:endnote w:id="2">
    <w:p w14:paraId="190D0F84" w14:textId="77777777" w:rsidR="005562AF" w:rsidRDefault="005562AF" w:rsidP="00494CC3">
      <w:pPr>
        <w:pStyle w:val="EndnoteText"/>
      </w:pPr>
      <w:r>
        <w:rPr>
          <w:rStyle w:val="EndnoteReference"/>
        </w:rPr>
        <w:endnoteRef/>
      </w:r>
      <w:r>
        <w:t xml:space="preserve"> Frontier Economics, July 2021, “</w:t>
      </w:r>
      <w:hyperlink r:id="rId2" w:history="1">
        <w:r w:rsidRPr="00E86450">
          <w:rPr>
            <w:rStyle w:val="Hyperlink"/>
          </w:rPr>
          <w:t>The economic impacts of new NBN investments on business</w:t>
        </w:r>
      </w:hyperlink>
      <w:r>
        <w:rPr>
          <w:rStyle w:val="Hyperlink"/>
        </w:rPr>
        <w:t>”</w:t>
      </w:r>
      <w:r>
        <w:t xml:space="preserve">. </w:t>
      </w:r>
    </w:p>
  </w:endnote>
  <w:endnote w:id="3">
    <w:p w14:paraId="2518EECE" w14:textId="77777777" w:rsidR="005562AF" w:rsidRPr="00005D75" w:rsidRDefault="005562AF" w:rsidP="00494CC3">
      <w:pPr>
        <w:pStyle w:val="EndnoteText"/>
        <w:rPr>
          <w:lang w:val="en-US"/>
        </w:rPr>
      </w:pPr>
      <w:r>
        <w:rPr>
          <w:rStyle w:val="EndnoteReference"/>
        </w:rPr>
        <w:endnoteRef/>
      </w:r>
      <w:r>
        <w:t xml:space="preserve"> BCARR, May 2021, </w:t>
      </w:r>
      <w:hyperlink r:id="rId3" w:history="1">
        <w:r>
          <w:rPr>
            <w:rStyle w:val="Hyperlink"/>
          </w:rPr>
          <w:t>Economic impact of ubiquitous high-speed broadband: agriculture sector | Department of Infrastructure, Transport, Regional Development, Communications and the Arts</w:t>
        </w:r>
      </w:hyperlink>
      <w:r>
        <w:rPr>
          <w:rStyle w:val="Hyperlink"/>
        </w:rPr>
        <w:t xml:space="preserve"> </w:t>
      </w:r>
    </w:p>
  </w:endnote>
  <w:endnote w:id="4">
    <w:p w14:paraId="488E22FC" w14:textId="77777777" w:rsidR="005562AF" w:rsidRDefault="005562AF" w:rsidP="00494CC3">
      <w:pPr>
        <w:pStyle w:val="EndnoteText"/>
      </w:pPr>
      <w:r>
        <w:rPr>
          <w:rStyle w:val="EndnoteReference"/>
        </w:rPr>
        <w:endnoteRef/>
      </w:r>
      <w:r>
        <w:t xml:space="preserve"> </w:t>
      </w:r>
      <w:r w:rsidRPr="0074322D">
        <w:t xml:space="preserve">Canzian, G., et al., 2019,“Broadband upgrade and firm performance in rural areas: Quasi-experimental evidence”, Regional Science and Urban Economics, Volume 77, </w:t>
      </w:r>
      <w:hyperlink r:id="rId4" w:history="1">
        <w:r w:rsidRPr="0074322D">
          <w:rPr>
            <w:rStyle w:val="Hyperlink"/>
          </w:rPr>
          <w:t>https://www.sciencedirect.com/science/article/pii/S016604621830011</w:t>
        </w:r>
        <w:r w:rsidRPr="00CB3F83">
          <w:rPr>
            <w:rStyle w:val="Hyperlink"/>
          </w:rPr>
          <w:t>5</w:t>
        </w:r>
      </w:hyperlink>
      <w:r w:rsidRPr="0074322D">
        <w:t xml:space="preserve">, Pages 87-103. </w:t>
      </w:r>
    </w:p>
  </w:endnote>
  <w:endnote w:id="5">
    <w:p w14:paraId="0FE108B3" w14:textId="77777777" w:rsidR="005562AF" w:rsidRPr="0081739A" w:rsidRDefault="005562AF" w:rsidP="00494CC3">
      <w:pPr>
        <w:pStyle w:val="EndnoteText"/>
        <w:rPr>
          <w:lang w:val="en-US"/>
        </w:rPr>
      </w:pPr>
      <w:r>
        <w:rPr>
          <w:rStyle w:val="EndnoteReference"/>
        </w:rPr>
        <w:endnoteRef/>
      </w:r>
      <w:r>
        <w:t xml:space="preserve"> </w:t>
      </w:r>
      <w:r w:rsidRPr="007F6F8E">
        <w:t>Connolly, Ellis</w:t>
      </w:r>
      <w:r>
        <w:t xml:space="preserve"> and </w:t>
      </w:r>
      <w:r w:rsidRPr="007F6F8E">
        <w:t>Fox, Kevin J</w:t>
      </w:r>
      <w:r>
        <w:t>. ,</w:t>
      </w:r>
      <w:r w:rsidRPr="007F6F8E">
        <w:t xml:space="preserve"> 2006</w:t>
      </w:r>
      <w:r>
        <w:t>,</w:t>
      </w:r>
      <w:r w:rsidRPr="007F6F8E">
        <w:t xml:space="preserve"> </w:t>
      </w:r>
      <w:r>
        <w:t>“</w:t>
      </w:r>
      <w:r w:rsidRPr="007F6F8E">
        <w:t>The Impact of High-Tech Capital on Productivity: Evidence from Australia</w:t>
      </w:r>
      <w:r>
        <w:t>”,</w:t>
      </w:r>
      <w:r>
        <w:rPr>
          <w:lang w:val="en-US"/>
        </w:rPr>
        <w:t xml:space="preserve"> Economic Inquiry 44(1), 50-68.</w:t>
      </w:r>
    </w:p>
  </w:endnote>
  <w:endnote w:id="6">
    <w:p w14:paraId="471764C3" w14:textId="77777777" w:rsidR="005562AF" w:rsidRDefault="005562AF" w:rsidP="00494CC3">
      <w:pPr>
        <w:pStyle w:val="EndnoteText"/>
      </w:pPr>
      <w:r>
        <w:rPr>
          <w:rStyle w:val="EndnoteReference"/>
        </w:rPr>
        <w:endnoteRef/>
      </w:r>
      <w:r>
        <w:t xml:space="preserve"> ABS, Business Use of Information Technology, Table 1, </w:t>
      </w:r>
      <w:hyperlink r:id="rId5" w:anchor="data-download" w:history="1">
        <w:r>
          <w:rPr>
            <w:rStyle w:val="Hyperlink"/>
          </w:rPr>
          <w:t>Characteristics of Australian Business, 2018-19 financial year | Australian Bureau of Statistics (abs.gov.au)</w:t>
        </w:r>
      </w:hyperlink>
      <w:r>
        <w:t xml:space="preserve"> &amp; </w:t>
      </w:r>
      <w:hyperlink r:id="rId6" w:history="1">
        <w:r>
          <w:rPr>
            <w:rStyle w:val="Hyperlink"/>
          </w:rPr>
          <w:t>8129.0 - Business Use of Information Technology, 2013-14 (abs.gov.au)</w:t>
        </w:r>
      </w:hyperlink>
      <w:r>
        <w:t>.</w:t>
      </w:r>
    </w:p>
  </w:endnote>
  <w:endnote w:id="7">
    <w:p w14:paraId="67816D58" w14:textId="77777777" w:rsidR="005562AF" w:rsidRDefault="005562AF" w:rsidP="00494CC3">
      <w:pPr>
        <w:pStyle w:val="EndnoteText"/>
      </w:pPr>
      <w:r>
        <w:rPr>
          <w:rStyle w:val="EndnoteReference"/>
        </w:rPr>
        <w:endnoteRef/>
      </w:r>
      <w:r>
        <w:t xml:space="preserve"> ABS, Internet Commerce, Table 1, </w:t>
      </w:r>
      <w:hyperlink r:id="rId7" w:history="1">
        <w:r>
          <w:rPr>
            <w:rStyle w:val="Hyperlink"/>
          </w:rPr>
          <w:t>Characteristics of Australian Business, 2019-20 financial year | Australian Bureau of Statistics (abs.gov.au)</w:t>
        </w:r>
      </w:hyperlink>
    </w:p>
  </w:endnote>
  <w:endnote w:id="8">
    <w:p w14:paraId="6B4CC75F" w14:textId="77777777" w:rsidR="005562AF" w:rsidRPr="00371881" w:rsidRDefault="005562AF" w:rsidP="00494CC3">
      <w:pPr>
        <w:pStyle w:val="EndnoteText"/>
        <w:rPr>
          <w:lang w:val="en-US"/>
        </w:rPr>
      </w:pPr>
      <w:r w:rsidRPr="007414DD">
        <w:rPr>
          <w:rStyle w:val="EndnoteReference"/>
        </w:rPr>
        <w:endnoteRef/>
      </w:r>
      <w:r w:rsidRPr="007414DD">
        <w:t xml:space="preserve"> ABS</w:t>
      </w:r>
      <w:r w:rsidRPr="00D3582D">
        <w:t xml:space="preserve">, </w:t>
      </w:r>
      <w:r w:rsidRPr="007414DD">
        <w:t>Table</w:t>
      </w:r>
      <w:r>
        <w:t xml:space="preserve"> 21. Experimental series – online retail turnover Australia by type of activity, Series </w:t>
      </w:r>
      <w:r w:rsidRPr="007414DD">
        <w:t>A117725605F</w:t>
      </w:r>
      <w:r>
        <w:t xml:space="preserve">, </w:t>
      </w:r>
      <w:hyperlink r:id="rId8" w:anchor="data-download" w:history="1">
        <w:r>
          <w:rPr>
            <w:rStyle w:val="Hyperlink"/>
          </w:rPr>
          <w:t>Retail Trade, Australia, August 2022 | Australian Bureau of Statistics (abs.gov.au)</w:t>
        </w:r>
      </w:hyperlink>
    </w:p>
  </w:endnote>
  <w:endnote w:id="9">
    <w:p w14:paraId="7B8971C2" w14:textId="77777777" w:rsidR="005562AF" w:rsidRPr="00E90698" w:rsidRDefault="005562AF" w:rsidP="00494CC3">
      <w:pPr>
        <w:pStyle w:val="EndnoteText"/>
        <w:rPr>
          <w:lang w:val="en-US"/>
        </w:rPr>
      </w:pPr>
      <w:r>
        <w:rPr>
          <w:rStyle w:val="EndnoteReference"/>
        </w:rPr>
        <w:endnoteRef/>
      </w:r>
      <w:r>
        <w:t xml:space="preserve"> </w:t>
      </w:r>
      <w:r w:rsidRPr="00D3582D">
        <w:t xml:space="preserve">CPA Australia, 2022, Asia-Pacific Small Business Survey, </w:t>
      </w:r>
      <w:hyperlink r:id="rId9" w:history="1">
        <w:r>
          <w:rPr>
            <w:rStyle w:val="Hyperlink"/>
          </w:rPr>
          <w:t>australia-summary-sbs-2021-22.pdf (cpaaustralia.com.au)</w:t>
        </w:r>
      </w:hyperlink>
    </w:p>
  </w:endnote>
  <w:endnote w:id="10">
    <w:p w14:paraId="62DE0F31" w14:textId="77777777" w:rsidR="005562AF" w:rsidRDefault="005562AF" w:rsidP="00494CC3">
      <w:pPr>
        <w:pStyle w:val="EndnoteText"/>
      </w:pPr>
      <w:r>
        <w:rPr>
          <w:rStyle w:val="EndnoteReference"/>
        </w:rPr>
        <w:endnoteRef/>
      </w:r>
      <w:r>
        <w:t xml:space="preserve"> ABS, </w:t>
      </w:r>
      <w:hyperlink r:id="rId10" w:history="1">
        <w:r>
          <w:rPr>
            <w:rStyle w:val="Hyperlink"/>
          </w:rPr>
          <w:t>Characteristics of Australian Business, 2019-20 financial year | Australian Bureau of Statistics (abs.gov.au)</w:t>
        </w:r>
      </w:hyperlink>
      <w:r>
        <w:t xml:space="preserve"> &amp; </w:t>
      </w:r>
      <w:hyperlink r:id="rId11" w:history="1">
        <w:r>
          <w:rPr>
            <w:rStyle w:val="Hyperlink"/>
          </w:rPr>
          <w:t>8129.0 - Business Use of Information Technology, 2013-14 (abs.gov.au)</w:t>
        </w:r>
      </w:hyperlink>
      <w:r>
        <w:t xml:space="preserve"> </w:t>
      </w:r>
      <w:hyperlink r:id="rId12" w:history="1"/>
    </w:p>
  </w:endnote>
  <w:endnote w:id="11">
    <w:p w14:paraId="7BF9C468" w14:textId="77777777" w:rsidR="005562AF" w:rsidRDefault="005562AF" w:rsidP="00494CC3">
      <w:pPr>
        <w:pStyle w:val="EndnoteText"/>
      </w:pPr>
      <w:r>
        <w:rPr>
          <w:rStyle w:val="EndnoteReference"/>
        </w:rPr>
        <w:endnoteRef/>
      </w:r>
      <w:r>
        <w:t xml:space="preserve"> BCARR analysis of Business Characteristics Survey and BLADE data in DataLab.</w:t>
      </w:r>
    </w:p>
  </w:endnote>
  <w:endnote w:id="12">
    <w:p w14:paraId="37F0C26B" w14:textId="77777777" w:rsidR="005562AF" w:rsidRPr="00C451FB" w:rsidRDefault="005562AF" w:rsidP="00494CC3">
      <w:pPr>
        <w:pStyle w:val="EndnoteText"/>
        <w:rPr>
          <w:lang w:val="en-US"/>
        </w:rPr>
      </w:pPr>
      <w:r>
        <w:rPr>
          <w:rStyle w:val="EndnoteReference"/>
        </w:rPr>
        <w:endnoteRef/>
      </w:r>
      <w:r>
        <w:t xml:space="preserve"> BCARR analysis </w:t>
      </w:r>
      <w:r w:rsidRPr="00C451FB">
        <w:t>of Business Characteristics Survey and BLADE data in DataLab.</w:t>
      </w:r>
    </w:p>
  </w:endnote>
  <w:endnote w:id="13">
    <w:p w14:paraId="2A5F476F" w14:textId="77777777" w:rsidR="005562AF" w:rsidRPr="00C451FB" w:rsidRDefault="005562AF" w:rsidP="00494CC3">
      <w:pPr>
        <w:pStyle w:val="EndnoteText"/>
      </w:pPr>
      <w:r w:rsidRPr="00C451FB">
        <w:rPr>
          <w:rStyle w:val="EndnoteReference"/>
        </w:rPr>
        <w:endnoteRef/>
      </w:r>
      <w:r w:rsidRPr="00C451FB">
        <w:t xml:space="preserve"> ABS, </w:t>
      </w:r>
      <w:hyperlink r:id="rId13" w:history="1">
        <w:r w:rsidRPr="00C451FB">
          <w:rPr>
            <w:rStyle w:val="Hyperlink"/>
          </w:rPr>
          <w:t>Characteristics of Australian Business, 2019-20 financial year | Australian Bureau of Statistics (abs.gov.au)</w:t>
        </w:r>
      </w:hyperlink>
      <w:r w:rsidRPr="00C451FB">
        <w:t xml:space="preserve"> &amp; </w:t>
      </w:r>
      <w:hyperlink r:id="rId14" w:history="1">
        <w:r w:rsidRPr="00C451FB">
          <w:rPr>
            <w:rStyle w:val="Hyperlink"/>
          </w:rPr>
          <w:t>8129.0 - Business Use of Information Technology, 2013-14 (abs.gov.au)</w:t>
        </w:r>
      </w:hyperlink>
      <w:r w:rsidRPr="00C451FB">
        <w:t xml:space="preserve">. </w:t>
      </w:r>
    </w:p>
  </w:endnote>
  <w:endnote w:id="14">
    <w:p w14:paraId="24442885" w14:textId="77777777" w:rsidR="005562AF" w:rsidRPr="00C451FB" w:rsidRDefault="005562AF" w:rsidP="00494CC3">
      <w:pPr>
        <w:pStyle w:val="EndnoteText"/>
        <w:rPr>
          <w:lang w:val="en-US"/>
        </w:rPr>
      </w:pPr>
      <w:r w:rsidRPr="00C451FB">
        <w:rPr>
          <w:rStyle w:val="EndnoteReference"/>
        </w:rPr>
        <w:endnoteRef/>
      </w:r>
      <w:r w:rsidRPr="00C451FB">
        <w:t xml:space="preserve"> </w:t>
      </w:r>
      <w:r w:rsidRPr="00C451FB">
        <w:rPr>
          <w:lang w:val="en-US"/>
        </w:rPr>
        <w:t xml:space="preserve">ABS, </w:t>
      </w:r>
      <w:hyperlink r:id="rId15" w:history="1">
        <w:r w:rsidRPr="00C451FB">
          <w:rPr>
            <w:rStyle w:val="Hyperlink"/>
          </w:rPr>
          <w:t>Estimates of Industry Multifactor Productivity, 2020-21 financial year | Australian Bureau of Statistics (abs.gov.au)</w:t>
        </w:r>
      </w:hyperlink>
      <w:r w:rsidRPr="00C451FB">
        <w:t xml:space="preserve"> </w:t>
      </w:r>
    </w:p>
  </w:endnote>
  <w:endnote w:id="15">
    <w:p w14:paraId="65D33CD2" w14:textId="77777777" w:rsidR="005562AF" w:rsidRPr="00C451FB" w:rsidRDefault="005562AF" w:rsidP="00494CC3">
      <w:pPr>
        <w:pStyle w:val="EndnoteText"/>
      </w:pPr>
      <w:r w:rsidRPr="00C451FB">
        <w:rPr>
          <w:rStyle w:val="EndnoteReference"/>
        </w:rPr>
        <w:endnoteRef/>
      </w:r>
      <w:r w:rsidRPr="00C451FB">
        <w:t xml:space="preserve"> BCAR, 2015, “A primer on digital productivity”, p. 5, </w:t>
      </w:r>
      <w:hyperlink r:id="rId16" w:history="1">
        <w:r w:rsidRPr="00C451FB">
          <w:rPr>
            <w:rStyle w:val="Hyperlink"/>
          </w:rPr>
          <w:t>Microsoft Word - BCR Digital Productivity Primer - final_inspected.docx (infrastructure.gov.au)</w:t>
        </w:r>
      </w:hyperlink>
      <w:r w:rsidRPr="00C451FB">
        <w:t xml:space="preserve"> </w:t>
      </w:r>
    </w:p>
  </w:endnote>
  <w:endnote w:id="16">
    <w:p w14:paraId="73D14191" w14:textId="77777777" w:rsidR="005562AF" w:rsidRPr="00C451FB" w:rsidRDefault="005562AF" w:rsidP="00494CC3">
      <w:pPr>
        <w:pStyle w:val="EndnoteText"/>
        <w:rPr>
          <w:lang w:val="en-US"/>
        </w:rPr>
      </w:pPr>
      <w:r w:rsidRPr="00C451FB">
        <w:rPr>
          <w:rStyle w:val="EndnoteReference"/>
        </w:rPr>
        <w:endnoteRef/>
      </w:r>
      <w:r w:rsidRPr="00C451FB">
        <w:t xml:space="preserve"> </w:t>
      </w:r>
      <w:r w:rsidRPr="00C451FB">
        <w:rPr>
          <w:lang w:val="en-US"/>
        </w:rPr>
        <w:t>BCARR analysis of BLADE.</w:t>
      </w:r>
    </w:p>
  </w:endnote>
  <w:endnote w:id="17">
    <w:p w14:paraId="3DCD4C7D" w14:textId="77777777" w:rsidR="005562AF" w:rsidRPr="00C451FB" w:rsidRDefault="005562AF" w:rsidP="00494CC3">
      <w:pPr>
        <w:pStyle w:val="EndnoteText"/>
      </w:pPr>
      <w:r w:rsidRPr="00C451FB">
        <w:rPr>
          <w:rStyle w:val="EndnoteReference"/>
        </w:rPr>
        <w:endnoteRef/>
      </w:r>
      <w:r w:rsidRPr="00C451FB">
        <w:t xml:space="preserve"> Fabling R. &amp; Grimes, A., November 2016, “</w:t>
      </w:r>
      <w:hyperlink r:id="rId17" w:history="1">
        <w:r w:rsidRPr="00C451FB">
          <w:rPr>
            <w:rStyle w:val="Hyperlink"/>
          </w:rPr>
          <w:t>Picking up speed: Does ultrafast broadband increase firm productivity?</w:t>
        </w:r>
      </w:hyperlink>
      <w:r w:rsidRPr="00C451FB">
        <w:rPr>
          <w:rStyle w:val="Hyperlink"/>
        </w:rPr>
        <w:t>”</w:t>
      </w:r>
      <w:r w:rsidRPr="00C451FB">
        <w:t xml:space="preserve">, Motu Working Paper, No. 16-22, Page 4. </w:t>
      </w:r>
      <w:r w:rsidRPr="00C451FB">
        <w:rPr>
          <w:rFonts w:cstheme="minorHAnsi"/>
        </w:rPr>
        <w:t xml:space="preserve"> </w:t>
      </w:r>
    </w:p>
  </w:endnote>
  <w:endnote w:id="18">
    <w:p w14:paraId="07FC3825" w14:textId="77777777" w:rsidR="005562AF" w:rsidRPr="00D3582D" w:rsidRDefault="005562AF" w:rsidP="00494CC3">
      <w:pPr>
        <w:rPr>
          <w:lang w:val="en-US"/>
        </w:rPr>
      </w:pPr>
      <w:r w:rsidRPr="00C451FB">
        <w:rPr>
          <w:rStyle w:val="EndnoteReference"/>
        </w:rPr>
        <w:endnoteRef/>
      </w:r>
      <w:r w:rsidRPr="00C451FB">
        <w:t xml:space="preserve"> </w:t>
      </w:r>
      <w:r w:rsidRPr="00C451FB">
        <w:rPr>
          <w:lang w:val="en-US"/>
        </w:rPr>
        <w:t>McMillan, Henry &amp; Burns</w:t>
      </w:r>
      <w:r>
        <w:rPr>
          <w:lang w:val="en-US"/>
        </w:rPr>
        <w:t xml:space="preserve">, Collin., 2021, “BLADE for productivity research”, Productivity Commission Staff Working Paper, </w:t>
      </w:r>
      <w:hyperlink r:id="rId18" w:history="1">
        <w:r>
          <w:rPr>
            <w:rStyle w:val="Hyperlink"/>
          </w:rPr>
          <w:t>BLADE for productivity research - Staff Working Paper (pc.gov.au)</w:t>
        </w:r>
      </w:hyperlink>
      <w:r>
        <w:t xml:space="preserve"> </w:t>
      </w:r>
      <w:r>
        <w:rPr>
          <w:lang w:val="en-US"/>
        </w:rPr>
        <w:t>p4</w:t>
      </w:r>
    </w:p>
  </w:endnote>
  <w:endnote w:id="19">
    <w:p w14:paraId="7202AA05" w14:textId="77777777" w:rsidR="005562AF" w:rsidRDefault="005562AF" w:rsidP="00494CC3">
      <w:pPr>
        <w:pStyle w:val="EndnoteText"/>
        <w:tabs>
          <w:tab w:val="left" w:pos="6010"/>
        </w:tabs>
      </w:pPr>
      <w:r>
        <w:rPr>
          <w:rStyle w:val="EndnoteReference"/>
        </w:rPr>
        <w:endnoteRef/>
      </w:r>
      <w:r>
        <w:t xml:space="preserve"> Ibid.</w:t>
      </w:r>
    </w:p>
  </w:endnote>
  <w:endnote w:id="20">
    <w:p w14:paraId="6B418610" w14:textId="77777777" w:rsidR="005562AF" w:rsidRDefault="005562AF" w:rsidP="00494CC3">
      <w:pPr>
        <w:pStyle w:val="EndnoteText"/>
        <w:tabs>
          <w:tab w:val="left" w:pos="6010"/>
        </w:tabs>
      </w:pPr>
      <w:r>
        <w:rPr>
          <w:rStyle w:val="EndnoteReference"/>
        </w:rPr>
        <w:endnoteRef/>
      </w:r>
      <w:r>
        <w:t xml:space="preserve"> Ibid.</w:t>
      </w:r>
    </w:p>
  </w:endnote>
  <w:endnote w:id="21">
    <w:p w14:paraId="4BC10494" w14:textId="77777777" w:rsidR="005562AF" w:rsidRDefault="005562AF" w:rsidP="00494CC3">
      <w:pPr>
        <w:pStyle w:val="EndnoteText"/>
      </w:pPr>
      <w:r>
        <w:rPr>
          <w:rStyle w:val="EndnoteReference"/>
        </w:rPr>
        <w:endnoteRef/>
      </w:r>
      <w:r>
        <w:t xml:space="preserve"> ABS, </w:t>
      </w:r>
      <w:hyperlink r:id="rId19" w:history="1">
        <w:r>
          <w:rPr>
            <w:rStyle w:val="Hyperlink"/>
          </w:rPr>
          <w:t>Characteristics of Australian Business, 2019-20 financial year | Australian Bureau of Statistics (abs.gov.au)</w:t>
        </w:r>
      </w:hyperlink>
    </w:p>
  </w:endnote>
  <w:endnote w:id="22">
    <w:p w14:paraId="46D989D7" w14:textId="2A07823C" w:rsidR="005562AF" w:rsidRDefault="005562AF" w:rsidP="00494CC3">
      <w:r>
        <w:rPr>
          <w:rStyle w:val="EndnoteReference"/>
        </w:rPr>
        <w:endnoteRef/>
      </w:r>
      <w:r>
        <w:t xml:space="preserve"> ABS, National Accounts 5204 &amp; 5260, Table 16, 18 &amp; 19, </w:t>
      </w:r>
      <w:hyperlink r:id="rId20" w:history="1">
        <w:r>
          <w:rPr>
            <w:rStyle w:val="Hyperlink"/>
          </w:rPr>
          <w:t>Australian System of National Accounts, 2020-21 financial year | Australian Bureau of Statistics (abs.gov.au)</w:t>
        </w:r>
      </w:hyperlink>
      <w:r>
        <w:t xml:space="preserve">,  &amp; </w:t>
      </w:r>
      <w:r>
        <w:rPr>
          <w:lang w:val="en-US"/>
        </w:rPr>
        <w:t xml:space="preserve">Andrews, Dan &amp; Hansell, David., Nov 2019, Productivity -  Enhancing labour reallocation in Australia, Commission Staff Working Paper, </w:t>
      </w:r>
      <w:hyperlink r:id="rId21" w:history="1">
        <w:r>
          <w:rPr>
            <w:rStyle w:val="Hyperlink"/>
          </w:rPr>
          <w:t>Productivity-enchancing labour reallocations in Australia (treasury.gov.au)</w:t>
        </w:r>
      </w:hyperlink>
      <w:r>
        <w:t xml:space="preserve">, </w:t>
      </w:r>
      <w:r>
        <w:rPr>
          <w:lang w:val="en-US"/>
        </w:rPr>
        <w:t>appendix A</w:t>
      </w:r>
      <w:r>
        <w:t xml:space="preserve">. </w:t>
      </w:r>
    </w:p>
  </w:endnote>
  <w:endnote w:id="23">
    <w:p w14:paraId="2289E269" w14:textId="77777777" w:rsidR="005562AF" w:rsidRPr="001B5199" w:rsidRDefault="005562AF" w:rsidP="00494CC3">
      <w:pPr>
        <w:pStyle w:val="EndnoteText"/>
        <w:rPr>
          <w:lang w:val="en-US"/>
        </w:rPr>
      </w:pPr>
      <w:r>
        <w:rPr>
          <w:rStyle w:val="EndnoteReference"/>
        </w:rPr>
        <w:endnoteRef/>
      </w:r>
      <w:r w:rsidRPr="001B5199">
        <w:t xml:space="preserve"> ABS, National accounts GFCF</w:t>
      </w:r>
      <w:r w:rsidRPr="00D3582D">
        <w:t xml:space="preserve">, </w:t>
      </w:r>
      <w:hyperlink r:id="rId22" w:history="1">
        <w:r w:rsidRPr="001B5199">
          <w:rPr>
            <w:rStyle w:val="Hyperlink"/>
          </w:rPr>
          <w:t>Gross fixed capital formation | Australian Bureau of Statistics (abs.gov.au)</w:t>
        </w:r>
      </w:hyperlink>
    </w:p>
  </w:endnote>
  <w:endnote w:id="24">
    <w:p w14:paraId="1EBF9FCD" w14:textId="77777777" w:rsidR="005562AF" w:rsidRPr="002A7558" w:rsidRDefault="005562AF" w:rsidP="00494CC3">
      <w:pPr>
        <w:pStyle w:val="EndnoteText"/>
        <w:rPr>
          <w:lang w:val="en-US"/>
        </w:rPr>
      </w:pPr>
      <w:r w:rsidRPr="001B5199">
        <w:rPr>
          <w:rStyle w:val="EndnoteReference"/>
        </w:rPr>
        <w:endnoteRef/>
      </w:r>
      <w:r w:rsidRPr="001B5199">
        <w:t xml:space="preserve"> ABS CPI</w:t>
      </w:r>
      <w:r w:rsidRPr="00D3582D">
        <w:t xml:space="preserve">, </w:t>
      </w:r>
      <w:hyperlink r:id="rId23" w:history="1">
        <w:r w:rsidRPr="001B5199">
          <w:rPr>
            <w:rStyle w:val="Hyperlink"/>
          </w:rPr>
          <w:t>Consumer Price Index, Australia, June 2022 | Australian Bureau of Statistics (abs.gov.au)</w:t>
        </w:r>
      </w:hyperlink>
      <w:r>
        <w:t xml:space="preserve"> </w:t>
      </w:r>
    </w:p>
  </w:endnote>
  <w:endnote w:id="25">
    <w:p w14:paraId="38624427" w14:textId="77777777" w:rsidR="005562AF" w:rsidRDefault="005562AF" w:rsidP="00494CC3">
      <w:pPr>
        <w:pStyle w:val="EndnoteText"/>
      </w:pPr>
      <w:r>
        <w:rPr>
          <w:rStyle w:val="EndnoteReference"/>
        </w:rPr>
        <w:endnoteRef/>
      </w:r>
      <w:r>
        <w:t xml:space="preserve"> BCAR, 2015, “A primer on digital productivity”, p. 5, </w:t>
      </w:r>
      <w:hyperlink r:id="rId24" w:history="1">
        <w:r>
          <w:rPr>
            <w:rStyle w:val="Hyperlink"/>
          </w:rPr>
          <w:t>Microsoft Word - BCR Digital Productivity Primer - final_inspected.docx (infrastructure.gov.au)</w:t>
        </w:r>
      </w:hyperlink>
      <w:r>
        <w:t xml:space="preserve"> </w:t>
      </w:r>
    </w:p>
  </w:endnote>
  <w:endnote w:id="26">
    <w:p w14:paraId="2CDD6D5A" w14:textId="77777777" w:rsidR="005562AF" w:rsidRDefault="005562AF" w:rsidP="00494CC3">
      <w:pPr>
        <w:pStyle w:val="EndnoteText"/>
      </w:pPr>
      <w:r>
        <w:rPr>
          <w:rStyle w:val="EndnoteReference"/>
        </w:rPr>
        <w:endnoteRef/>
      </w:r>
      <w:r>
        <w:t xml:space="preserve"> OECD, </w:t>
      </w:r>
      <w:hyperlink r:id="rId25" w:anchor=":~:text=Definition%3A,T%C3%B6rnqvist%2DTheil%20price%20index.%E2%80%9D" w:history="1">
        <w:r>
          <w:rPr>
            <w:rStyle w:val="Hyperlink"/>
          </w:rPr>
          <w:t>OECD Glossary of Statistical Terms - Törnqvist price index Definition</w:t>
        </w:r>
      </w:hyperlink>
      <w:r>
        <w:t>.</w:t>
      </w:r>
    </w:p>
  </w:endnote>
  <w:endnote w:id="27">
    <w:p w14:paraId="45B8DFB9" w14:textId="77777777" w:rsidR="005562AF" w:rsidRPr="001A4F4B" w:rsidRDefault="005562AF" w:rsidP="00494CC3">
      <w:pPr>
        <w:pStyle w:val="EndnoteText"/>
        <w:rPr>
          <w:lang w:val="en-US"/>
        </w:rPr>
      </w:pPr>
      <w:r>
        <w:rPr>
          <w:rStyle w:val="EndnoteReference"/>
        </w:rPr>
        <w:endnoteRef/>
      </w:r>
      <w:r>
        <w:t xml:space="preserve"> ABS, Estimates of Industry Multifactor Productivity, </w:t>
      </w:r>
      <w:hyperlink r:id="rId26" w:history="1">
        <w:r w:rsidRPr="00B42D75">
          <w:rPr>
            <w:rStyle w:val="Hyperlink"/>
          </w:rPr>
          <w:t>Estimates of Industry Multifactor Productivity, 2020-21 financial year | Australian Bureau of Statistics (abs.gov.au)</w:t>
        </w:r>
      </w:hyperlink>
      <w:r>
        <w:t xml:space="preserve"> </w:t>
      </w:r>
    </w:p>
  </w:endnote>
  <w:endnote w:id="28">
    <w:p w14:paraId="606BA7BA" w14:textId="77777777" w:rsidR="005562AF" w:rsidRDefault="005562AF" w:rsidP="00494CC3">
      <w:pPr>
        <w:pStyle w:val="EndnoteText"/>
      </w:pPr>
      <w:r>
        <w:rPr>
          <w:rStyle w:val="EndnoteReference"/>
        </w:rPr>
        <w:endnoteRef/>
      </w:r>
      <w:r>
        <w:t xml:space="preserve"> OECD Manual, Measuring Productivity, </w:t>
      </w:r>
      <w:hyperlink r:id="rId27" w:history="1">
        <w:r>
          <w:rPr>
            <w:rStyle w:val="Hyperlink"/>
          </w:rPr>
          <w:t>Measuring Productivity - OECD Manual</w:t>
        </w:r>
      </w:hyperlink>
      <w:r>
        <w:rPr>
          <w:rStyle w:val="Hyperlink"/>
        </w:rPr>
        <w:t>,</w:t>
      </w:r>
      <w:r>
        <w:t xml:space="preserve"> p 87.</w:t>
      </w:r>
    </w:p>
  </w:endnote>
  <w:endnote w:id="29">
    <w:p w14:paraId="1D0E7D83" w14:textId="77777777" w:rsidR="005562AF" w:rsidRPr="00C451FB" w:rsidRDefault="005562AF" w:rsidP="00494CC3">
      <w:pPr>
        <w:pStyle w:val="EndnoteText"/>
      </w:pPr>
      <w:r>
        <w:rPr>
          <w:rStyle w:val="EndnoteReference"/>
        </w:rPr>
        <w:endnoteRef/>
      </w:r>
      <w:r>
        <w:t xml:space="preserve"> OECD Manual, Measuring Productivity, </w:t>
      </w:r>
      <w:hyperlink r:id="rId28" w:history="1">
        <w:r>
          <w:rPr>
            <w:rStyle w:val="Hyperlink"/>
          </w:rPr>
          <w:t>Measuring Productivity - OECD Manual</w:t>
        </w:r>
      </w:hyperlink>
      <w:r>
        <w:rPr>
          <w:rStyle w:val="Hyperlink"/>
        </w:rPr>
        <w:t>,</w:t>
      </w:r>
      <w:r>
        <w:t xml:space="preserve"> p 51 &amp; </w:t>
      </w:r>
      <w:hyperlink r:id="rId29" w:history="1">
        <w:r w:rsidRPr="00C451FB">
          <w:rPr>
            <w:rStyle w:val="Hyperlink"/>
          </w:rPr>
          <w:t xml:space="preserve">5260.0.55.001 - Information paper: Experimental Estimates of Industry Multifactor Productivity, 2007 </w:t>
        </w:r>
      </w:hyperlink>
      <w:r w:rsidRPr="00C451FB">
        <w:t xml:space="preserve"> </w:t>
      </w:r>
    </w:p>
  </w:endnote>
  <w:endnote w:id="30">
    <w:p w14:paraId="4FF1D67E" w14:textId="77777777" w:rsidR="005562AF" w:rsidRPr="00C451FB" w:rsidRDefault="005562AF" w:rsidP="00494CC3">
      <w:pPr>
        <w:pStyle w:val="EndnoteText"/>
      </w:pPr>
      <w:r w:rsidRPr="00C451FB">
        <w:rPr>
          <w:rStyle w:val="EndnoteReference"/>
        </w:rPr>
        <w:endnoteRef/>
      </w:r>
      <w:r w:rsidRPr="00C451FB">
        <w:t xml:space="preserve"> Tiong. R, 2019, “Treating competition right”, p 17.</w:t>
      </w:r>
    </w:p>
  </w:endnote>
  <w:endnote w:id="31">
    <w:p w14:paraId="0BBE79B1" w14:textId="77777777" w:rsidR="005562AF" w:rsidRPr="00C451FB" w:rsidRDefault="005562AF" w:rsidP="00494CC3">
      <w:pPr>
        <w:pStyle w:val="EndnoteText"/>
      </w:pPr>
      <w:r w:rsidRPr="00C451FB">
        <w:rPr>
          <w:rStyle w:val="EndnoteReference"/>
        </w:rPr>
        <w:endnoteRef/>
      </w:r>
      <w:r w:rsidRPr="00C451FB">
        <w:t xml:space="preserve"> Berlingieri, G., et al., 2017, "The Multiprod project: A comprehensive overview", OECD Science, Technology and Industry Working Papers, No. 2017/04, OECD Publishing, </w:t>
      </w:r>
      <w:hyperlink r:id="rId30" w:history="1">
        <w:r w:rsidRPr="00C451FB">
          <w:rPr>
            <w:rStyle w:val="Hyperlink"/>
          </w:rPr>
          <w:t>The Multiprod Project</w:t>
        </w:r>
      </w:hyperlink>
      <w:r w:rsidRPr="00C451FB">
        <w:t>, p 16.</w:t>
      </w:r>
    </w:p>
  </w:endnote>
  <w:endnote w:id="32">
    <w:p w14:paraId="254F2D94" w14:textId="77777777" w:rsidR="005562AF" w:rsidRPr="00C451FB" w:rsidRDefault="005562AF" w:rsidP="00494CC3">
      <w:pPr>
        <w:pStyle w:val="EndnoteText"/>
        <w:rPr>
          <w:lang w:val="en-US"/>
        </w:rPr>
      </w:pPr>
      <w:r w:rsidRPr="00C451FB">
        <w:rPr>
          <w:rStyle w:val="EndnoteReference"/>
        </w:rPr>
        <w:endnoteRef/>
      </w:r>
      <w:r w:rsidRPr="00C451FB">
        <w:t xml:space="preserve"> </w:t>
      </w:r>
      <w:r w:rsidRPr="00C451FB">
        <w:rPr>
          <w:lang w:val="en-US"/>
        </w:rPr>
        <w:t xml:space="preserve">ABS, Consumption of Fixed Capital, </w:t>
      </w:r>
      <w:hyperlink r:id="rId31" w:history="1">
        <w:r w:rsidRPr="00C451FB">
          <w:rPr>
            <w:rStyle w:val="Hyperlink"/>
          </w:rPr>
          <w:t>Consumption of fixed capital | Australian Bureau of Statistics (abs.gov.au)</w:t>
        </w:r>
      </w:hyperlink>
      <w:r w:rsidRPr="00C451FB">
        <w:rPr>
          <w:lang w:val="en-US"/>
        </w:rPr>
        <w:t>.</w:t>
      </w:r>
    </w:p>
  </w:endnote>
  <w:endnote w:id="33">
    <w:p w14:paraId="69945C08" w14:textId="77777777" w:rsidR="005562AF" w:rsidRPr="00C451FB" w:rsidRDefault="005562AF" w:rsidP="00494CC3">
      <w:pPr>
        <w:pStyle w:val="EndnoteText"/>
        <w:rPr>
          <w:lang w:val="en-US"/>
        </w:rPr>
      </w:pPr>
      <w:r w:rsidRPr="00C451FB">
        <w:rPr>
          <w:rStyle w:val="EndnoteReference"/>
        </w:rPr>
        <w:endnoteRef/>
      </w:r>
      <w:r w:rsidRPr="00C451FB">
        <w:t xml:space="preserve"> </w:t>
      </w:r>
      <w:r w:rsidRPr="00C451FB">
        <w:rPr>
          <w:lang w:val="en-US"/>
        </w:rPr>
        <w:t>Fox, K.J., K. Cao and F. Soriano, 2021, "Measuring Firm-Level Capital and Productivity Using Australian Integrated Microdata," presentation to the Sixth World KLEMS Conference, 9-17 March 2021.</w:t>
      </w:r>
    </w:p>
  </w:endnote>
  <w:endnote w:id="34">
    <w:p w14:paraId="7B9B93DE" w14:textId="7D1BF5FC" w:rsidR="005562AF" w:rsidRPr="00C451FB" w:rsidRDefault="005562AF" w:rsidP="00494CC3">
      <w:pPr>
        <w:pStyle w:val="EndnoteText"/>
      </w:pPr>
      <w:r w:rsidRPr="00C451FB">
        <w:rPr>
          <w:rStyle w:val="EndnoteReference"/>
        </w:rPr>
        <w:endnoteRef/>
      </w:r>
      <w:r w:rsidRPr="00C451FB">
        <w:t xml:space="preserve"> OECD Manual, Measuring Productivity, </w:t>
      </w:r>
      <w:hyperlink r:id="rId32" w:history="1">
        <w:r w:rsidRPr="00C451FB">
          <w:rPr>
            <w:rStyle w:val="Hyperlink"/>
          </w:rPr>
          <w:t>Measuring Productivity - OECD Manual</w:t>
        </w:r>
      </w:hyperlink>
      <w:r w:rsidRPr="00C451FB">
        <w:rPr>
          <w:rStyle w:val="Hyperlink"/>
        </w:rPr>
        <w:t xml:space="preserve">, </w:t>
      </w:r>
      <w:r w:rsidRPr="00C451FB">
        <w:t>p 32.</w:t>
      </w:r>
    </w:p>
  </w:endnote>
  <w:endnote w:id="35">
    <w:p w14:paraId="1A849A3F" w14:textId="77777777" w:rsidR="005562AF" w:rsidRPr="00C451FB" w:rsidRDefault="005562AF" w:rsidP="00494CC3">
      <w:pPr>
        <w:pStyle w:val="EndnoteText"/>
      </w:pPr>
      <w:r w:rsidRPr="00C451FB">
        <w:rPr>
          <w:rStyle w:val="EndnoteReference"/>
        </w:rPr>
        <w:endnoteRef/>
      </w:r>
      <w:r w:rsidRPr="00C451FB">
        <w:t xml:space="preserve"> OECD Manual, Measuring Capital, </w:t>
      </w:r>
      <w:hyperlink r:id="rId33" w:history="1">
        <w:r w:rsidRPr="00C451FB">
          <w:rPr>
            <w:rStyle w:val="Hyperlink"/>
          </w:rPr>
          <w:t>Measuring Capital – OECD Manual</w:t>
        </w:r>
      </w:hyperlink>
      <w:r w:rsidRPr="00C451FB">
        <w:t>, p 16.</w:t>
      </w:r>
    </w:p>
  </w:endnote>
  <w:endnote w:id="36">
    <w:p w14:paraId="6C1E1A42" w14:textId="77777777" w:rsidR="005562AF" w:rsidRDefault="005562AF" w:rsidP="00494CC3">
      <w:pPr>
        <w:pStyle w:val="EndnoteText"/>
      </w:pPr>
      <w:r w:rsidRPr="00C451FB">
        <w:rPr>
          <w:rStyle w:val="EndnoteReference"/>
        </w:rPr>
        <w:endnoteRef/>
      </w:r>
      <w:r w:rsidRPr="00C451FB">
        <w:t xml:space="preserve"> OECD Manual</w:t>
      </w:r>
      <w:r>
        <w:t xml:space="preserve">, Measuring Capital, </w:t>
      </w:r>
      <w:hyperlink r:id="rId34" w:history="1">
        <w:r w:rsidRPr="00AB2B8A">
          <w:rPr>
            <w:rStyle w:val="Hyperlink"/>
          </w:rPr>
          <w:t>Measuring Capital – OECD Manual</w:t>
        </w:r>
      </w:hyperlink>
      <w:r>
        <w:t>, p 65.</w:t>
      </w:r>
    </w:p>
  </w:endnote>
  <w:endnote w:id="37">
    <w:p w14:paraId="59E238BB" w14:textId="77777777" w:rsidR="005562AF" w:rsidRDefault="005562AF" w:rsidP="00494CC3">
      <w:pPr>
        <w:pStyle w:val="EndnoteText"/>
      </w:pPr>
      <w:r>
        <w:rPr>
          <w:rStyle w:val="EndnoteReference"/>
        </w:rPr>
        <w:endnoteRef/>
      </w:r>
      <w:r>
        <w:t xml:space="preserve"> </w:t>
      </w:r>
      <w:r>
        <w:rPr>
          <w:lang w:val="en-US"/>
        </w:rPr>
        <w:t xml:space="preserve">McMillan, Henry &amp; Burns, Collin., 2021, “BLADE for productivity research”, Productivity Commission Staff Working Paper, </w:t>
      </w:r>
      <w:hyperlink r:id="rId35" w:history="1">
        <w:r w:rsidRPr="00AB2B8A">
          <w:rPr>
            <w:rStyle w:val="Hyperlink"/>
          </w:rPr>
          <w:t>BLADE for productivity research</w:t>
        </w:r>
        <w:r>
          <w:rPr>
            <w:rStyle w:val="Hyperlink"/>
          </w:rPr>
          <w:t xml:space="preserve"> - Staff Working Paper (pc.gov.au)</w:t>
        </w:r>
      </w:hyperlink>
      <w:r>
        <w:t xml:space="preserve"> p 12.</w:t>
      </w:r>
    </w:p>
  </w:endnote>
  <w:endnote w:id="38">
    <w:p w14:paraId="56A7475B" w14:textId="77777777" w:rsidR="005562AF" w:rsidRDefault="005562AF" w:rsidP="00494CC3">
      <w:pPr>
        <w:pStyle w:val="EndnoteText"/>
      </w:pPr>
      <w:r>
        <w:rPr>
          <w:rStyle w:val="EndnoteReference"/>
        </w:rPr>
        <w:endnoteRef/>
      </w:r>
      <w:r>
        <w:t xml:space="preserve"> ATO, GST Reporting Methods, </w:t>
      </w:r>
      <w:hyperlink r:id="rId36" w:history="1">
        <w:r>
          <w:rPr>
            <w:rStyle w:val="Hyperlink"/>
          </w:rPr>
          <w:t>GST reporting methods | Australian Taxation Office (ato.gov.au)</w:t>
        </w:r>
      </w:hyperlink>
      <w:r>
        <w:t xml:space="preserve"> </w:t>
      </w:r>
    </w:p>
  </w:endnote>
  <w:endnote w:id="39">
    <w:p w14:paraId="6A695DB3" w14:textId="77777777" w:rsidR="005562AF" w:rsidRDefault="005562AF" w:rsidP="00494CC3">
      <w:pPr>
        <w:pStyle w:val="EndnoteText"/>
      </w:pPr>
      <w:r>
        <w:rPr>
          <w:rStyle w:val="EndnoteReference"/>
        </w:rPr>
        <w:endnoteRef/>
      </w:r>
      <w:r>
        <w:t xml:space="preserve"> ABS, Estimates of Industry Multifactor Productivity, </w:t>
      </w:r>
      <w:hyperlink r:id="rId37" w:history="1">
        <w:r>
          <w:rPr>
            <w:rStyle w:val="Hyperlink"/>
          </w:rPr>
          <w:t>5260.0.55.002 - Estimates of Industry Multifactor Productivity, 2014-15 (abs.gov.au)</w:t>
        </w:r>
      </w:hyperlink>
      <w:r>
        <w:t xml:space="preserve"> </w:t>
      </w:r>
    </w:p>
  </w:endnote>
  <w:endnote w:id="40">
    <w:p w14:paraId="673C8E97" w14:textId="77777777" w:rsidR="005562AF" w:rsidRDefault="005562AF" w:rsidP="00494CC3">
      <w:pPr>
        <w:pStyle w:val="EndnoteText"/>
      </w:pPr>
      <w:r w:rsidRPr="00820C08">
        <w:rPr>
          <w:rStyle w:val="EndnoteReference"/>
        </w:rPr>
        <w:endnoteRef/>
      </w:r>
      <w:r w:rsidRPr="00820C08">
        <w:t xml:space="preserve"> </w:t>
      </w:r>
      <w:r w:rsidRPr="00C451FB">
        <w:t>Fabling R. &amp; Grimes, A., November 2016, “</w:t>
      </w:r>
      <w:hyperlink r:id="rId38" w:history="1">
        <w:r w:rsidRPr="00C451FB">
          <w:rPr>
            <w:rStyle w:val="Hyperlink"/>
          </w:rPr>
          <w:t>Picking up speed: Does ultrafast broadband increase firm productivity?</w:t>
        </w:r>
      </w:hyperlink>
      <w:r w:rsidRPr="00C451FB">
        <w:rPr>
          <w:rStyle w:val="Hyperlink"/>
        </w:rPr>
        <w:t>”</w:t>
      </w:r>
      <w:r w:rsidRPr="00C451FB">
        <w:t>, Motu Working Paper, No. 16-22</w:t>
      </w:r>
      <w:r>
        <w:t>.</w:t>
      </w:r>
    </w:p>
  </w:endnote>
  <w:endnote w:id="41">
    <w:p w14:paraId="19372CA5" w14:textId="77777777" w:rsidR="005562AF" w:rsidRDefault="005562AF" w:rsidP="00494CC3">
      <w:pPr>
        <w:pStyle w:val="EndnoteText"/>
      </w:pPr>
      <w:r>
        <w:rPr>
          <w:rStyle w:val="EndnoteReference"/>
        </w:rPr>
        <w:endnoteRef/>
      </w:r>
      <w:r>
        <w:t xml:space="preserve"> </w:t>
      </w:r>
      <w:r w:rsidRPr="0074322D">
        <w:t xml:space="preserve">Canzian, G., et al., 2019,“Broadband upgrade and firm performance in rural areas: Quasi-experimental evidence”, Regional Science and Urban Economics, Volume 77, </w:t>
      </w:r>
      <w:hyperlink r:id="rId39" w:history="1">
        <w:r w:rsidRPr="0074322D">
          <w:rPr>
            <w:rStyle w:val="Hyperlink"/>
          </w:rPr>
          <w:t>https://www.sciencedirect.com/science/article/pii/S016604621830011</w:t>
        </w:r>
        <w:r w:rsidRPr="00CB3F83">
          <w:rPr>
            <w:rStyle w:val="Hyperlink"/>
          </w:rPr>
          <w:t>5</w:t>
        </w:r>
      </w:hyperlink>
      <w:r w:rsidRPr="0074322D">
        <w:t xml:space="preserve">, Pages 87-103.  </w:t>
      </w:r>
    </w:p>
  </w:endnote>
  <w:endnote w:id="42">
    <w:p w14:paraId="74B87E18" w14:textId="77777777" w:rsidR="005562AF" w:rsidRPr="00820C08" w:rsidRDefault="005562AF" w:rsidP="00494CC3">
      <w:pPr>
        <w:pStyle w:val="EndnoteText"/>
      </w:pPr>
      <w:r w:rsidRPr="00820C08">
        <w:rPr>
          <w:rStyle w:val="EndnoteReference"/>
        </w:rPr>
        <w:endnoteRef/>
      </w:r>
      <w:r w:rsidRPr="00820C08">
        <w:t xml:space="preserve"> </w:t>
      </w:r>
      <w:r w:rsidRPr="00C451FB">
        <w:t>Fabling R. &amp; Grimes, A., November 2016, “</w:t>
      </w:r>
      <w:hyperlink r:id="rId40" w:history="1">
        <w:r w:rsidRPr="00C451FB">
          <w:rPr>
            <w:rStyle w:val="Hyperlink"/>
          </w:rPr>
          <w:t>Picking up speed: Does ultrafast broadband increase firm productivity?</w:t>
        </w:r>
      </w:hyperlink>
      <w:r w:rsidRPr="00C451FB">
        <w:rPr>
          <w:rStyle w:val="Hyperlink"/>
        </w:rPr>
        <w:t>”</w:t>
      </w:r>
      <w:r w:rsidRPr="00C451FB">
        <w:t>, Motu Working Paper, No. 16-22.</w:t>
      </w:r>
    </w:p>
  </w:endnote>
  <w:endnote w:id="43">
    <w:p w14:paraId="64CA5BD9" w14:textId="77777777" w:rsidR="005562AF" w:rsidRDefault="005562AF" w:rsidP="00494CC3">
      <w:pPr>
        <w:pStyle w:val="EndnoteText"/>
      </w:pPr>
      <w:r w:rsidRPr="00820C08">
        <w:rPr>
          <w:rStyle w:val="EndnoteReference"/>
        </w:rPr>
        <w:endnoteRef/>
      </w:r>
      <w:r w:rsidRPr="00820C08">
        <w:t xml:space="preserve"> </w:t>
      </w:r>
      <w:r>
        <w:t xml:space="preserve">Ibid. </w:t>
      </w:r>
    </w:p>
  </w:endnote>
  <w:endnote w:id="44">
    <w:p w14:paraId="42327ADC" w14:textId="77777777" w:rsidR="005562AF" w:rsidRDefault="005562AF" w:rsidP="00494CC3">
      <w:pPr>
        <w:pStyle w:val="EndnoteText"/>
      </w:pPr>
      <w:r>
        <w:rPr>
          <w:rStyle w:val="EndnoteReference"/>
        </w:rPr>
        <w:endnoteRef/>
      </w:r>
      <w:r>
        <w:t xml:space="preserve"> Christersson, M., Culley, J. 2018, “</w:t>
      </w:r>
      <w:hyperlink r:id="rId41" w:history="1">
        <w:r>
          <w:rPr>
            <w:rStyle w:val="Hyperlink"/>
          </w:rPr>
          <w:t>How far and often do organizations relocate offices?</w:t>
        </w:r>
      </w:hyperlink>
      <w:r>
        <w:rPr>
          <w:rStyle w:val="Hyperlink"/>
        </w:rPr>
        <w:t xml:space="preserve">”, </w:t>
      </w:r>
      <w:r w:rsidRPr="000C664C">
        <w:t>Nordic Journal of Surveying and Real Estate Research 13(1):18-3</w:t>
      </w:r>
      <w:r>
        <w:t xml:space="preserve">1. </w:t>
      </w:r>
    </w:p>
  </w:endnote>
  <w:endnote w:id="45">
    <w:p w14:paraId="25A01A66" w14:textId="77777777" w:rsidR="005562AF" w:rsidRDefault="005562AF" w:rsidP="00494CC3">
      <w:pPr>
        <w:pStyle w:val="EndnoteText"/>
      </w:pPr>
      <w:r>
        <w:rPr>
          <w:rStyle w:val="EndnoteReference"/>
        </w:rPr>
        <w:endnoteRef/>
      </w:r>
      <w:r>
        <w:t xml:space="preserve"> </w:t>
      </w:r>
      <w:r>
        <w:rPr>
          <w:lang w:val="en-US"/>
        </w:rPr>
        <w:t xml:space="preserve">McMillan, Henry &amp; Burns, Collin., 2021, “BLADE for productivity research”, Productivity Commission Staff Working Paper, </w:t>
      </w:r>
      <w:hyperlink r:id="rId42" w:history="1">
        <w:r>
          <w:rPr>
            <w:rStyle w:val="Hyperlink"/>
          </w:rPr>
          <w:t>BLADE for productivity research - Staff Working Paper (pc.gov.au)</w:t>
        </w:r>
      </w:hyperlink>
      <w:r>
        <w:t xml:space="preserve">, p1. </w:t>
      </w:r>
    </w:p>
  </w:endnote>
  <w:endnote w:id="46">
    <w:p w14:paraId="0A2171AE" w14:textId="77777777" w:rsidR="005562AF" w:rsidRDefault="005562AF" w:rsidP="00494CC3">
      <w:pPr>
        <w:pStyle w:val="EndnoteText"/>
      </w:pPr>
      <w:r>
        <w:rPr>
          <w:rStyle w:val="EndnoteReference"/>
        </w:rPr>
        <w:endnoteRef/>
      </w:r>
      <w:r>
        <w:t xml:space="preserve"> W. Erwin Diewert and Kevin J. Fox, “On Measuring the Contribution of Entering and Exiting Firms to Aggregate Productivity Growth, chapter 3, p 62.</w:t>
      </w:r>
    </w:p>
  </w:endnote>
  <w:endnote w:id="47">
    <w:p w14:paraId="4012E3A6" w14:textId="77777777" w:rsidR="005562AF" w:rsidRDefault="005562AF" w:rsidP="00494CC3">
      <w:pPr>
        <w:pStyle w:val="EndnoteText"/>
      </w:pPr>
      <w:r>
        <w:rPr>
          <w:rStyle w:val="EndnoteReference"/>
        </w:rPr>
        <w:endnoteRef/>
      </w:r>
      <w:r>
        <w:t xml:space="preserve"> Ibid.</w:t>
      </w:r>
    </w:p>
  </w:endnote>
  <w:endnote w:id="48">
    <w:p w14:paraId="2FB41D10" w14:textId="77777777" w:rsidR="005562AF" w:rsidRDefault="005562AF" w:rsidP="00494CC3">
      <w:pPr>
        <w:pStyle w:val="EndnoteText"/>
      </w:pPr>
      <w:r>
        <w:rPr>
          <w:rStyle w:val="EndnoteReference"/>
        </w:rPr>
        <w:endnoteRef/>
      </w:r>
      <w:r>
        <w:t xml:space="preserve"> Tiong. R, 2019, “Treating competition right”, p 17.</w:t>
      </w:r>
    </w:p>
  </w:endnote>
  <w:endnote w:id="49">
    <w:p w14:paraId="2BCBCCC6" w14:textId="77777777" w:rsidR="005562AF" w:rsidRDefault="005562AF" w:rsidP="00494CC3">
      <w:pPr>
        <w:pStyle w:val="EndnoteText"/>
      </w:pPr>
      <w:r>
        <w:rPr>
          <w:rStyle w:val="EndnoteReference"/>
        </w:rPr>
        <w:endnoteRef/>
      </w:r>
      <w:r>
        <w:t xml:space="preserve"> </w:t>
      </w:r>
      <w:r w:rsidRPr="00BC3D88">
        <w:t>Berlingieri, G., et al.</w:t>
      </w:r>
      <w:r>
        <w:t xml:space="preserve">, </w:t>
      </w:r>
      <w:r w:rsidRPr="00BC3D88">
        <w:t>2017, "The Multiprod project: A comprehensive overview", OECD Science, Technology and Industry Working Papers, No. 2017/04, OECD Publishing</w:t>
      </w:r>
      <w:r>
        <w:t xml:space="preserve">, </w:t>
      </w:r>
      <w:hyperlink r:id="rId43" w:history="1">
        <w:r>
          <w:rPr>
            <w:rStyle w:val="Hyperlink"/>
          </w:rPr>
          <w:t>The Multi</w:t>
        </w:r>
        <w:r w:rsidRPr="0002663B">
          <w:rPr>
            <w:rStyle w:val="Hyperlink"/>
          </w:rPr>
          <w:t xml:space="preserve">prod </w:t>
        </w:r>
        <w:r>
          <w:rPr>
            <w:rStyle w:val="Hyperlink"/>
          </w:rPr>
          <w:t>Project</w:t>
        </w:r>
      </w:hyperlink>
      <w:r>
        <w:t>.</w:t>
      </w:r>
    </w:p>
  </w:endnote>
  <w:endnote w:id="50">
    <w:p w14:paraId="447B993A" w14:textId="77777777" w:rsidR="005562AF" w:rsidRDefault="005562AF" w:rsidP="00494CC3">
      <w:pPr>
        <w:pStyle w:val="EndnoteText"/>
      </w:pPr>
      <w:r>
        <w:rPr>
          <w:rStyle w:val="EndnoteReference"/>
        </w:rPr>
        <w:endnoteRef/>
      </w:r>
      <w:r>
        <w:t xml:space="preserve"> </w:t>
      </w:r>
      <w:r>
        <w:rPr>
          <w:lang w:val="en-US"/>
        </w:rPr>
        <w:t xml:space="preserve">McMillan, Henry &amp; Burns, Collin., 2021, “BLADE for productivity research”, Productivity Commission Staff Working Paper, </w:t>
      </w:r>
      <w:hyperlink r:id="rId44" w:history="1">
        <w:r>
          <w:rPr>
            <w:rStyle w:val="Hyperlink"/>
          </w:rPr>
          <w:t>BLADE for productivity research - Staff Working Paper (pc.gov.au)</w:t>
        </w:r>
      </w:hyperlink>
      <w:r>
        <w:t>, p. 39</w:t>
      </w:r>
    </w:p>
  </w:endnote>
  <w:endnote w:id="51">
    <w:p w14:paraId="54B222FB" w14:textId="77777777" w:rsidR="005562AF" w:rsidRDefault="005562AF" w:rsidP="00494CC3">
      <w:pPr>
        <w:pStyle w:val="EndnoteText"/>
      </w:pPr>
      <w:r>
        <w:rPr>
          <w:rStyle w:val="EndnoteReference"/>
        </w:rPr>
        <w:endnoteRef/>
      </w:r>
      <w:r>
        <w:t xml:space="preserve"> BCAR, 2015, “A primer on digital productivity”, p. 11, </w:t>
      </w:r>
      <w:hyperlink r:id="rId45" w:history="1">
        <w:r>
          <w:rPr>
            <w:rStyle w:val="Hyperlink"/>
          </w:rPr>
          <w:t>Microsoft Word - BCR Digital Productivity Primer - final_inspected.docx (infrastructure.gov.au)</w:t>
        </w:r>
      </w:hyperlink>
    </w:p>
  </w:endnote>
  <w:endnote w:id="52">
    <w:p w14:paraId="50F4DA03" w14:textId="77777777" w:rsidR="005562AF" w:rsidRDefault="005562AF" w:rsidP="00494CC3">
      <w:pPr>
        <w:pStyle w:val="EndnoteText"/>
      </w:pPr>
      <w:r>
        <w:rPr>
          <w:rStyle w:val="EndnoteReference"/>
        </w:rPr>
        <w:endnoteRef/>
      </w:r>
      <w:r>
        <w:t xml:space="preserve"> </w:t>
      </w:r>
      <w:bookmarkStart w:id="240" w:name="_Hlk116467432"/>
      <w:r>
        <w:t xml:space="preserve">BCAR, 2015, “A primer on digital productivity”, p. 12, </w:t>
      </w:r>
      <w:hyperlink r:id="rId46" w:history="1">
        <w:r>
          <w:rPr>
            <w:rStyle w:val="Hyperlink"/>
          </w:rPr>
          <w:t>Microsoft Word - BCR Digital Productivity Primer - final_inspected.docx (infrastructure.gov.au)</w:t>
        </w:r>
      </w:hyperlink>
    </w:p>
    <w:bookmarkEnd w:id="240"/>
  </w:endnote>
  <w:endnote w:id="53">
    <w:p w14:paraId="5C5C9555" w14:textId="77777777" w:rsidR="005562AF" w:rsidRDefault="005562AF" w:rsidP="00494CC3">
      <w:pPr>
        <w:pStyle w:val="EndnoteText"/>
      </w:pPr>
      <w:r>
        <w:rPr>
          <w:rStyle w:val="EndnoteReference"/>
        </w:rPr>
        <w:endnoteRef/>
      </w:r>
      <w:r>
        <w:t xml:space="preserve"> Ibid. </w:t>
      </w:r>
    </w:p>
  </w:endnote>
  <w:endnote w:id="54">
    <w:p w14:paraId="66D9BB76" w14:textId="77777777" w:rsidR="005562AF" w:rsidRDefault="005562AF" w:rsidP="00494CC3">
      <w:pPr>
        <w:pStyle w:val="EndnoteText"/>
      </w:pPr>
      <w:r>
        <w:rPr>
          <w:rStyle w:val="EndnoteReference"/>
        </w:rPr>
        <w:endnoteRef/>
      </w:r>
      <w:r>
        <w:t xml:space="preserve"> </w:t>
      </w:r>
      <w:r>
        <w:rPr>
          <w:lang w:val="en-US"/>
        </w:rPr>
        <w:t xml:space="preserve">McMillan, Henry &amp; Burns, Collin., 2021, “BLADE for productivity research”, Productivity Commission Staff Working Paper, </w:t>
      </w:r>
      <w:hyperlink r:id="rId47" w:history="1">
        <w:r>
          <w:rPr>
            <w:rStyle w:val="Hyperlink"/>
          </w:rPr>
          <w:t>BLADE for productivity research - Staff Working Paper (pc.gov.au)</w:t>
        </w:r>
      </w:hyperlink>
      <w:r>
        <w:t>, p. 29</w:t>
      </w:r>
    </w:p>
  </w:endnote>
  <w:endnote w:id="55">
    <w:p w14:paraId="49F9990D" w14:textId="77777777" w:rsidR="005562AF" w:rsidRDefault="005562AF" w:rsidP="00494CC3">
      <w:pPr>
        <w:pStyle w:val="EndnoteText"/>
      </w:pPr>
      <w:r>
        <w:rPr>
          <w:rStyle w:val="EndnoteReference"/>
        </w:rPr>
        <w:endnoteRef/>
      </w:r>
      <w:r>
        <w:t xml:space="preserve"> BCAR, 2017, “Digital productivity: key issues from the literature”, p. 24-25, </w:t>
      </w:r>
      <w:hyperlink r:id="rId48" w:history="1">
        <w:r>
          <w:rPr>
            <w:rStyle w:val="Hyperlink"/>
          </w:rPr>
          <w:t>Digital productivity: key issues from the literature—BCAR occasional paper (infrastructure.gov.au)</w:t>
        </w:r>
      </w:hyperlink>
      <w:r>
        <w:t>.</w:t>
      </w:r>
      <w:r w:rsidDel="009B6770">
        <w:t xml:space="preserve"> </w:t>
      </w:r>
    </w:p>
  </w:endnote>
  <w:endnote w:id="56">
    <w:p w14:paraId="077152E1" w14:textId="77777777" w:rsidR="005562AF" w:rsidRDefault="005562AF" w:rsidP="00494CC3">
      <w:pPr>
        <w:pStyle w:val="EndnoteText"/>
      </w:pPr>
      <w:r>
        <w:rPr>
          <w:rStyle w:val="EndnoteReference"/>
        </w:rPr>
        <w:endnoteRef/>
      </w:r>
      <w:r>
        <w:t xml:space="preserve"> Brynjolfsson, J., Rock, D. &amp; Syverson, C., 2018, </w:t>
      </w:r>
      <w:hyperlink r:id="rId49" w:history="1">
        <w:r w:rsidRPr="00CB5F1E">
          <w:rPr>
            <w:rStyle w:val="Hyperlink"/>
          </w:rPr>
          <w:t>https://www.nber.org/papers/w25148</w:t>
        </w:r>
      </w:hyperlink>
    </w:p>
  </w:endnote>
  <w:endnote w:id="57">
    <w:p w14:paraId="21853C56" w14:textId="77777777" w:rsidR="005562AF" w:rsidRDefault="005562AF" w:rsidP="00494CC3">
      <w:pPr>
        <w:pStyle w:val="EndnoteText"/>
      </w:pPr>
      <w:r>
        <w:rPr>
          <w:rStyle w:val="EndnoteReference"/>
        </w:rPr>
        <w:endnoteRef/>
      </w:r>
      <w:r>
        <w:t xml:space="preserve"> </w:t>
      </w:r>
      <w:r w:rsidRPr="00CC5B29">
        <w:t>Bertschek, I., Briglauer, W., Hüschelrath, K., Kauf, B., &amp; Niebel, T.</w:t>
      </w:r>
      <w:r>
        <w:t>, 2016,</w:t>
      </w:r>
      <w:r w:rsidRPr="00F87DF4">
        <w:t xml:space="preserve"> </w:t>
      </w:r>
      <w:r>
        <w:t>“</w:t>
      </w:r>
      <w:hyperlink r:id="rId50" w:history="1">
        <w:r w:rsidRPr="005E061D">
          <w:rPr>
            <w:rStyle w:val="Hyperlink"/>
            <w:i/>
          </w:rPr>
          <w:t>The Economic Impacts of Broadband Internet: A Survey</w:t>
        </w:r>
      </w:hyperlink>
      <w:r>
        <w:rPr>
          <w:rStyle w:val="Hyperlink"/>
          <w:i/>
        </w:rPr>
        <w:t>”</w:t>
      </w:r>
      <w:r>
        <w:t>, Review of Network Economics</w:t>
      </w:r>
      <w:r w:rsidRPr="00F87DF4">
        <w:t>.</w:t>
      </w:r>
    </w:p>
  </w:endnote>
  <w:endnote w:id="58">
    <w:p w14:paraId="0F68645F" w14:textId="77777777" w:rsidR="005562AF" w:rsidRDefault="005562AF" w:rsidP="00494CC3">
      <w:pPr>
        <w:pStyle w:val="EndnoteText"/>
      </w:pPr>
      <w:r>
        <w:rPr>
          <w:rStyle w:val="EndnoteReference"/>
        </w:rPr>
        <w:endnoteRef/>
      </w:r>
      <w:r>
        <w:t xml:space="preserve"> </w:t>
      </w:r>
      <w:r>
        <w:rPr>
          <w:color w:val="222222"/>
        </w:rPr>
        <w:t>Koutroumpis, P., 2019, “</w:t>
      </w:r>
      <w:r w:rsidRPr="00666ED6">
        <w:rPr>
          <w:i/>
          <w:color w:val="222222"/>
        </w:rPr>
        <w:t xml:space="preserve">The economic impact of broadband: </w:t>
      </w:r>
      <w:hyperlink r:id="rId51" w:history="1">
        <w:r w:rsidRPr="00666ED6">
          <w:rPr>
            <w:rStyle w:val="Hyperlink"/>
            <w:i/>
          </w:rPr>
          <w:t xml:space="preserve">Evidence from OECD countries. </w:t>
        </w:r>
        <w:r w:rsidRPr="00666ED6">
          <w:rPr>
            <w:rStyle w:val="Hyperlink"/>
            <w:i/>
            <w:iCs/>
          </w:rPr>
          <w:t>Technological Forecasting and Social Change</w:t>
        </w:r>
      </w:hyperlink>
      <w:r>
        <w:rPr>
          <w:rStyle w:val="Hyperlink"/>
          <w:i/>
          <w:iCs/>
        </w:rPr>
        <w:t>”</w:t>
      </w:r>
      <w:r>
        <w:rPr>
          <w:color w:val="222222"/>
        </w:rPr>
        <w:t xml:space="preserve">, </w:t>
      </w:r>
      <w:r>
        <w:rPr>
          <w:i/>
          <w:iCs/>
          <w:color w:val="222222"/>
        </w:rPr>
        <w:t>148</w:t>
      </w:r>
      <w:r>
        <w:rPr>
          <w:color w:val="222222"/>
        </w:rPr>
        <w:t xml:space="preserve"> a</w:t>
      </w:r>
      <w:r>
        <w:t>nd ITU, 2018, “</w:t>
      </w:r>
      <w:r w:rsidRPr="003A1D57">
        <w:t>The economic contribution of broadband, digitization and ICT regulation</w:t>
      </w:r>
      <w:r>
        <w:t xml:space="preserve">”, </w:t>
      </w:r>
      <w:hyperlink r:id="rId52" w:history="1">
        <w:r>
          <w:rPr>
            <w:rStyle w:val="Hyperlink"/>
          </w:rPr>
          <w:t>The economic contribution of broadband, digitalization and ICT regulation (itu.int)</w:t>
        </w:r>
      </w:hyperlink>
    </w:p>
  </w:endnote>
  <w:endnote w:id="59">
    <w:p w14:paraId="32DF3BAC" w14:textId="77777777" w:rsidR="005562AF" w:rsidRDefault="005562AF" w:rsidP="00494CC3">
      <w:pPr>
        <w:pStyle w:val="EndnoteText"/>
      </w:pPr>
      <w:r>
        <w:rPr>
          <w:rStyle w:val="EndnoteReference"/>
        </w:rPr>
        <w:endnoteRef/>
      </w:r>
      <w:r>
        <w:t xml:space="preserve"> </w:t>
      </w:r>
      <w:r w:rsidRPr="00CC5B29">
        <w:t>Czernich, N., Falck, O., Kretschmer, T., &amp; Woessmann, L.</w:t>
      </w:r>
      <w:r>
        <w:t>, 2009, “</w:t>
      </w:r>
      <w:hyperlink r:id="rId53" w:history="1">
        <w:r w:rsidRPr="00CC5B29">
          <w:rPr>
            <w:i/>
          </w:rPr>
          <w:t>Broadband Infrastructure and Economic Growth</w:t>
        </w:r>
      </w:hyperlink>
      <w:r>
        <w:rPr>
          <w:i/>
        </w:rPr>
        <w:t>”</w:t>
      </w:r>
      <w:r>
        <w:t>, CESifo Working Paper, No. 2861, Center for Economic Studies and ifo Institute (CESifo), Munich.</w:t>
      </w:r>
    </w:p>
  </w:endnote>
  <w:endnote w:id="60">
    <w:p w14:paraId="390100F0" w14:textId="77777777" w:rsidR="005562AF" w:rsidRDefault="005562AF" w:rsidP="00494CC3">
      <w:pPr>
        <w:pStyle w:val="EndnoteText"/>
      </w:pPr>
      <w:r w:rsidRPr="00436665">
        <w:rPr>
          <w:rStyle w:val="EndnoteReference"/>
        </w:rPr>
        <w:endnoteRef/>
      </w:r>
      <w:r w:rsidRPr="00436665">
        <w:t xml:space="preserve"> </w:t>
      </w:r>
      <w:r w:rsidRPr="00CC5B29">
        <w:t>Röller, L. H., &amp; Waverman, L.</w:t>
      </w:r>
      <w:r>
        <w:t>,</w:t>
      </w:r>
      <w:r w:rsidRPr="00CC5B29">
        <w:t> </w:t>
      </w:r>
      <w:r>
        <w:t>2001, “</w:t>
      </w:r>
      <w:hyperlink r:id="rId54" w:history="1">
        <w:r w:rsidRPr="00A349C3">
          <w:rPr>
            <w:i/>
          </w:rPr>
          <w:t>Telecommunications Infrastructure and Economic Development: A Simultaneous Approach</w:t>
        </w:r>
      </w:hyperlink>
      <w:r>
        <w:rPr>
          <w:i/>
        </w:rPr>
        <w:t>”</w:t>
      </w:r>
      <w:r>
        <w:t>,</w:t>
      </w:r>
      <w:r w:rsidRPr="00436665">
        <w:t> </w:t>
      </w:r>
      <w:hyperlink r:id="rId55" w:history="1">
        <w:r w:rsidRPr="00436665">
          <w:t>American Economic Review</w:t>
        </w:r>
      </w:hyperlink>
      <w:r w:rsidRPr="00436665">
        <w:t>, American Economic Association, vol. 91(4), pages 909-923, September.</w:t>
      </w:r>
    </w:p>
  </w:endnote>
  <w:endnote w:id="61">
    <w:p w14:paraId="768DCDA7" w14:textId="77777777" w:rsidR="005562AF" w:rsidRDefault="005562AF" w:rsidP="00494CC3">
      <w:pPr>
        <w:pStyle w:val="EndnoteText"/>
      </w:pPr>
      <w:r>
        <w:rPr>
          <w:rStyle w:val="EndnoteReference"/>
        </w:rPr>
        <w:endnoteRef/>
      </w:r>
      <w:r>
        <w:t xml:space="preserve"> Koutroumpis, P., 2009, “</w:t>
      </w:r>
      <w:r w:rsidRPr="00A349C3">
        <w:rPr>
          <w:i/>
        </w:rPr>
        <w:t>The economic impact of broadband on growth: a simultaneous approach</w:t>
      </w:r>
      <w:r>
        <w:rPr>
          <w:i/>
        </w:rPr>
        <w:t>”</w:t>
      </w:r>
      <w:r>
        <w:t>, Telecommunications Policy, 33 (9): 471-485.</w:t>
      </w:r>
    </w:p>
  </w:endnote>
  <w:endnote w:id="62">
    <w:p w14:paraId="39177109" w14:textId="77777777" w:rsidR="005562AF" w:rsidRPr="00A349C3" w:rsidRDefault="005562AF" w:rsidP="00494CC3">
      <w:pPr>
        <w:pStyle w:val="EndnoteText"/>
      </w:pPr>
      <w:r>
        <w:rPr>
          <w:rStyle w:val="EndnoteReference"/>
        </w:rPr>
        <w:endnoteRef/>
      </w:r>
      <w:r>
        <w:t xml:space="preserve"> </w:t>
      </w:r>
      <w:r w:rsidRPr="00303A7E">
        <w:t>Koutroumpis, P.</w:t>
      </w:r>
      <w:r>
        <w:t>,</w:t>
      </w:r>
      <w:r w:rsidRPr="00303A7E">
        <w:t xml:space="preserve"> 2018</w:t>
      </w:r>
      <w:r>
        <w:t>,</w:t>
      </w:r>
      <w:r w:rsidRPr="00303A7E">
        <w:t xml:space="preserve"> </w:t>
      </w:r>
      <w:r>
        <w:t>“</w:t>
      </w:r>
      <w:hyperlink r:id="rId56" w:history="1">
        <w:r w:rsidRPr="00303A7E">
          <w:rPr>
            <w:rStyle w:val="Hyperlink"/>
            <w:i/>
          </w:rPr>
          <w:t>The economic impact of broadband: Evidence from OECD countries</w:t>
        </w:r>
      </w:hyperlink>
      <w:r>
        <w:rPr>
          <w:rStyle w:val="Hyperlink"/>
          <w:i/>
        </w:rPr>
        <w:t>”</w:t>
      </w:r>
      <w:r>
        <w:t>,</w:t>
      </w:r>
      <w:r w:rsidRPr="00303A7E">
        <w:t xml:space="preserve"> Technological Forecasting and Social Change, 148. </w:t>
      </w:r>
    </w:p>
  </w:endnote>
  <w:endnote w:id="63">
    <w:p w14:paraId="5358395D" w14:textId="77777777" w:rsidR="005562AF" w:rsidRDefault="005562AF" w:rsidP="00494CC3">
      <w:pPr>
        <w:pStyle w:val="EndnoteText"/>
      </w:pPr>
      <w:r>
        <w:rPr>
          <w:rStyle w:val="EndnoteReference"/>
        </w:rPr>
        <w:endnoteRef/>
      </w:r>
      <w:r>
        <w:t xml:space="preserve"> Katz, R., Callorda, F., 2018, “</w:t>
      </w:r>
      <w:hyperlink r:id="rId57" w:history="1">
        <w:r w:rsidRPr="00A076B7">
          <w:rPr>
            <w:rStyle w:val="Hyperlink"/>
            <w:i/>
          </w:rPr>
          <w:t>The economic contribution of broadband, digitization and ICT regulation</w:t>
        </w:r>
      </w:hyperlink>
      <w:r>
        <w:rPr>
          <w:rStyle w:val="Hyperlink"/>
          <w:i/>
        </w:rPr>
        <w:t>”</w:t>
      </w:r>
      <w:r>
        <w:t xml:space="preserve">, Geneva, International Telecomunications Union , p.8. </w:t>
      </w:r>
    </w:p>
  </w:endnote>
  <w:endnote w:id="64">
    <w:p w14:paraId="7A9D8F7B" w14:textId="77777777" w:rsidR="005562AF" w:rsidRPr="007953F2" w:rsidRDefault="005562AF" w:rsidP="00494CC3">
      <w:pPr>
        <w:pStyle w:val="Heading1"/>
        <w:shd w:val="clear" w:color="auto" w:fill="FFFFFF"/>
        <w:spacing w:before="0" w:after="0"/>
        <w:textAlignment w:val="baseline"/>
        <w:rPr>
          <w:rFonts w:asciiTheme="minorHAnsi" w:eastAsiaTheme="minorHAnsi" w:hAnsiTheme="minorHAnsi" w:cstheme="minorBidi"/>
          <w:b w:val="0"/>
          <w:color w:val="auto"/>
          <w:kern w:val="0"/>
          <w:sz w:val="20"/>
          <w:szCs w:val="20"/>
        </w:rPr>
      </w:pPr>
      <w:r w:rsidRPr="007953F2">
        <w:rPr>
          <w:rStyle w:val="EndnoteReference"/>
          <w:rFonts w:asciiTheme="minorHAnsi" w:eastAsiaTheme="minorHAnsi" w:hAnsiTheme="minorHAnsi" w:cstheme="minorBidi"/>
          <w:b w:val="0"/>
          <w:color w:val="auto"/>
          <w:kern w:val="0"/>
          <w:sz w:val="20"/>
          <w:szCs w:val="20"/>
        </w:rPr>
        <w:endnoteRef/>
      </w:r>
      <w:r w:rsidRPr="007953F2">
        <w:rPr>
          <w:b w:val="0"/>
        </w:rPr>
        <w:t xml:space="preserve"> </w:t>
      </w:r>
      <w:r w:rsidRPr="007953F2">
        <w:rPr>
          <w:rFonts w:asciiTheme="minorHAnsi" w:eastAsiaTheme="minorHAnsi" w:hAnsiTheme="minorHAnsi" w:cstheme="minorBidi"/>
          <w:b w:val="0"/>
          <w:color w:val="auto"/>
          <w:kern w:val="0"/>
          <w:sz w:val="22"/>
          <w:szCs w:val="22"/>
        </w:rPr>
        <w:t>Katz, R., Callorda, F., 2019,</w:t>
      </w:r>
      <w:r w:rsidRPr="007953F2">
        <w:rPr>
          <w:b w:val="0"/>
          <w:sz w:val="22"/>
          <w:szCs w:val="22"/>
        </w:rPr>
        <w:t xml:space="preserve"> “</w:t>
      </w:r>
      <w:hyperlink r:id="rId58" w:history="1">
        <w:r w:rsidRPr="007953F2">
          <w:rPr>
            <w:rStyle w:val="Hyperlink"/>
            <w:rFonts w:asciiTheme="minorHAnsi" w:eastAsiaTheme="minorHAnsi" w:hAnsiTheme="minorHAnsi" w:cstheme="minorBidi"/>
            <w:b w:val="0"/>
            <w:i/>
            <w:kern w:val="0"/>
            <w:sz w:val="22"/>
            <w:szCs w:val="22"/>
          </w:rPr>
          <w:t>Economic contribution of broadband, digitization and ICT regulation: Econometric modelling for Asia-Pacific</w:t>
        </w:r>
      </w:hyperlink>
      <w:r w:rsidRPr="007953F2">
        <w:rPr>
          <w:rStyle w:val="Hyperlink"/>
          <w:rFonts w:asciiTheme="minorHAnsi" w:eastAsiaTheme="minorHAnsi" w:hAnsiTheme="minorHAnsi" w:cstheme="minorBidi"/>
          <w:b w:val="0"/>
          <w:i/>
          <w:kern w:val="0"/>
          <w:sz w:val="22"/>
          <w:szCs w:val="22"/>
        </w:rPr>
        <w:t>”,</w:t>
      </w:r>
      <w:r w:rsidRPr="007953F2">
        <w:rPr>
          <w:rFonts w:asciiTheme="minorHAnsi" w:eastAsiaTheme="minorHAnsi" w:hAnsiTheme="minorHAnsi" w:cstheme="minorBidi"/>
          <w:b w:val="0"/>
          <w:color w:val="auto"/>
          <w:kern w:val="0"/>
          <w:sz w:val="22"/>
          <w:szCs w:val="22"/>
        </w:rPr>
        <w:t xml:space="preserve"> </w:t>
      </w:r>
      <w:r w:rsidRPr="007953F2">
        <w:rPr>
          <w:rFonts w:asciiTheme="minorHAnsi" w:eastAsiaTheme="minorHAnsi" w:hAnsiTheme="minorHAnsi" w:cstheme="minorBidi"/>
          <w:b w:val="0"/>
          <w:bCs/>
          <w:color w:val="auto"/>
          <w:kern w:val="0"/>
          <w:sz w:val="22"/>
          <w:szCs w:val="22"/>
        </w:rPr>
        <w:t>International Telecommunications Union, p.7.</w:t>
      </w:r>
      <w:r w:rsidRPr="007953F2">
        <w:rPr>
          <w:rFonts w:asciiTheme="minorHAnsi" w:eastAsiaTheme="minorHAnsi" w:hAnsiTheme="minorHAnsi" w:cstheme="minorBidi"/>
          <w:b w:val="0"/>
          <w:bCs/>
          <w:color w:val="auto"/>
          <w:kern w:val="0"/>
          <w:sz w:val="20"/>
          <w:szCs w:val="20"/>
        </w:rPr>
        <w:t xml:space="preserve"> </w:t>
      </w:r>
    </w:p>
  </w:endnote>
  <w:endnote w:id="65">
    <w:p w14:paraId="099654B4" w14:textId="77777777" w:rsidR="005562AF" w:rsidRPr="00A076B7" w:rsidRDefault="005562AF" w:rsidP="00494CC3">
      <w:pPr>
        <w:pStyle w:val="EndnoteText"/>
        <w:rPr>
          <w:bCs/>
        </w:rPr>
      </w:pPr>
      <w:r>
        <w:rPr>
          <w:rStyle w:val="EndnoteReference"/>
        </w:rPr>
        <w:endnoteRef/>
      </w:r>
      <w:r>
        <w:t xml:space="preserve"> </w:t>
      </w:r>
      <w:r w:rsidRPr="00A076B7">
        <w:rPr>
          <w:bCs/>
        </w:rPr>
        <w:t>Qiang, C.Z.W.; Rossotto, C.M.; Kimura, K.</w:t>
      </w:r>
      <w:r>
        <w:rPr>
          <w:bCs/>
        </w:rPr>
        <w:t>, 2009,</w:t>
      </w:r>
      <w:r w:rsidRPr="00A076B7">
        <w:rPr>
          <w:bCs/>
        </w:rPr>
        <w:t xml:space="preserve"> </w:t>
      </w:r>
      <w:r>
        <w:rPr>
          <w:bCs/>
        </w:rPr>
        <w:t>“</w:t>
      </w:r>
      <w:hyperlink r:id="rId59" w:history="1">
        <w:r w:rsidRPr="00A076B7">
          <w:rPr>
            <w:rStyle w:val="Hyperlink"/>
            <w:bCs/>
            <w:i/>
          </w:rPr>
          <w:t>Economic impacts of broadband</w:t>
        </w:r>
      </w:hyperlink>
      <w:r>
        <w:rPr>
          <w:rStyle w:val="Hyperlink"/>
          <w:bCs/>
          <w:i/>
        </w:rPr>
        <w:t>”,</w:t>
      </w:r>
      <w:r>
        <w:rPr>
          <w:bCs/>
        </w:rPr>
        <w:t xml:space="preserve"> In Information and </w:t>
      </w:r>
      <w:r w:rsidRPr="00A076B7">
        <w:rPr>
          <w:bCs/>
        </w:rPr>
        <w:t>Communications for Development 2009: Extending Reach and Increasing Impact; World B</w:t>
      </w:r>
      <w:r>
        <w:rPr>
          <w:bCs/>
        </w:rPr>
        <w:t xml:space="preserve">ank: Washington, </w:t>
      </w:r>
      <w:r w:rsidRPr="00A076B7">
        <w:rPr>
          <w:bCs/>
        </w:rPr>
        <w:t>DC</w:t>
      </w:r>
      <w:r>
        <w:rPr>
          <w:bCs/>
        </w:rPr>
        <w:t xml:space="preserve">, USA, 2009; Chapter 3; pp. 35- </w:t>
      </w:r>
      <w:r w:rsidRPr="00A076B7">
        <w:rPr>
          <w:bCs/>
        </w:rPr>
        <w:t>50</w:t>
      </w:r>
      <w:r>
        <w:rPr>
          <w:bCs/>
        </w:rPr>
        <w:t xml:space="preserve">. </w:t>
      </w:r>
    </w:p>
  </w:endnote>
  <w:endnote w:id="66">
    <w:p w14:paraId="673C29F9" w14:textId="77777777" w:rsidR="005562AF" w:rsidRDefault="005562AF" w:rsidP="00494CC3">
      <w:pPr>
        <w:pStyle w:val="EndnoteText"/>
      </w:pPr>
      <w:r>
        <w:rPr>
          <w:rStyle w:val="EndnoteReference"/>
        </w:rPr>
        <w:endnoteRef/>
      </w:r>
      <w:r>
        <w:t xml:space="preserve"> Gruber, H.; Hätönen, J.; Koutroumpis, P., 2013, “</w:t>
      </w:r>
      <w:hyperlink r:id="rId60" w:history="1">
        <w:r w:rsidRPr="008D3DF0">
          <w:rPr>
            <w:rStyle w:val="Hyperlink"/>
            <w:i/>
          </w:rPr>
          <w:t>Broadband access in the EU: An assessment of future economic benefits</w:t>
        </w:r>
      </w:hyperlink>
      <w:r>
        <w:rPr>
          <w:rStyle w:val="Hyperlink"/>
          <w:i/>
        </w:rPr>
        <w:t>”,</w:t>
      </w:r>
      <w:r>
        <w:t xml:space="preserve"> 24th European Regional Conference of the International Telecommunications Society (ITS): "Technology, Investment and Uncertainty", Florence, Italy, 20th-23rd October, 2013, International Telecommunications Society (ITS), Calgary, p.15.</w:t>
      </w:r>
    </w:p>
  </w:endnote>
  <w:endnote w:id="67">
    <w:p w14:paraId="0A231239" w14:textId="77777777" w:rsidR="005562AF" w:rsidRDefault="005562AF" w:rsidP="00494CC3">
      <w:pPr>
        <w:pStyle w:val="EndnoteText"/>
      </w:pPr>
      <w:r>
        <w:rPr>
          <w:rStyle w:val="EndnoteReference"/>
        </w:rPr>
        <w:endnoteRef/>
      </w:r>
      <w:r>
        <w:t xml:space="preserve"> </w:t>
      </w:r>
      <w:r w:rsidRPr="00CC5B29">
        <w:t>Czernich, N., Falck, O., Kretschmer, T., &amp; Woessmann, L.</w:t>
      </w:r>
      <w:r>
        <w:t>, 2009, “</w:t>
      </w:r>
      <w:hyperlink r:id="rId61" w:history="1">
        <w:r w:rsidRPr="00CC5B29">
          <w:rPr>
            <w:i/>
          </w:rPr>
          <w:t>Broadband Infrastructure and Economic Growth</w:t>
        </w:r>
      </w:hyperlink>
      <w:r>
        <w:rPr>
          <w:i/>
        </w:rPr>
        <w:t>”</w:t>
      </w:r>
      <w:r>
        <w:t>, CESifo Working Paper, No. 2861, Center for Economic Studies and ifo Institute (CESifo), Munich.</w:t>
      </w:r>
    </w:p>
  </w:endnote>
  <w:endnote w:id="68">
    <w:p w14:paraId="7E7EC33C" w14:textId="77777777" w:rsidR="005562AF" w:rsidRPr="001937E0" w:rsidRDefault="005562AF" w:rsidP="00494CC3">
      <w:pPr>
        <w:pStyle w:val="EndnoteText"/>
      </w:pPr>
      <w:r>
        <w:rPr>
          <w:rStyle w:val="EndnoteReference"/>
        </w:rPr>
        <w:endnoteRef/>
      </w:r>
      <w:r>
        <w:t xml:space="preserve"> </w:t>
      </w:r>
      <w:r w:rsidRPr="001937E0">
        <w:t xml:space="preserve">Canzian, G., et al., 2019,“Broadband upgrade and firm performance in rural areas: Quasi-experimental evidence”, Regional Science and Urban Economics, Volume 77, </w:t>
      </w:r>
      <w:hyperlink r:id="rId62" w:history="1">
        <w:r w:rsidRPr="00CB3F83">
          <w:rPr>
            <w:rStyle w:val="Hyperlink"/>
          </w:rPr>
          <w:t>https://www.sciencedirect.com/science/article/pii/S0166046218300115</w:t>
        </w:r>
      </w:hyperlink>
      <w:r w:rsidRPr="001937E0">
        <w:t xml:space="preserve">, Pages 87-103.  </w:t>
      </w:r>
    </w:p>
  </w:endnote>
  <w:endnote w:id="69">
    <w:p w14:paraId="6014CD48" w14:textId="77777777" w:rsidR="005562AF" w:rsidRPr="00C60AE7" w:rsidRDefault="005562AF" w:rsidP="00494CC3">
      <w:pPr>
        <w:pStyle w:val="EndnoteText"/>
        <w:rPr>
          <w:lang w:val="en-US"/>
        </w:rPr>
      </w:pPr>
      <w:r>
        <w:rPr>
          <w:rStyle w:val="EndnoteReference"/>
        </w:rPr>
        <w:endnoteRef/>
      </w:r>
      <w:r>
        <w:t xml:space="preserve"> </w:t>
      </w:r>
      <w:r w:rsidRPr="001937E0">
        <w:t xml:space="preserve">MORI, Ipsos, et al., 2018, “Evaluation of the Economic Impact and Public Value of the Superfast Broadband Programme”, Final Report, </w:t>
      </w:r>
      <w:hyperlink r:id="rId63" w:history="1">
        <w:r>
          <w:rPr>
            <w:rStyle w:val="Hyperlink"/>
          </w:rPr>
          <w:t>Superfast_Integrated_Report.pdf (publishing.service.gov.uk)</w:t>
        </w:r>
      </w:hyperlink>
    </w:p>
  </w:endnote>
  <w:endnote w:id="70">
    <w:p w14:paraId="19141FFF" w14:textId="77777777" w:rsidR="005562AF" w:rsidRPr="00184C3B" w:rsidRDefault="005562AF" w:rsidP="00494CC3">
      <w:pPr>
        <w:pStyle w:val="EndnoteText"/>
      </w:pPr>
      <w:r>
        <w:rPr>
          <w:rStyle w:val="EndnoteReference"/>
        </w:rPr>
        <w:endnoteRef/>
      </w:r>
      <w:r>
        <w:t xml:space="preserve"> Frontier Economics (2021</w:t>
      </w:r>
      <w:r w:rsidRPr="00B62044">
        <w:t>). </w:t>
      </w:r>
      <w:hyperlink r:id="rId64" w:history="1">
        <w:r w:rsidRPr="00B62044">
          <w:rPr>
            <w:rStyle w:val="Hyperlink"/>
            <w:i/>
          </w:rPr>
          <w:t>The Economic Impact of New NBN Investments on Business</w:t>
        </w:r>
      </w:hyperlink>
      <w:r>
        <w:t>.</w:t>
      </w:r>
      <w:r w:rsidRPr="00B62044">
        <w:t xml:space="preserve"> The Department of Infrastructure, Transport, Regional Development and Communications.</w:t>
      </w:r>
      <w:r>
        <w:t xml:space="preserve"> p.77-79. </w:t>
      </w:r>
    </w:p>
  </w:endnote>
  <w:endnote w:id="71">
    <w:p w14:paraId="341C2F23" w14:textId="77777777" w:rsidR="005562AF" w:rsidRPr="00C451FB" w:rsidRDefault="005562AF" w:rsidP="00494CC3">
      <w:pPr>
        <w:pStyle w:val="EndnoteText"/>
        <w:rPr>
          <w:lang w:val="en-US"/>
        </w:rPr>
      </w:pPr>
      <w:r>
        <w:rPr>
          <w:rStyle w:val="EndnoteReference"/>
        </w:rPr>
        <w:endnoteRef/>
      </w:r>
      <w:r>
        <w:t xml:space="preserve"> </w:t>
      </w:r>
      <w:r w:rsidRPr="005C30E3">
        <w:t>Fabling R. &amp; Grimes, A., November 2016, “</w:t>
      </w:r>
      <w:hyperlink r:id="rId65" w:history="1">
        <w:r w:rsidRPr="005C30E3">
          <w:rPr>
            <w:rStyle w:val="Hyperlink"/>
          </w:rPr>
          <w:t>Picking up speed: Does ultrafast broadband increase firm productivity?</w:t>
        </w:r>
      </w:hyperlink>
      <w:r w:rsidRPr="005C30E3">
        <w:rPr>
          <w:rStyle w:val="Hyperlink"/>
        </w:rPr>
        <w:t>”</w:t>
      </w:r>
      <w:r w:rsidRPr="005C30E3">
        <w:t>, Motu Working Paper, No. 16-22.</w:t>
      </w:r>
    </w:p>
  </w:endnote>
  <w:endnote w:id="72">
    <w:p w14:paraId="38491FB7" w14:textId="77777777" w:rsidR="005562AF" w:rsidRPr="00DD7A52" w:rsidRDefault="005562AF" w:rsidP="00494CC3">
      <w:pPr>
        <w:pStyle w:val="EndnoteText"/>
        <w:rPr>
          <w:lang w:val="en-US"/>
        </w:rPr>
      </w:pPr>
      <w:r>
        <w:rPr>
          <w:rStyle w:val="EndnoteReference"/>
        </w:rPr>
        <w:endnoteRef/>
      </w:r>
      <w:r>
        <w:t xml:space="preserve"> Ibid.</w:t>
      </w:r>
    </w:p>
  </w:endnote>
  <w:endnote w:id="73">
    <w:p w14:paraId="68528CB0" w14:textId="77777777" w:rsidR="005562AF" w:rsidRPr="00C60AE7" w:rsidRDefault="005562AF" w:rsidP="00494CC3">
      <w:pPr>
        <w:pStyle w:val="EndnoteText"/>
        <w:rPr>
          <w:lang w:val="en-US"/>
        </w:rPr>
      </w:pPr>
      <w:r>
        <w:rPr>
          <w:rStyle w:val="EndnoteReference"/>
        </w:rPr>
        <w:endnoteRef/>
      </w:r>
      <w:r>
        <w:t xml:space="preserve"> </w:t>
      </w:r>
      <w:r w:rsidRPr="00C60AE7">
        <w:rPr>
          <w:rFonts w:cstheme="minorHAnsi"/>
          <w:color w:val="2A2A2A"/>
          <w:szCs w:val="22"/>
          <w:shd w:val="clear" w:color="auto" w:fill="FFFFFF"/>
        </w:rPr>
        <w:t>Akerman, A., et al., 2015, “The Skill Complementarity of Broadband Internet”, </w:t>
      </w:r>
      <w:r w:rsidRPr="00C60AE7">
        <w:rPr>
          <w:rStyle w:val="Emphasis"/>
          <w:rFonts w:cstheme="minorHAnsi"/>
          <w:color w:val="2A2A2A"/>
          <w:szCs w:val="22"/>
          <w:bdr w:val="none" w:sz="0" w:space="0" w:color="auto" w:frame="1"/>
          <w:shd w:val="clear" w:color="auto" w:fill="FFFFFF"/>
        </w:rPr>
        <w:t>The Quarterly Journal of Economics</w:t>
      </w:r>
      <w:r w:rsidRPr="00C60AE7">
        <w:rPr>
          <w:rFonts w:cstheme="minorHAnsi"/>
          <w:color w:val="2A2A2A"/>
          <w:szCs w:val="22"/>
          <w:shd w:val="clear" w:color="auto" w:fill="FFFFFF"/>
        </w:rPr>
        <w:t>, Volume 130, Issue 4,  </w:t>
      </w:r>
      <w:hyperlink r:id="rId66" w:history="1">
        <w:r w:rsidRPr="00C60AE7">
          <w:rPr>
            <w:rStyle w:val="Hyperlink"/>
            <w:rFonts w:cstheme="minorHAnsi"/>
            <w:color w:val="006FB7"/>
            <w:szCs w:val="22"/>
            <w:bdr w:val="none" w:sz="0" w:space="0" w:color="auto" w:frame="1"/>
            <w:shd w:val="clear" w:color="auto" w:fill="FFFFFF"/>
          </w:rPr>
          <w:t>https://doi.org/10.1093/qje/qjv028</w:t>
        </w:r>
      </w:hyperlink>
      <w:r w:rsidRPr="00242ED3">
        <w:rPr>
          <w:rFonts w:cstheme="minorHAnsi"/>
          <w:szCs w:val="22"/>
        </w:rPr>
        <w:t>,</w:t>
      </w:r>
      <w:r w:rsidRPr="00C60AE7">
        <w:rPr>
          <w:rFonts w:cstheme="minorHAnsi"/>
          <w:color w:val="2A2A2A"/>
          <w:szCs w:val="22"/>
          <w:shd w:val="clear" w:color="auto" w:fill="FFFFFF"/>
        </w:rPr>
        <w:t xml:space="preserve"> Pages 1781–1824.</w:t>
      </w:r>
      <w:r w:rsidRPr="00242ED3">
        <w:rPr>
          <w:rFonts w:cstheme="minorHAnsi"/>
          <w:szCs w:val="22"/>
        </w:rPr>
        <w:t xml:space="preserve"> </w:t>
      </w:r>
    </w:p>
  </w:endnote>
  <w:endnote w:id="74">
    <w:p w14:paraId="41EC3AA4" w14:textId="77777777" w:rsidR="005562AF" w:rsidRDefault="005562AF" w:rsidP="00494CC3">
      <w:pPr>
        <w:pStyle w:val="EndnoteText"/>
      </w:pPr>
      <w:r>
        <w:rPr>
          <w:rStyle w:val="EndnoteReference"/>
        </w:rPr>
        <w:endnoteRef/>
      </w:r>
      <w:r>
        <w:t xml:space="preserve"> Katz, R., Callorda, F., 2018, </w:t>
      </w:r>
      <w:hyperlink r:id="rId67" w:history="1">
        <w:r w:rsidRPr="00A076B7">
          <w:rPr>
            <w:rStyle w:val="Hyperlink"/>
            <w:i/>
          </w:rPr>
          <w:t>The economic contribution of broadband, digitization and ICT regulation</w:t>
        </w:r>
      </w:hyperlink>
      <w:r>
        <w:rPr>
          <w:rStyle w:val="Hyperlink"/>
          <w:i/>
        </w:rPr>
        <w:t>,</w:t>
      </w:r>
      <w:r>
        <w:t xml:space="preserve"> Geneva, International Telecomunications Union, p.4. </w:t>
      </w:r>
    </w:p>
  </w:endnote>
  <w:endnote w:id="75">
    <w:p w14:paraId="1E928557" w14:textId="77777777" w:rsidR="005562AF" w:rsidRDefault="005562AF" w:rsidP="00494CC3">
      <w:pPr>
        <w:pStyle w:val="EndnoteText"/>
      </w:pPr>
      <w:r>
        <w:rPr>
          <w:rStyle w:val="EndnoteReference"/>
        </w:rPr>
        <w:endnoteRef/>
      </w:r>
      <w:r>
        <w:t xml:space="preserve"> </w:t>
      </w:r>
      <w:r w:rsidRPr="0014680F">
        <w:t>Rohman, Ib</w:t>
      </w:r>
      <w:r>
        <w:t>rahim Kholilul and Bohlin, Erik</w:t>
      </w:r>
      <w:r w:rsidRPr="00CE3F45">
        <w:rPr>
          <w:i/>
        </w:rPr>
        <w:t>.</w:t>
      </w:r>
      <w:r>
        <w:rPr>
          <w:i/>
        </w:rPr>
        <w:t>, 2012,</w:t>
      </w:r>
      <w:r w:rsidRPr="00CE3F45">
        <w:rPr>
          <w:i/>
        </w:rPr>
        <w:t xml:space="preserve"> </w:t>
      </w:r>
      <w:r>
        <w:rPr>
          <w:i/>
        </w:rPr>
        <w:t>“</w:t>
      </w:r>
      <w:hyperlink r:id="rId68" w:history="1">
        <w:r w:rsidRPr="00CE3F45">
          <w:rPr>
            <w:rStyle w:val="Hyperlink"/>
            <w:i/>
          </w:rPr>
          <w:t>Does Broadband Speed Really Matter for Driving Economic Growth? Investigating OECD Countries</w:t>
        </w:r>
      </w:hyperlink>
      <w:r>
        <w:rPr>
          <w:rStyle w:val="Hyperlink"/>
          <w:i/>
        </w:rPr>
        <w:t>”</w:t>
      </w:r>
      <w:r w:rsidRPr="0014680F">
        <w:t>.</w:t>
      </w:r>
      <w:r>
        <w:rPr>
          <w:rFonts w:ascii="NexusSansWebPro" w:hAnsi="NexusSansWebPro"/>
          <w:color w:val="505050"/>
          <w:shd w:val="clear" w:color="auto" w:fill="FFFFFF"/>
        </w:rPr>
        <w:t xml:space="preserve"> </w:t>
      </w:r>
    </w:p>
  </w:endnote>
  <w:endnote w:id="76">
    <w:p w14:paraId="76121353" w14:textId="77777777" w:rsidR="005562AF" w:rsidRDefault="005562AF" w:rsidP="00494CC3">
      <w:pPr>
        <w:pStyle w:val="EndnoteText"/>
      </w:pPr>
      <w:r>
        <w:rPr>
          <w:rStyle w:val="EndnoteReference"/>
        </w:rPr>
        <w:endnoteRef/>
      </w:r>
      <w:r>
        <w:t xml:space="preserve"> </w:t>
      </w:r>
      <w:r>
        <w:rPr>
          <w:rFonts w:ascii="Calibri" w:hAnsi="Calibri" w:cs="Calibri"/>
          <w:color w:val="000000"/>
          <w:shd w:val="clear" w:color="auto" w:fill="FFFFFF"/>
        </w:rPr>
        <w:t>Kongaut, C., &amp; Bohlin, E., 2017</w:t>
      </w:r>
      <w:r>
        <w:rPr>
          <w:rFonts w:ascii="Calibri" w:hAnsi="Calibri" w:cs="Calibri"/>
          <w:i/>
          <w:color w:val="000000"/>
          <w:shd w:val="clear" w:color="auto" w:fill="FFFFFF"/>
        </w:rPr>
        <w:t>,</w:t>
      </w:r>
      <w:r w:rsidRPr="00CE3F45">
        <w:rPr>
          <w:rFonts w:ascii="Calibri" w:hAnsi="Calibri" w:cs="Calibri"/>
          <w:i/>
          <w:color w:val="000000"/>
          <w:shd w:val="clear" w:color="auto" w:fill="FFFFFF"/>
        </w:rPr>
        <w:t xml:space="preserve"> </w:t>
      </w:r>
      <w:r>
        <w:rPr>
          <w:rFonts w:ascii="Calibri" w:hAnsi="Calibri" w:cs="Calibri"/>
          <w:i/>
          <w:color w:val="000000"/>
          <w:shd w:val="clear" w:color="auto" w:fill="FFFFFF"/>
        </w:rPr>
        <w:t>“</w:t>
      </w:r>
      <w:hyperlink r:id="rId69" w:history="1">
        <w:r w:rsidRPr="00CE3F45">
          <w:rPr>
            <w:rStyle w:val="Hyperlink"/>
            <w:rFonts w:ascii="Calibri" w:hAnsi="Calibri" w:cs="Calibri"/>
            <w:i/>
            <w:shd w:val="clear" w:color="auto" w:fill="FFFFFF"/>
          </w:rPr>
          <w:t>Impact of broadband speed on economic outputs: An empirical study of OECD countries</w:t>
        </w:r>
      </w:hyperlink>
      <w:r>
        <w:rPr>
          <w:rStyle w:val="Hyperlink"/>
          <w:rFonts w:ascii="Calibri" w:hAnsi="Calibri" w:cs="Calibri"/>
          <w:i/>
          <w:shd w:val="clear" w:color="auto" w:fill="FFFFFF"/>
        </w:rPr>
        <w:t>”,</w:t>
      </w:r>
      <w:r>
        <w:rPr>
          <w:rFonts w:ascii="Calibri" w:hAnsi="Calibri" w:cs="Calibri"/>
          <w:color w:val="000000"/>
          <w:shd w:val="clear" w:color="auto" w:fill="FFFFFF"/>
        </w:rPr>
        <w:t> </w:t>
      </w:r>
      <w:r w:rsidRPr="00CE3F45">
        <w:rPr>
          <w:rStyle w:val="Emphasis"/>
          <w:rFonts w:ascii="Calibri" w:hAnsi="Calibri" w:cs="Calibri"/>
          <w:color w:val="000000"/>
          <w:shd w:val="clear" w:color="auto" w:fill="FFFFFF"/>
        </w:rPr>
        <w:t>Economics and Business Review EBR</w:t>
      </w:r>
      <w:r>
        <w:rPr>
          <w:rFonts w:ascii="Calibri" w:hAnsi="Calibri" w:cs="Calibri"/>
          <w:color w:val="000000"/>
          <w:shd w:val="clear" w:color="auto" w:fill="FFFFFF"/>
        </w:rPr>
        <w:t xml:space="preserve"> 17(2), 12-32, </w:t>
      </w:r>
      <w:r>
        <w:t xml:space="preserve">p.13. </w:t>
      </w:r>
    </w:p>
  </w:endnote>
  <w:endnote w:id="77">
    <w:p w14:paraId="2E7C4440" w14:textId="77777777" w:rsidR="005562AF" w:rsidRDefault="005562AF" w:rsidP="00494CC3">
      <w:pPr>
        <w:pStyle w:val="EndnoteText"/>
      </w:pPr>
      <w:r>
        <w:rPr>
          <w:rStyle w:val="EndnoteReference"/>
        </w:rPr>
        <w:endnoteRef/>
      </w:r>
      <w:r>
        <w:t xml:space="preserve"> Gruber, H.; Hätönen, J.; Koutroumpis, P., 2013, “</w:t>
      </w:r>
      <w:hyperlink r:id="rId70" w:history="1">
        <w:r w:rsidRPr="008D3DF0">
          <w:rPr>
            <w:rStyle w:val="Hyperlink"/>
            <w:i/>
          </w:rPr>
          <w:t>Broadband access in the EU: An assessment of future economic benefits</w:t>
        </w:r>
      </w:hyperlink>
      <w:r>
        <w:rPr>
          <w:rStyle w:val="Hyperlink"/>
          <w:i/>
        </w:rPr>
        <w:t>”,</w:t>
      </w:r>
      <w:r>
        <w:t xml:space="preserve"> 24th European Regional Conference of the International Telecommunications Society (ITS): "Technology, Investment and Uncertainty", International Telecommunications Society (ITS), Calgary, p.15. </w:t>
      </w:r>
    </w:p>
  </w:endnote>
  <w:endnote w:id="78">
    <w:p w14:paraId="705310B5" w14:textId="77777777" w:rsidR="005562AF" w:rsidRDefault="005562AF" w:rsidP="00494CC3">
      <w:pPr>
        <w:pStyle w:val="EndnoteText"/>
      </w:pPr>
      <w:r>
        <w:rPr>
          <w:rStyle w:val="EndnoteReference"/>
        </w:rPr>
        <w:endnoteRef/>
      </w:r>
      <w:r>
        <w:t xml:space="preserve"> </w:t>
      </w:r>
      <w:r w:rsidRPr="00571894">
        <w:t>Koutroumpis, P.</w:t>
      </w:r>
      <w:r>
        <w:t>,</w:t>
      </w:r>
      <w:r w:rsidRPr="00571894">
        <w:t xml:space="preserve"> 2018</w:t>
      </w:r>
      <w:r>
        <w:t>,</w:t>
      </w:r>
      <w:r w:rsidRPr="00571894">
        <w:t xml:space="preserve"> </w:t>
      </w:r>
      <w:r>
        <w:t>“</w:t>
      </w:r>
      <w:hyperlink r:id="rId71" w:history="1">
        <w:r w:rsidRPr="00571894">
          <w:rPr>
            <w:rStyle w:val="Hyperlink"/>
            <w:i/>
          </w:rPr>
          <w:t>The economic impact of broadband: Evidence from OECD countries</w:t>
        </w:r>
      </w:hyperlink>
      <w:r>
        <w:rPr>
          <w:rStyle w:val="Hyperlink"/>
          <w:i/>
        </w:rPr>
        <w:t>”,</w:t>
      </w:r>
      <w:r w:rsidRPr="00571894">
        <w:t xml:space="preserve"> Technological Forecasting and Social Change, 148, p.10</w:t>
      </w:r>
      <w:r w:rsidRPr="00571894">
        <w:rPr>
          <w:rFonts w:cs="Arial"/>
          <w:shd w:val="clear" w:color="auto" w:fill="FFFFFF"/>
        </w:rPr>
        <w:t xml:space="preserve">, </w:t>
      </w:r>
    </w:p>
  </w:endnote>
  <w:endnote w:id="79">
    <w:p w14:paraId="3DB4D834" w14:textId="77777777" w:rsidR="005562AF" w:rsidRDefault="005562AF" w:rsidP="00494CC3">
      <w:pPr>
        <w:pStyle w:val="EndnoteText"/>
      </w:pPr>
      <w:r>
        <w:rPr>
          <w:rStyle w:val="EndnoteReference"/>
        </w:rPr>
        <w:endnoteRef/>
      </w:r>
      <w:r>
        <w:t xml:space="preserve"> Katz, R., and Callorda, F., 2019,</w:t>
      </w:r>
      <w:r w:rsidRPr="0030579E">
        <w:rPr>
          <w:i/>
        </w:rPr>
        <w:t xml:space="preserve"> </w:t>
      </w:r>
      <w:r>
        <w:rPr>
          <w:i/>
        </w:rPr>
        <w:t>“</w:t>
      </w:r>
      <w:hyperlink r:id="rId72" w:history="1">
        <w:r w:rsidRPr="0030579E">
          <w:rPr>
            <w:rStyle w:val="Hyperlink"/>
            <w:i/>
          </w:rPr>
          <w:t>Assessing the economic potential of 10G networks</w:t>
        </w:r>
      </w:hyperlink>
      <w:r>
        <w:rPr>
          <w:rStyle w:val="Hyperlink"/>
          <w:i/>
        </w:rPr>
        <w:t>”,</w:t>
      </w:r>
      <w:r>
        <w:t xml:space="preserve"> New York: Telecom Advisory Services.</w:t>
      </w:r>
    </w:p>
  </w:endnote>
  <w:endnote w:id="80">
    <w:p w14:paraId="5DD724D2" w14:textId="77777777" w:rsidR="005562AF" w:rsidRDefault="005562AF" w:rsidP="00494CC3">
      <w:pPr>
        <w:pStyle w:val="EndnoteText"/>
      </w:pPr>
      <w:r w:rsidRPr="00B62044">
        <w:rPr>
          <w:rStyle w:val="EndnoteReference"/>
        </w:rPr>
        <w:endnoteRef/>
      </w:r>
      <w:r w:rsidRPr="00B62044">
        <w:t xml:space="preserve"> Briglauer, W., &amp; Gugler, K.</w:t>
      </w:r>
      <w:r>
        <w:t>,</w:t>
      </w:r>
      <w:r w:rsidRPr="00B62044">
        <w:t xml:space="preserve"> 2018</w:t>
      </w:r>
      <w:r>
        <w:t>,</w:t>
      </w:r>
      <w:r w:rsidRPr="00B62044">
        <w:t xml:space="preserve"> </w:t>
      </w:r>
      <w:r>
        <w:t>“</w:t>
      </w:r>
      <w:hyperlink r:id="rId73" w:history="1">
        <w:r w:rsidRPr="00B62044">
          <w:rPr>
            <w:rStyle w:val="Hyperlink"/>
            <w:i/>
          </w:rPr>
          <w:t>Go for Gigabit? First Evidence on Economic Benefits of (Ultra-)Fast Broadband Technologies in Europe</w:t>
        </w:r>
      </w:hyperlink>
      <w:r>
        <w:rPr>
          <w:rStyle w:val="Hyperlink"/>
          <w:i/>
        </w:rPr>
        <w:t>”</w:t>
      </w:r>
      <w:r>
        <w:t xml:space="preserve">, ZEW Discussion Papers, No. 18-020, Zentrum für Europäische Wirtschaftsforschung (ZEW), Mannheim, p.19. </w:t>
      </w:r>
    </w:p>
  </w:endnote>
  <w:endnote w:id="81">
    <w:p w14:paraId="21AC75A4" w14:textId="77777777" w:rsidR="005562AF" w:rsidRDefault="005562AF" w:rsidP="00494CC3">
      <w:pPr>
        <w:pStyle w:val="EndnoteText"/>
      </w:pPr>
      <w:r>
        <w:rPr>
          <w:rStyle w:val="EndnoteReference"/>
        </w:rPr>
        <w:endnoteRef/>
      </w:r>
      <w:r>
        <w:t xml:space="preserve"> </w:t>
      </w:r>
      <w:r w:rsidRPr="00B62044">
        <w:t>Briglauer, W., Dürr, N.S., &amp; Gugler, K.</w:t>
      </w:r>
      <w:r>
        <w:t xml:space="preserve">, </w:t>
      </w:r>
      <w:r w:rsidRPr="00B62044">
        <w:t>2021</w:t>
      </w:r>
      <w:r>
        <w:t>,</w:t>
      </w:r>
      <w:r w:rsidRPr="00B62044">
        <w:t xml:space="preserve"> </w:t>
      </w:r>
      <w:r>
        <w:t>“</w:t>
      </w:r>
      <w:r w:rsidRPr="00B62044">
        <w:t>A retrospective study on the regional benefits and spillover effects of high-speed broadband networks: Evidence from German counties</w:t>
      </w:r>
      <w:r>
        <w:t>”,</w:t>
      </w:r>
      <w:r w:rsidRPr="00B62044">
        <w:t> </w:t>
      </w:r>
      <w:r w:rsidRPr="00B62044">
        <w:rPr>
          <w:i/>
          <w:iCs/>
        </w:rPr>
        <w:t>International Journal of Industrial Organization, 74</w:t>
      </w:r>
      <w:r w:rsidRPr="00B62044">
        <w:t>, 102677</w:t>
      </w:r>
      <w:r>
        <w:t>, p.23</w:t>
      </w:r>
      <w:r w:rsidRPr="00B62044">
        <w:t>.</w:t>
      </w:r>
    </w:p>
  </w:endnote>
  <w:endnote w:id="82">
    <w:p w14:paraId="7029D6E3" w14:textId="77777777" w:rsidR="005562AF" w:rsidRDefault="005562AF" w:rsidP="00494CC3">
      <w:pPr>
        <w:pStyle w:val="EndnoteText"/>
      </w:pPr>
      <w:r>
        <w:rPr>
          <w:rStyle w:val="EndnoteReference"/>
        </w:rPr>
        <w:endnoteRef/>
      </w:r>
      <w:r>
        <w:t xml:space="preserve"> Frontier Economics (2021</w:t>
      </w:r>
      <w:r w:rsidRPr="00B62044">
        <w:t>). </w:t>
      </w:r>
      <w:hyperlink r:id="rId74" w:history="1">
        <w:r w:rsidRPr="00B62044">
          <w:rPr>
            <w:rStyle w:val="Hyperlink"/>
            <w:i/>
          </w:rPr>
          <w:t>The Economic Impact of New NBN Investments on Business</w:t>
        </w:r>
      </w:hyperlink>
      <w:r>
        <w:t>.</w:t>
      </w:r>
      <w:r w:rsidRPr="00B62044">
        <w:t xml:space="preserve"> The Department of Infrastructure, Transport, Regional Development and Communications.</w:t>
      </w:r>
      <w:r>
        <w:t xml:space="preserve"> p.33.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xusSansWeb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885D" w14:textId="77777777" w:rsidR="005562AF" w:rsidRDefault="005562AF"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[H1]Title—subtitle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51591500" w14:textId="77777777" w:rsidR="005562AF" w:rsidRPr="00FC413F" w:rsidRDefault="005562AF" w:rsidP="00953CCD">
    <w:pPr>
      <w:pStyle w:val="Footer"/>
      <w:tabs>
        <w:tab w:val="clear" w:pos="4513"/>
        <w:tab w:val="clear" w:pos="9026"/>
      </w:tabs>
      <w:ind w:left="-1418"/>
      <w:rPr>
        <w:rFonts w:cs="Segoe UI"/>
        <w:szCs w:val="18"/>
      </w:rPr>
    </w:pPr>
    <w:r>
      <w:rPr>
        <w:noProof/>
        <w:lang w:eastAsia="en-AU"/>
      </w:rPr>
      <w:drawing>
        <wp:inline distT="0" distB="0" distL="0" distR="0" wp14:anchorId="56AE9E00" wp14:editId="03F04B7F">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A144" w14:textId="77777777" w:rsidR="005562AF" w:rsidRPr="00FC413F" w:rsidRDefault="005562AF" w:rsidP="00113A03">
    <w:pPr>
      <w:pStyle w:val="Footer"/>
      <w:tabs>
        <w:tab w:val="clear" w:pos="4513"/>
        <w:tab w:val="clear" w:pos="9026"/>
      </w:tabs>
      <w:ind w:left="-1418"/>
      <w:rPr>
        <w:rFonts w:cs="Segoe UI"/>
        <w:szCs w:val="18"/>
      </w:rPr>
    </w:pPr>
    <w:r>
      <w:rPr>
        <w:noProof/>
        <w:lang w:eastAsia="en-AU"/>
      </w:rPr>
      <w:drawing>
        <wp:inline distT="0" distB="0" distL="0" distR="0" wp14:anchorId="348CE8B5" wp14:editId="1CC8299E">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D35F" w14:textId="4B6CC5F0" w:rsidR="005562AF" w:rsidRDefault="005562AF"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A37FF7">
      <w:rPr>
        <w:rFonts w:cs="Segoe UI"/>
        <w:noProof/>
        <w:szCs w:val="18"/>
      </w:rPr>
      <w:t>Productivity impacts from improved broadband</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7F888FDE" w14:textId="77777777" w:rsidR="005562AF" w:rsidRPr="00FC413F" w:rsidRDefault="005562AF" w:rsidP="00953CCD">
    <w:pPr>
      <w:pStyle w:val="Footer"/>
      <w:tabs>
        <w:tab w:val="clear" w:pos="4513"/>
        <w:tab w:val="clear" w:pos="9026"/>
      </w:tabs>
      <w:ind w:left="-1418"/>
      <w:rPr>
        <w:rFonts w:cs="Segoe UI"/>
        <w:szCs w:val="18"/>
      </w:rPr>
    </w:pPr>
    <w:r>
      <w:rPr>
        <w:noProof/>
        <w:lang w:eastAsia="en-AU"/>
      </w:rPr>
      <w:drawing>
        <wp:inline distT="0" distB="0" distL="0" distR="0" wp14:anchorId="492330DF" wp14:editId="6616C4E2">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B36E" w14:textId="20AFEC43" w:rsidR="005562AF" w:rsidRDefault="005562AF"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A3F33">
      <w:rPr>
        <w:rFonts w:cs="Segoe UI"/>
        <w:noProof/>
        <w:szCs w:val="18"/>
      </w:rPr>
      <w:t>Productivity impacts from improved broadband</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6E6A5AC6" w14:textId="77777777" w:rsidR="005562AF" w:rsidRPr="00FC413F" w:rsidRDefault="005562AF" w:rsidP="00796AB4">
    <w:pPr>
      <w:pStyle w:val="Footer"/>
      <w:tabs>
        <w:tab w:val="clear" w:pos="4513"/>
        <w:tab w:val="clear" w:pos="9026"/>
      </w:tabs>
      <w:ind w:left="-1418"/>
      <w:rPr>
        <w:rFonts w:cs="Segoe UI"/>
        <w:szCs w:val="18"/>
      </w:rPr>
    </w:pPr>
    <w:r>
      <w:rPr>
        <w:noProof/>
        <w:lang w:eastAsia="en-AU"/>
      </w:rPr>
      <w:drawing>
        <wp:inline distT="0" distB="0" distL="0" distR="0" wp14:anchorId="6A3902AE" wp14:editId="2828CDB7">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6D763" w14:textId="77777777" w:rsidR="005562AF" w:rsidRDefault="005562AF" w:rsidP="00FC413F">
      <w:pPr>
        <w:spacing w:after="0"/>
      </w:pPr>
      <w:r>
        <w:separator/>
      </w:r>
    </w:p>
  </w:footnote>
  <w:footnote w:type="continuationSeparator" w:id="0">
    <w:p w14:paraId="0D1DFBCE" w14:textId="77777777" w:rsidR="005562AF" w:rsidRDefault="005562AF" w:rsidP="00FC413F">
      <w:pPr>
        <w:spacing w:after="0"/>
      </w:pPr>
      <w:r>
        <w:continuationSeparator/>
      </w:r>
    </w:p>
  </w:footnote>
  <w:footnote w:id="1">
    <w:p w14:paraId="4068ACAA" w14:textId="77777777" w:rsidR="005562AF" w:rsidRDefault="005562AF" w:rsidP="00494CC3">
      <w:r>
        <w:rPr>
          <w:rStyle w:val="FootnoteReference"/>
        </w:rPr>
        <w:footnoteRef/>
      </w:r>
      <w:r>
        <w:t xml:space="preserve"> </w:t>
      </w:r>
      <w:r w:rsidRPr="00D3582D">
        <w:rPr>
          <w:sz w:val="18"/>
        </w:rPr>
        <w:t xml:space="preserve">Broadband usage is best measured either through the amount of data or bandwidth that can be accessed or used at a premises. However, there is no reliable survey information on these attributes </w:t>
      </w:r>
      <w:r>
        <w:rPr>
          <w:sz w:val="18"/>
        </w:rPr>
        <w:t>for this analysis.</w:t>
      </w:r>
    </w:p>
  </w:footnote>
  <w:footnote w:id="2">
    <w:p w14:paraId="0AB4BEAB" w14:textId="77777777" w:rsidR="005562AF" w:rsidRDefault="005562AF" w:rsidP="00494CC3">
      <w:pPr>
        <w:pStyle w:val="FootnoteText"/>
      </w:pPr>
      <w:r>
        <w:rPr>
          <w:rStyle w:val="FootnoteReference"/>
        </w:rPr>
        <w:footnoteRef/>
      </w:r>
      <w:r>
        <w:t xml:space="preserve"> The BIT does collect capital stock information, but this is only available for around 5% of all BLADE observations. </w:t>
      </w:r>
    </w:p>
  </w:footnote>
  <w:footnote w:id="3">
    <w:p w14:paraId="53034F7B" w14:textId="77777777" w:rsidR="005562AF" w:rsidRDefault="005562AF" w:rsidP="00494CC3">
      <w:pPr>
        <w:pStyle w:val="FootnoteText"/>
      </w:pPr>
      <w:r>
        <w:rPr>
          <w:rStyle w:val="FootnoteReference"/>
        </w:rPr>
        <w:footnoteRef/>
      </w:r>
      <w:r>
        <w:t xml:space="preserve"> Industry level depreciation rates are derived by dividing consumption of fixed capital by net capital stock for each industry division using data found in the ABS System of National Accounts.</w:t>
      </w:r>
    </w:p>
  </w:footnote>
  <w:footnote w:id="4">
    <w:p w14:paraId="410D05B7" w14:textId="77777777" w:rsidR="005562AF" w:rsidRPr="00FD73F2" w:rsidRDefault="005562AF" w:rsidP="00494CC3">
      <w:pPr>
        <w:pStyle w:val="FootnoteText"/>
        <w:rPr>
          <w:lang w:val="en-US"/>
        </w:rPr>
      </w:pPr>
      <w:r>
        <w:rPr>
          <w:rStyle w:val="FootnoteReference"/>
        </w:rPr>
        <w:footnoteRef/>
      </w:r>
      <w:r>
        <w:t xml:space="preserve"> </w:t>
      </w:r>
      <w:r>
        <w:rPr>
          <w:lang w:val="en-US"/>
        </w:rPr>
        <w:t xml:space="preserve">Small business borrowing interest rate derived from the RBA </w:t>
      </w:r>
      <w:r w:rsidRPr="0041203B">
        <w:rPr>
          <w:lang w:val="en-US"/>
        </w:rPr>
        <w:t>(</w:t>
      </w:r>
      <w:hyperlink r:id="rId1" w:history="1">
        <w:r>
          <w:rPr>
            <w:rStyle w:val="Hyperlink"/>
          </w:rPr>
          <w:t>Lenders' Interest Rates | RBA</w:t>
        </w:r>
      </w:hyperlink>
      <w:r w:rsidRPr="00D3582D">
        <w:rPr>
          <w:lang w:val="en-US"/>
        </w:rPr>
        <w:t>)</w:t>
      </w:r>
      <w:r w:rsidRPr="0041203B">
        <w:rPr>
          <w:lang w:val="en-US"/>
        </w:rPr>
        <w:t>.</w:t>
      </w:r>
      <w:r>
        <w:rPr>
          <w:lang w:val="en-US"/>
        </w:rPr>
        <w:t xml:space="preserve"> Inflation rate defined from CPI </w:t>
      </w:r>
      <w:r w:rsidRPr="0041203B">
        <w:rPr>
          <w:lang w:val="en-US"/>
        </w:rPr>
        <w:t>(</w:t>
      </w:r>
      <w:hyperlink r:id="rId2" w:history="1">
        <w:r>
          <w:rPr>
            <w:rStyle w:val="Hyperlink"/>
          </w:rPr>
          <w:t>Measures of Consumer Price Inflation | RBA</w:t>
        </w:r>
      </w:hyperlink>
      <w:r w:rsidRPr="0092756E">
        <w:rPr>
          <w:lang w:val="en-US"/>
        </w:rPr>
        <w:t>).</w:t>
      </w:r>
      <w:r>
        <w:rPr>
          <w:lang w:val="en-US"/>
        </w:rPr>
        <w:t xml:space="preserve"> Gamma, or depreciation of assets, is derived from ABS information </w:t>
      </w:r>
      <w:r w:rsidRPr="0092756E">
        <w:rPr>
          <w:lang w:val="en-US"/>
        </w:rPr>
        <w:t>(</w:t>
      </w:r>
      <w:hyperlink r:id="rId3" w:history="1">
        <w:r>
          <w:rPr>
            <w:rStyle w:val="Hyperlink"/>
          </w:rPr>
          <w:t>Australian National Accounts: Capital Stock (abs.gov.au)</w:t>
        </w:r>
      </w:hyperlink>
      <w:r w:rsidRPr="0092756E">
        <w:rPr>
          <w:lang w:val="en-US"/>
        </w:rPr>
        <w:t>)</w:t>
      </w:r>
      <w:r>
        <w:rPr>
          <w:lang w:val="en-US"/>
        </w:rPr>
        <w:t xml:space="preserve">. </w:t>
      </w:r>
    </w:p>
  </w:footnote>
  <w:footnote w:id="5">
    <w:p w14:paraId="2BA103C4" w14:textId="77777777" w:rsidR="005562AF" w:rsidRDefault="005562AF" w:rsidP="00494CC3">
      <w:pPr>
        <w:pStyle w:val="FootnoteText"/>
      </w:pPr>
      <w:r>
        <w:rPr>
          <w:rStyle w:val="FootnoteReference"/>
        </w:rPr>
        <w:footnoteRef/>
      </w:r>
      <w:r>
        <w:t xml:space="preserve"> Open source library available in R.</w:t>
      </w:r>
    </w:p>
  </w:footnote>
  <w:footnote w:id="6">
    <w:p w14:paraId="5B1A3837" w14:textId="77777777" w:rsidR="005562AF" w:rsidRDefault="005562AF" w:rsidP="00494CC3">
      <w:pPr>
        <w:pStyle w:val="FootnoteText"/>
      </w:pPr>
      <w:r>
        <w:rPr>
          <w:rStyle w:val="FootnoteReference"/>
        </w:rPr>
        <w:footnoteRef/>
      </w:r>
      <w:r>
        <w:t xml:space="preserve"> Regularisation is the process of introducing bias into a model to prevent a model from overfitting to a training dataset. Often this involves penalising reliance on complex terms within a model, in favour of simpler (and more general) terms within a model.</w:t>
      </w:r>
    </w:p>
  </w:footnote>
  <w:footnote w:id="7">
    <w:p w14:paraId="17EB70CC" w14:textId="77777777" w:rsidR="005562AF" w:rsidRDefault="005562AF" w:rsidP="00494CC3">
      <w:pPr>
        <w:pStyle w:val="FootnoteText"/>
      </w:pPr>
      <w:r>
        <w:rPr>
          <w:rStyle w:val="FootnoteReference"/>
        </w:rPr>
        <w:footnoteRef/>
      </w:r>
      <w:r>
        <w:t xml:space="preserve"> This figure is from BLADE and is slightly lower than the published count of 2.3 million from </w:t>
      </w:r>
      <w:hyperlink r:id="rId4" w:history="1">
        <w:r w:rsidRPr="00B54010">
          <w:rPr>
            <w:rStyle w:val="Hyperlink"/>
          </w:rPr>
          <w:t>ABS business counts</w:t>
        </w:r>
      </w:hyperlink>
      <w:r w:rsidRPr="00B54010">
        <w:t xml:space="preserve"> due to variances in scope.</w:t>
      </w:r>
    </w:p>
  </w:footnote>
  <w:footnote w:id="8">
    <w:p w14:paraId="3E52FB48" w14:textId="77777777" w:rsidR="005562AF" w:rsidRDefault="005562AF" w:rsidP="00494CC3">
      <w:pPr>
        <w:pStyle w:val="FootnoteText"/>
      </w:pPr>
      <w:r>
        <w:rPr>
          <w:rStyle w:val="FootnoteReference"/>
        </w:rPr>
        <w:footnoteRef/>
      </w:r>
      <w:r>
        <w:t xml:space="preserve"> The corresponding information including imputed data from XGBoost is $2.9 million and $131,700 average and median turnover for single premises compared to $7.5 million and $215,700 for multiple premises businesses. Average and median FTE equivalent was 2 and 0.2 respectively for single premises business compared to 11 and 0.3 for multiple premises businesses in 2018–19.</w:t>
      </w:r>
    </w:p>
  </w:footnote>
  <w:footnote w:id="9">
    <w:p w14:paraId="107EC357" w14:textId="77777777" w:rsidR="005562AF" w:rsidRDefault="005562AF" w:rsidP="00494CC3">
      <w:pPr>
        <w:pStyle w:val="FootnoteText"/>
      </w:pPr>
      <w:r>
        <w:rPr>
          <w:rStyle w:val="FootnoteReference"/>
        </w:rPr>
        <w:footnoteRef/>
      </w:r>
      <w:r>
        <w:t xml:space="preserve"> Broadband penetration (or adoption) generally refers to the number of fixed broadband subscriptions per 100 people.</w:t>
      </w:r>
      <w:r w:rsidRPr="00BA752B">
        <w:t xml:space="preserve"> </w:t>
      </w:r>
      <w:r>
        <w:t>In this definition, one subscription can provide broadband to multiple people in a household.</w:t>
      </w:r>
    </w:p>
  </w:footnote>
  <w:footnote w:id="10">
    <w:p w14:paraId="6A188D56" w14:textId="77777777" w:rsidR="005562AF" w:rsidRDefault="005562AF" w:rsidP="00494CC3">
      <w:pPr>
        <w:pStyle w:val="FootnoteText"/>
      </w:pPr>
      <w:r>
        <w:rPr>
          <w:rStyle w:val="FootnoteReference"/>
        </w:rPr>
        <w:footnoteRef/>
      </w:r>
      <w:r>
        <w:t xml:space="preserve"> Reverse causality refers to a form of potential statistical bias where the dependent (y) variable causes changes in the independent (x) variable.</w:t>
      </w:r>
    </w:p>
  </w:footnote>
  <w:footnote w:id="11">
    <w:p w14:paraId="4AF306F1" w14:textId="77777777" w:rsidR="005562AF" w:rsidRDefault="005562AF" w:rsidP="00494CC3">
      <w:pPr>
        <w:pStyle w:val="FootnoteText"/>
      </w:pPr>
      <w:r>
        <w:rPr>
          <w:rStyle w:val="FootnoteReference"/>
        </w:rPr>
        <w:footnoteRef/>
      </w:r>
      <w:r>
        <w:t xml:space="preserve"> Measured by subscribers per 100 people – equivalent to a 10</w:t>
      </w:r>
      <w:r>
        <w:noBreakHyphen/>
        <w:t>line increase.</w:t>
      </w:r>
    </w:p>
  </w:footnote>
  <w:footnote w:id="12">
    <w:p w14:paraId="685E1833" w14:textId="77777777" w:rsidR="005562AF" w:rsidRDefault="005562AF" w:rsidP="00494CC3">
      <w:pPr>
        <w:pStyle w:val="FootnoteText"/>
      </w:pPr>
      <w:r>
        <w:rPr>
          <w:rStyle w:val="FootnoteReference"/>
        </w:rPr>
        <w:footnoteRef/>
      </w:r>
      <w:r>
        <w:t xml:space="preserve"> Developing countries were statistically significant at the 10 per cent level while developed countries were statistically significant at the 5 per cent level.</w:t>
      </w:r>
    </w:p>
  </w:footnote>
  <w:footnote w:id="13">
    <w:p w14:paraId="7CD355C2" w14:textId="77777777" w:rsidR="005562AF" w:rsidRDefault="005562AF" w:rsidP="00494CC3">
      <w:pPr>
        <w:pStyle w:val="FootnoteText"/>
      </w:pPr>
      <w:r>
        <w:rPr>
          <w:rStyle w:val="FootnoteReference"/>
        </w:rPr>
        <w:footnoteRef/>
      </w:r>
      <w:r>
        <w:t xml:space="preserve"> The lower speed threshold was considered to be less than 2Mbps and the higher threshold was greater than 2Mbps.</w:t>
      </w:r>
    </w:p>
  </w:footnote>
  <w:footnote w:id="14">
    <w:p w14:paraId="528DEFA2" w14:textId="77777777" w:rsidR="005562AF" w:rsidRDefault="005562AF" w:rsidP="00494CC3">
      <w:pPr>
        <w:pStyle w:val="FootnoteText"/>
      </w:pPr>
      <w:r>
        <w:rPr>
          <w:rStyle w:val="FootnoteReference"/>
        </w:rPr>
        <w:footnoteRef/>
      </w:r>
      <w:r>
        <w:t xml:space="preserve"> Basic broadband refers to digital subscriber line and coaxial cable modem technologies.</w:t>
      </w:r>
    </w:p>
  </w:footnote>
  <w:footnote w:id="15">
    <w:p w14:paraId="2A2EF2F1" w14:textId="77777777" w:rsidR="005562AF" w:rsidRDefault="005562AF" w:rsidP="00494CC3">
      <w:pPr>
        <w:pStyle w:val="FootnoteText"/>
      </w:pPr>
      <w:r>
        <w:rPr>
          <w:rStyle w:val="FootnoteReference"/>
        </w:rPr>
        <w:footnoteRef/>
      </w:r>
      <w:r>
        <w:t xml:space="preserve"> Hybrid-fibre broadband refers to where there is a mix of basic and end-to-end fibre technology.</w:t>
      </w:r>
    </w:p>
  </w:footnote>
  <w:footnote w:id="16">
    <w:p w14:paraId="662AE044" w14:textId="77777777" w:rsidR="005562AF" w:rsidRDefault="005562AF" w:rsidP="00494CC3">
      <w:pPr>
        <w:pStyle w:val="FootnoteText"/>
      </w:pPr>
      <w:r>
        <w:rPr>
          <w:rStyle w:val="FootnoteReference"/>
        </w:rPr>
        <w:footnoteRef/>
      </w:r>
      <w:r>
        <w:t xml:space="preserve"> Rural areas were defined as populations of less than 100,000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1CC7" w14:textId="5445F80D" w:rsidR="005562AF" w:rsidRPr="00D56936" w:rsidRDefault="005562AF" w:rsidP="00D56936">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A37FF7">
      <w:rPr>
        <w:rFonts w:cs="Segoe UI Light"/>
        <w:noProof/>
        <w:color w:val="001C40"/>
        <w:sz w:val="20"/>
        <w:szCs w:val="20"/>
      </w:rPr>
      <w:t>List of figures and tables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96FA" w14:textId="221E5C75" w:rsidR="005562AF" w:rsidRPr="00D56936" w:rsidRDefault="005562AF" w:rsidP="00D56936">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A37FF7">
      <w:rPr>
        <w:rFonts w:cs="Segoe UI Light"/>
        <w:noProof/>
        <w:color w:val="001C40"/>
        <w:sz w:val="20"/>
        <w:szCs w:val="20"/>
      </w:rPr>
      <w:t>Broadband and productivity growth</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DC3C" w14:textId="73F58521" w:rsidR="005562AF" w:rsidRPr="00D56936" w:rsidRDefault="005562AF" w:rsidP="00796AB4">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EA3F33">
      <w:rPr>
        <w:rFonts w:cs="Segoe UI Light"/>
        <w:noProof/>
        <w:color w:val="001C40"/>
        <w:sz w:val="20"/>
        <w:szCs w:val="20"/>
      </w:rPr>
      <w:t>Key Findings</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5A0446"/>
    <w:multiLevelType w:val="hybridMultilevel"/>
    <w:tmpl w:val="401E4C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0EEE6B4E"/>
    <w:multiLevelType w:val="hybridMultilevel"/>
    <w:tmpl w:val="C388C720"/>
    <w:lvl w:ilvl="0" w:tplc="8A98692C">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B843BF"/>
    <w:multiLevelType w:val="hybridMultilevel"/>
    <w:tmpl w:val="3F841EF4"/>
    <w:lvl w:ilvl="0" w:tplc="C284EFE2">
      <w:start w:val="1"/>
      <w:numFmt w:val="bullet"/>
      <w:lvlText w:val=""/>
      <w:lvlJc w:val="left"/>
      <w:pPr>
        <w:ind w:left="720" w:hanging="360"/>
      </w:pPr>
      <w:rPr>
        <w:rFonts w:ascii="Symbol" w:hAnsi="Symbol" w:hint="default"/>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60C5E"/>
    <w:multiLevelType w:val="multilevel"/>
    <w:tmpl w:val="298C34E4"/>
    <w:styleLink w:val="AppendixNumbers"/>
    <w:lvl w:ilvl="0">
      <w:start w:val="1"/>
      <w:numFmt w:val="upperLetter"/>
      <w:suff w:val="space"/>
      <w:lvlText w:val="Appendix %1 –"/>
      <w:lvlJc w:val="left"/>
      <w:pPr>
        <w:ind w:left="0" w:firstLine="0"/>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C66B1F"/>
    <w:multiLevelType w:val="hybridMultilevel"/>
    <w:tmpl w:val="97588BB6"/>
    <w:lvl w:ilvl="0" w:tplc="60FC0314">
      <w:numFmt w:val="bullet"/>
      <w:lvlText w:val=""/>
      <w:lvlJc w:val="left"/>
      <w:pPr>
        <w:ind w:left="643" w:hanging="360"/>
      </w:pPr>
      <w:rPr>
        <w:rFonts w:ascii="Symbol" w:eastAsiaTheme="minorHAnsi" w:hAnsi="Symbol" w:cstheme="minorBid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9" w15:restartNumberingAfterBreak="0">
    <w:nsid w:val="38030617"/>
    <w:multiLevelType w:val="hybridMultilevel"/>
    <w:tmpl w:val="C2F0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42545C35"/>
    <w:multiLevelType w:val="hybridMultilevel"/>
    <w:tmpl w:val="416E8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45164"/>
    <w:multiLevelType w:val="hybridMultilevel"/>
    <w:tmpl w:val="187CB7E8"/>
    <w:lvl w:ilvl="0" w:tplc="8A98692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2110E6"/>
    <w:multiLevelType w:val="hybridMultilevel"/>
    <w:tmpl w:val="E3224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A1F55F8"/>
    <w:multiLevelType w:val="hybridMultilevel"/>
    <w:tmpl w:val="803E3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1365A0"/>
    <w:multiLevelType w:val="hybridMultilevel"/>
    <w:tmpl w:val="02D621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8"/>
  </w:num>
  <w:num w:numId="2">
    <w:abstractNumId w:val="16"/>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num>
  <w:num w:numId="18">
    <w:abstractNumId w:val="21"/>
  </w:num>
  <w:num w:numId="19">
    <w:abstractNumId w:val="10"/>
  </w:num>
  <w:num w:numId="20">
    <w:abstractNumId w:val="20"/>
  </w:num>
  <w:num w:numId="21">
    <w:abstractNumId w:val="12"/>
  </w:num>
  <w:num w:numId="22">
    <w:abstractNumId w:val="17"/>
  </w:num>
  <w:num w:numId="23">
    <w:abstractNumId w:val="27"/>
  </w:num>
  <w:num w:numId="24">
    <w:abstractNumId w:val="25"/>
  </w:num>
  <w:num w:numId="25">
    <w:abstractNumId w:val="29"/>
  </w:num>
  <w:num w:numId="26">
    <w:abstractNumId w:val="19"/>
  </w:num>
  <w:num w:numId="27">
    <w:abstractNumId w:val="23"/>
  </w:num>
  <w:num w:numId="28">
    <w:abstractNumId w:val="14"/>
  </w:num>
  <w:num w:numId="29">
    <w:abstractNumId w:val="11"/>
  </w:num>
  <w:num w:numId="30">
    <w:abstractNumId w:val="22"/>
  </w:num>
  <w:num w:numId="31">
    <w:abstractNumId w:val="24"/>
  </w:num>
  <w:num w:numId="32">
    <w:abstractNumId w:val="1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6865"/>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80BA2"/>
    <w:rsid w:val="00090E62"/>
    <w:rsid w:val="000B1E86"/>
    <w:rsid w:val="000C0244"/>
    <w:rsid w:val="000C1443"/>
    <w:rsid w:val="000D4B3B"/>
    <w:rsid w:val="000E29BE"/>
    <w:rsid w:val="000F0B8C"/>
    <w:rsid w:val="000F7F63"/>
    <w:rsid w:val="00105DA4"/>
    <w:rsid w:val="00113A03"/>
    <w:rsid w:val="00133A45"/>
    <w:rsid w:val="00143894"/>
    <w:rsid w:val="00190A0C"/>
    <w:rsid w:val="001D583B"/>
    <w:rsid w:val="001E4471"/>
    <w:rsid w:val="001E7AC4"/>
    <w:rsid w:val="00204A64"/>
    <w:rsid w:val="00217C11"/>
    <w:rsid w:val="00236F1B"/>
    <w:rsid w:val="00261D33"/>
    <w:rsid w:val="00261FFA"/>
    <w:rsid w:val="00272982"/>
    <w:rsid w:val="00287C7E"/>
    <w:rsid w:val="002A5AB5"/>
    <w:rsid w:val="002F1A23"/>
    <w:rsid w:val="00300077"/>
    <w:rsid w:val="00310148"/>
    <w:rsid w:val="00322B40"/>
    <w:rsid w:val="00323710"/>
    <w:rsid w:val="00342348"/>
    <w:rsid w:val="003508A8"/>
    <w:rsid w:val="00381BDA"/>
    <w:rsid w:val="003B6D01"/>
    <w:rsid w:val="003C575A"/>
    <w:rsid w:val="003D71C5"/>
    <w:rsid w:val="003F3CB7"/>
    <w:rsid w:val="00416734"/>
    <w:rsid w:val="00445017"/>
    <w:rsid w:val="004729CA"/>
    <w:rsid w:val="00473F59"/>
    <w:rsid w:val="00494CC3"/>
    <w:rsid w:val="004A3207"/>
    <w:rsid w:val="004B30F2"/>
    <w:rsid w:val="00521544"/>
    <w:rsid w:val="005413E7"/>
    <w:rsid w:val="005518D8"/>
    <w:rsid w:val="005562AF"/>
    <w:rsid w:val="005941FC"/>
    <w:rsid w:val="005A1729"/>
    <w:rsid w:val="005C0459"/>
    <w:rsid w:val="005C37D2"/>
    <w:rsid w:val="005C6047"/>
    <w:rsid w:val="005D038B"/>
    <w:rsid w:val="005E55BD"/>
    <w:rsid w:val="00610225"/>
    <w:rsid w:val="00630D43"/>
    <w:rsid w:val="006452B1"/>
    <w:rsid w:val="006542FA"/>
    <w:rsid w:val="00654F9E"/>
    <w:rsid w:val="00670726"/>
    <w:rsid w:val="0068740B"/>
    <w:rsid w:val="00691FA2"/>
    <w:rsid w:val="006D43C7"/>
    <w:rsid w:val="006E139E"/>
    <w:rsid w:val="006E3394"/>
    <w:rsid w:val="006E5952"/>
    <w:rsid w:val="00731351"/>
    <w:rsid w:val="00744CD2"/>
    <w:rsid w:val="00747265"/>
    <w:rsid w:val="00754E46"/>
    <w:rsid w:val="00756E90"/>
    <w:rsid w:val="00772C27"/>
    <w:rsid w:val="0078566B"/>
    <w:rsid w:val="00790F25"/>
    <w:rsid w:val="00793843"/>
    <w:rsid w:val="007953F2"/>
    <w:rsid w:val="00796AB4"/>
    <w:rsid w:val="0079788A"/>
    <w:rsid w:val="007B1607"/>
    <w:rsid w:val="007B68AB"/>
    <w:rsid w:val="007C591A"/>
    <w:rsid w:val="007D0784"/>
    <w:rsid w:val="00822DBF"/>
    <w:rsid w:val="008A7B93"/>
    <w:rsid w:val="008B7158"/>
    <w:rsid w:val="008C3EB2"/>
    <w:rsid w:val="008D4156"/>
    <w:rsid w:val="008E534F"/>
    <w:rsid w:val="008F24DE"/>
    <w:rsid w:val="00911E78"/>
    <w:rsid w:val="00912D17"/>
    <w:rsid w:val="009276A3"/>
    <w:rsid w:val="009279AE"/>
    <w:rsid w:val="00935A30"/>
    <w:rsid w:val="00944067"/>
    <w:rsid w:val="00953CCD"/>
    <w:rsid w:val="00985DD5"/>
    <w:rsid w:val="009B27FC"/>
    <w:rsid w:val="009B5D6B"/>
    <w:rsid w:val="009C1ECD"/>
    <w:rsid w:val="009E5B72"/>
    <w:rsid w:val="00A060E9"/>
    <w:rsid w:val="00A21D9B"/>
    <w:rsid w:val="00A24200"/>
    <w:rsid w:val="00A32D82"/>
    <w:rsid w:val="00A37FF7"/>
    <w:rsid w:val="00A44B75"/>
    <w:rsid w:val="00A44E4B"/>
    <w:rsid w:val="00A4759C"/>
    <w:rsid w:val="00A5600C"/>
    <w:rsid w:val="00A63390"/>
    <w:rsid w:val="00A82DAF"/>
    <w:rsid w:val="00A86AF3"/>
    <w:rsid w:val="00AB334E"/>
    <w:rsid w:val="00AB380A"/>
    <w:rsid w:val="00AC6195"/>
    <w:rsid w:val="00AE61A6"/>
    <w:rsid w:val="00AE7176"/>
    <w:rsid w:val="00B041CB"/>
    <w:rsid w:val="00B06EC0"/>
    <w:rsid w:val="00B12FC1"/>
    <w:rsid w:val="00B2759C"/>
    <w:rsid w:val="00B3785F"/>
    <w:rsid w:val="00B43F55"/>
    <w:rsid w:val="00B5393D"/>
    <w:rsid w:val="00B74715"/>
    <w:rsid w:val="00B76D03"/>
    <w:rsid w:val="00BB3D46"/>
    <w:rsid w:val="00BC0598"/>
    <w:rsid w:val="00BF5FA4"/>
    <w:rsid w:val="00C02452"/>
    <w:rsid w:val="00C32353"/>
    <w:rsid w:val="00C36E40"/>
    <w:rsid w:val="00C62177"/>
    <w:rsid w:val="00C933F1"/>
    <w:rsid w:val="00CA5147"/>
    <w:rsid w:val="00CC7B9C"/>
    <w:rsid w:val="00CD0046"/>
    <w:rsid w:val="00D36B96"/>
    <w:rsid w:val="00D436E6"/>
    <w:rsid w:val="00D47BFD"/>
    <w:rsid w:val="00D56177"/>
    <w:rsid w:val="00D56936"/>
    <w:rsid w:val="00D64922"/>
    <w:rsid w:val="00D85DEB"/>
    <w:rsid w:val="00DA2DA1"/>
    <w:rsid w:val="00DB3EB2"/>
    <w:rsid w:val="00DC5DC8"/>
    <w:rsid w:val="00E10062"/>
    <w:rsid w:val="00E267B5"/>
    <w:rsid w:val="00E30AE1"/>
    <w:rsid w:val="00E7227D"/>
    <w:rsid w:val="00E76BC6"/>
    <w:rsid w:val="00E80E04"/>
    <w:rsid w:val="00EA3F33"/>
    <w:rsid w:val="00EA415A"/>
    <w:rsid w:val="00EB43EE"/>
    <w:rsid w:val="00EC52C0"/>
    <w:rsid w:val="00ED761D"/>
    <w:rsid w:val="00EE4855"/>
    <w:rsid w:val="00EE6EE8"/>
    <w:rsid w:val="00EF5B98"/>
    <w:rsid w:val="00EF7245"/>
    <w:rsid w:val="00F40BD6"/>
    <w:rsid w:val="00F41576"/>
    <w:rsid w:val="00F60041"/>
    <w:rsid w:val="00F61FA1"/>
    <w:rsid w:val="00F814AD"/>
    <w:rsid w:val="00F93F41"/>
    <w:rsid w:val="00FA64C7"/>
    <w:rsid w:val="00FC413F"/>
    <w:rsid w:val="00FD3DAB"/>
    <w:rsid w:val="00FF19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18311D"/>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autoRedefine/>
    <w:uiPriority w:val="9"/>
    <w:qFormat/>
    <w:rsid w:val="00A060E9"/>
    <w:pPr>
      <w:numPr>
        <w:ilvl w:val="1"/>
      </w:numPr>
      <w:suppressAutoHyphens/>
      <w:spacing w:before="240"/>
      <w:outlineLvl w:val="0"/>
    </w:pPr>
    <w:rPr>
      <w:rFonts w:eastAsia="SimSun" w:cs="Times New Roman"/>
      <w:b/>
      <w:color w:val="081E3E"/>
      <w:kern w:val="12"/>
      <w:sz w:val="60"/>
      <w:szCs w:val="52"/>
    </w:rPr>
  </w:style>
  <w:style w:type="paragraph" w:styleId="Heading2">
    <w:name w:val="heading 2"/>
    <w:basedOn w:val="Normal"/>
    <w:next w:val="Normal"/>
    <w:link w:val="Heading2Char"/>
    <w:autoRedefine/>
    <w:uiPriority w:val="9"/>
    <w:unhideWhenUsed/>
    <w:qFormat/>
    <w:rsid w:val="00E30AE1"/>
    <w:pPr>
      <w:keepNext/>
      <w:keepLines/>
      <w:pageBreakBefore/>
      <w:suppressAutoHyphens/>
      <w:spacing w:before="320"/>
      <w:outlineLvl w:val="1"/>
    </w:pPr>
    <w:rPr>
      <w:rFonts w:eastAsia="SimSun" w:cs="Times New Roman"/>
      <w:color w:val="081E3E"/>
      <w:kern w:val="12"/>
      <w:sz w:val="44"/>
      <w:szCs w:val="26"/>
    </w:rPr>
  </w:style>
  <w:style w:type="paragraph" w:styleId="Heading3">
    <w:name w:val="heading 3"/>
    <w:basedOn w:val="Normal"/>
    <w:next w:val="Normal"/>
    <w:link w:val="Heading3Char"/>
    <w:autoRedefine/>
    <w:uiPriority w:val="9"/>
    <w:unhideWhenUsed/>
    <w:qFormat/>
    <w:rsid w:val="00EA3F33"/>
    <w:pPr>
      <w:keepNext/>
      <w:keepLines/>
      <w:suppressAutoHyphens/>
      <w:spacing w:before="240"/>
      <w:outlineLvl w:val="2"/>
    </w:pPr>
    <w:rPr>
      <w:rFonts w:eastAsia="SimSun" w:cs="Times New Roman"/>
      <w:kern w:val="12"/>
      <w:sz w:val="36"/>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A060E9"/>
    <w:rPr>
      <w:rFonts w:ascii="Calibri" w:eastAsia="SimSun" w:hAnsi="Calibri" w:cs="Times New Roman"/>
      <w:b/>
      <w:color w:val="081E3E"/>
      <w:kern w:val="12"/>
      <w:sz w:val="60"/>
      <w:szCs w:val="52"/>
    </w:rPr>
  </w:style>
  <w:style w:type="character" w:customStyle="1" w:styleId="Heading2Char">
    <w:name w:val="Heading 2 Char"/>
    <w:basedOn w:val="DefaultParagraphFont"/>
    <w:link w:val="Heading2"/>
    <w:uiPriority w:val="9"/>
    <w:rsid w:val="00E30AE1"/>
    <w:rPr>
      <w:rFonts w:ascii="Calibri" w:eastAsia="SimSun" w:hAnsi="Calibri" w:cs="Times New Roman"/>
      <w:color w:val="081E3E"/>
      <w:kern w:val="12"/>
      <w:sz w:val="44"/>
      <w:szCs w:val="26"/>
    </w:rPr>
  </w:style>
  <w:style w:type="character" w:customStyle="1" w:styleId="Heading3Char">
    <w:name w:val="Heading 3 Char"/>
    <w:basedOn w:val="DefaultParagraphFont"/>
    <w:link w:val="Heading3"/>
    <w:uiPriority w:val="9"/>
    <w:rsid w:val="00EA3F33"/>
    <w:rPr>
      <w:rFonts w:ascii="Calibri" w:eastAsia="SimSun" w:hAnsi="Calibri" w:cs="Times New Roman"/>
      <w:kern w:val="12"/>
      <w:sz w:val="36"/>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Recommendation,List Paragraph1,List Paragraph11,L,F5 List Paragraph,Dot pt,CV text,List Paragraph111,Medium Grid 1 - Accent 21,Numbered Paragraph,List Paragraph2,Bulleted Para,NFP GP Bulleted List,FooterText,numbered,列出段落,列出段落1"/>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unhideWhenUsed/>
    <w:rsid w:val="00217C11"/>
    <w:rPr>
      <w:vertAlign w:val="superscript"/>
    </w:rPr>
  </w:style>
  <w:style w:type="paragraph" w:customStyle="1" w:styleId="Tablefigureheading">
    <w:name w:val="Table/figure heading"/>
    <w:basedOn w:val="Normal"/>
    <w:next w:val="Normal"/>
    <w:autoRedefine/>
    <w:qFormat/>
    <w:rsid w:val="00FF191D"/>
    <w:pPr>
      <w:keepNext/>
      <w:spacing w:before="240"/>
    </w:pPr>
    <w:rPr>
      <w:b/>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D56177"/>
    <w:pPr>
      <w:tabs>
        <w:tab w:val="right" w:leader="dot" w:pos="9072"/>
      </w:tabs>
      <w:spacing w:after="60"/>
      <w:ind w:left="567" w:right="567" w:hanging="567"/>
    </w:pPr>
  </w:style>
  <w:style w:type="paragraph" w:styleId="TOC1">
    <w:name w:val="toc 1"/>
    <w:basedOn w:val="Normal"/>
    <w:next w:val="Normal"/>
    <w:autoRedefine/>
    <w:uiPriority w:val="39"/>
    <w:unhideWhenUsed/>
    <w:rsid w:val="000F7F63"/>
    <w:pPr>
      <w:keepNext/>
      <w:tabs>
        <w:tab w:val="right" w:leader="underscore" w:pos="9072"/>
      </w:tabs>
      <w:spacing w:before="120" w:after="0"/>
      <w:ind w:left="567" w:right="567" w:hanging="567"/>
    </w:pPr>
    <w:rPr>
      <w:b/>
      <w:color w:val="000000" w:themeColor="text1"/>
      <w:sz w:val="24"/>
      <w:u w:val="single" w:color="4BB3B5"/>
    </w:rPr>
  </w:style>
  <w:style w:type="paragraph" w:styleId="TOC2">
    <w:name w:val="toc 2"/>
    <w:basedOn w:val="Normal"/>
    <w:next w:val="Normal"/>
    <w:autoRedefine/>
    <w:uiPriority w:val="39"/>
    <w:unhideWhenUsed/>
    <w:rsid w:val="00D56177"/>
    <w:pPr>
      <w:tabs>
        <w:tab w:val="right" w:leader="dot" w:pos="9072"/>
      </w:tabs>
      <w:spacing w:after="0"/>
      <w:ind w:left="567" w:right="567" w:hanging="567"/>
    </w:p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8"/>
    <w:unhideWhenUsed/>
    <w:qFormat/>
    <w:rsid w:val="00BF5FA4"/>
    <w:pPr>
      <w:keepNext/>
      <w:keepLines/>
      <w:numPr>
        <w:ilvl w:val="0"/>
      </w:numPr>
      <w:suppressAutoHyphens w:val="0"/>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unhideWhenUsed/>
    <w:qFormat/>
    <w:rsid w:val="00A32D82"/>
    <w:pPr>
      <w:spacing w:after="200"/>
    </w:pPr>
    <w:rPr>
      <w:i/>
      <w:iCs/>
      <w:color w:val="44546A" w:themeColor="text2"/>
      <w:sz w:val="18"/>
      <w:szCs w:val="18"/>
    </w:rPr>
  </w:style>
  <w:style w:type="character" w:styleId="PlaceholderText">
    <w:name w:val="Placeholder Text"/>
    <w:basedOn w:val="DefaultParagraphFont"/>
    <w:uiPriority w:val="99"/>
    <w:semiHidden/>
    <w:rsid w:val="00494CC3"/>
    <w:rPr>
      <w:color w:val="808080"/>
    </w:rPr>
  </w:style>
  <w:style w:type="paragraph" w:styleId="Title">
    <w:name w:val="Title"/>
    <w:basedOn w:val="Normal"/>
    <w:next w:val="Normal"/>
    <w:link w:val="TitleChar"/>
    <w:uiPriority w:val="17"/>
    <w:qFormat/>
    <w:rsid w:val="00494CC3"/>
    <w:pPr>
      <w:suppressAutoHyphens/>
      <w:spacing w:before="1680" w:after="480"/>
    </w:pPr>
    <w:rPr>
      <w:rFonts w:asciiTheme="majorHAnsi" w:eastAsiaTheme="majorEastAsia" w:hAnsiTheme="majorHAnsi" w:cstheme="majorBidi"/>
      <w:b/>
      <w:color w:val="000000" w:themeColor="text1"/>
      <w:kern w:val="12"/>
      <w:sz w:val="60"/>
      <w:szCs w:val="56"/>
    </w:rPr>
  </w:style>
  <w:style w:type="character" w:customStyle="1" w:styleId="TitleChar">
    <w:name w:val="Title Char"/>
    <w:basedOn w:val="DefaultParagraphFont"/>
    <w:link w:val="Title"/>
    <w:uiPriority w:val="17"/>
    <w:rsid w:val="00494CC3"/>
    <w:rPr>
      <w:rFonts w:asciiTheme="majorHAnsi" w:eastAsiaTheme="majorEastAsia" w:hAnsiTheme="majorHAnsi" w:cstheme="majorBidi"/>
      <w:b/>
      <w:color w:val="000000" w:themeColor="text1"/>
      <w:kern w:val="12"/>
      <w:sz w:val="60"/>
      <w:szCs w:val="56"/>
    </w:rPr>
  </w:style>
  <w:style w:type="paragraph" w:customStyle="1" w:styleId="CoverDate">
    <w:name w:val="Cover Date"/>
    <w:basedOn w:val="Normal"/>
    <w:uiPriority w:val="19"/>
    <w:qFormat/>
    <w:rsid w:val="00494CC3"/>
    <w:pPr>
      <w:suppressAutoHyphens/>
      <w:spacing w:before="160" w:after="80"/>
    </w:pPr>
    <w:rPr>
      <w:rFonts w:asciiTheme="minorHAnsi" w:hAnsiTheme="minorHAnsi"/>
      <w:b/>
      <w:color w:val="000000" w:themeColor="text1"/>
      <w:kern w:val="12"/>
      <w:szCs w:val="20"/>
    </w:rPr>
  </w:style>
  <w:style w:type="character" w:styleId="PageNumber">
    <w:name w:val="page number"/>
    <w:basedOn w:val="DefaultParagraphFont"/>
    <w:uiPriority w:val="99"/>
    <w:semiHidden/>
    <w:rsid w:val="00494CC3"/>
    <w:rPr>
      <w:b/>
      <w:sz w:val="20"/>
    </w:rPr>
  </w:style>
  <w:style w:type="paragraph" w:customStyle="1" w:styleId="CoverPhoto">
    <w:name w:val="Cover Photo"/>
    <w:basedOn w:val="Normal"/>
    <w:uiPriority w:val="19"/>
    <w:qFormat/>
    <w:rsid w:val="00494CC3"/>
    <w:pPr>
      <w:suppressAutoHyphens/>
      <w:spacing w:before="1240"/>
    </w:pPr>
    <w:rPr>
      <w:rFonts w:asciiTheme="minorHAnsi" w:hAnsiTheme="minorHAnsi"/>
      <w:color w:val="000000" w:themeColor="text1"/>
      <w:kern w:val="12"/>
      <w:szCs w:val="20"/>
    </w:rPr>
  </w:style>
  <w:style w:type="paragraph" w:customStyle="1" w:styleId="Introduction">
    <w:name w:val="Introduction"/>
    <w:basedOn w:val="Normal"/>
    <w:uiPriority w:val="2"/>
    <w:qFormat/>
    <w:rsid w:val="00494CC3"/>
    <w:pPr>
      <w:suppressAutoHyphens/>
      <w:spacing w:before="240" w:after="240"/>
    </w:pPr>
    <w:rPr>
      <w:rFonts w:asciiTheme="minorHAnsi" w:hAnsiTheme="minorHAnsi"/>
      <w:color w:val="377B88"/>
      <w:kern w:val="12"/>
      <w:sz w:val="26"/>
      <w:szCs w:val="20"/>
      <w:lang w:val="x-none"/>
    </w:rPr>
  </w:style>
  <w:style w:type="paragraph" w:customStyle="1" w:styleId="Sourcenotes">
    <w:name w:val="Source notes"/>
    <w:basedOn w:val="Normal"/>
    <w:uiPriority w:val="15"/>
    <w:qFormat/>
    <w:rsid w:val="006E3394"/>
    <w:pPr>
      <w:suppressAutoHyphens/>
      <w:spacing w:after="240"/>
    </w:pPr>
    <w:rPr>
      <w:rFonts w:asciiTheme="minorHAnsi" w:hAnsiTheme="minorHAnsi"/>
      <w:color w:val="000000" w:themeColor="text1"/>
      <w:kern w:val="12"/>
      <w:sz w:val="20"/>
      <w:szCs w:val="20"/>
      <w:lang w:val="x-none"/>
    </w:rPr>
  </w:style>
  <w:style w:type="paragraph" w:customStyle="1" w:styleId="Sourcenotesnumbered">
    <w:name w:val="Source notes numbered"/>
    <w:basedOn w:val="Sourcenotes"/>
    <w:uiPriority w:val="15"/>
    <w:qFormat/>
    <w:rsid w:val="00494CC3"/>
    <w:pPr>
      <w:spacing w:before="80"/>
    </w:pPr>
  </w:style>
  <w:style w:type="paragraph" w:customStyle="1" w:styleId="ListNumbered1">
    <w:name w:val="List Numbered 1"/>
    <w:basedOn w:val="Normal"/>
    <w:uiPriority w:val="3"/>
    <w:qFormat/>
    <w:rsid w:val="00494CC3"/>
    <w:pPr>
      <w:numPr>
        <w:numId w:val="19"/>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494CC3"/>
    <w:pPr>
      <w:numPr>
        <w:ilvl w:val="1"/>
      </w:numPr>
    </w:pPr>
  </w:style>
  <w:style w:type="paragraph" w:customStyle="1" w:styleId="ListNumbered311">
    <w:name w:val="List Numbered 3.1.1"/>
    <w:basedOn w:val="ListNumbered21"/>
    <w:uiPriority w:val="3"/>
    <w:rsid w:val="00494CC3"/>
    <w:pPr>
      <w:numPr>
        <w:ilvl w:val="2"/>
      </w:numPr>
    </w:pPr>
  </w:style>
  <w:style w:type="paragraph" w:customStyle="1" w:styleId="Bullet1">
    <w:name w:val="Bullet 1"/>
    <w:basedOn w:val="Normal"/>
    <w:uiPriority w:val="3"/>
    <w:qFormat/>
    <w:rsid w:val="00494CC3"/>
    <w:pPr>
      <w:numPr>
        <w:numId w:val="18"/>
      </w:numPr>
      <w:suppressAutoHyphens/>
      <w:spacing w:before="80" w:after="80"/>
    </w:pPr>
    <w:rPr>
      <w:rFonts w:asciiTheme="minorHAnsi" w:hAnsiTheme="minorHAnsi"/>
      <w:color w:val="000000" w:themeColor="text1"/>
      <w:kern w:val="12"/>
      <w:szCs w:val="20"/>
      <w:lang w:val="x-none"/>
    </w:rPr>
  </w:style>
  <w:style w:type="paragraph" w:customStyle="1" w:styleId="Bullet2">
    <w:name w:val="Bullet 2"/>
    <w:basedOn w:val="Bullet1"/>
    <w:uiPriority w:val="3"/>
    <w:rsid w:val="00494CC3"/>
    <w:pPr>
      <w:numPr>
        <w:ilvl w:val="1"/>
      </w:numPr>
    </w:pPr>
  </w:style>
  <w:style w:type="paragraph" w:customStyle="1" w:styleId="Bullet3">
    <w:name w:val="Bullet 3"/>
    <w:basedOn w:val="Bullet2"/>
    <w:uiPriority w:val="3"/>
    <w:rsid w:val="00494CC3"/>
    <w:pPr>
      <w:numPr>
        <w:ilvl w:val="2"/>
      </w:numPr>
    </w:pPr>
  </w:style>
  <w:style w:type="paragraph" w:customStyle="1" w:styleId="Box1Text">
    <w:name w:val="Box 1 Text"/>
    <w:basedOn w:val="Normal"/>
    <w:uiPriority w:val="23"/>
    <w:qFormat/>
    <w:rsid w:val="00494CC3"/>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494CC3"/>
    <w:rPr>
      <w:b/>
      <w:szCs w:val="22"/>
    </w:rPr>
  </w:style>
  <w:style w:type="paragraph" w:customStyle="1" w:styleId="Box1Bullet1">
    <w:name w:val="Box 1 Bullet 1"/>
    <w:basedOn w:val="Box1Text"/>
    <w:uiPriority w:val="24"/>
    <w:qFormat/>
    <w:rsid w:val="00494CC3"/>
    <w:pPr>
      <w:spacing w:before="80"/>
    </w:pPr>
  </w:style>
  <w:style w:type="paragraph" w:customStyle="1" w:styleId="Box2Text">
    <w:name w:val="Box 2 Text"/>
    <w:basedOn w:val="Normal"/>
    <w:uiPriority w:val="24"/>
    <w:qFormat/>
    <w:rsid w:val="00494CC3"/>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494CC3"/>
    <w:rPr>
      <w:b/>
    </w:rPr>
  </w:style>
  <w:style w:type="paragraph" w:customStyle="1" w:styleId="Box2Bullet1">
    <w:name w:val="Box 2 Bullet 1"/>
    <w:basedOn w:val="Box2Text"/>
    <w:uiPriority w:val="25"/>
    <w:qFormat/>
    <w:rsid w:val="00494CC3"/>
    <w:pPr>
      <w:spacing w:before="80"/>
    </w:pPr>
  </w:style>
  <w:style w:type="table" w:customStyle="1" w:styleId="IconBoxTable">
    <w:name w:val="Icon Box Table"/>
    <w:basedOn w:val="TableNormal"/>
    <w:uiPriority w:val="99"/>
    <w:rsid w:val="00494CC3"/>
    <w:pPr>
      <w:spacing w:before="80" w:after="80" w:line="240" w:lineRule="auto"/>
    </w:pPr>
    <w:rPr>
      <w:color w:val="000000" w:themeColor="text1"/>
      <w:sz w:val="20"/>
      <w:szCs w:val="20"/>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494CC3"/>
    <w:pPr>
      <w:numPr>
        <w:numId w:val="18"/>
      </w:numPr>
    </w:pPr>
  </w:style>
  <w:style w:type="numbering" w:customStyle="1" w:styleId="ListNumbered">
    <w:name w:val="List Numbered"/>
    <w:uiPriority w:val="99"/>
    <w:rsid w:val="00494CC3"/>
    <w:pPr>
      <w:numPr>
        <w:numId w:val="19"/>
      </w:numPr>
    </w:pPr>
  </w:style>
  <w:style w:type="paragraph" w:customStyle="1" w:styleId="Heading1Numbered">
    <w:name w:val="Heading 1 Numbered"/>
    <w:basedOn w:val="Heading1"/>
    <w:uiPriority w:val="10"/>
    <w:rsid w:val="00494CC3"/>
    <w:pPr>
      <w:keepNext/>
      <w:keepLines/>
      <w:numPr>
        <w:ilvl w:val="0"/>
        <w:numId w:val="21"/>
      </w:numPr>
      <w:spacing w:before="480"/>
      <w:contextualSpacing/>
    </w:pPr>
    <w:rPr>
      <w:rFonts w:asciiTheme="majorHAnsi" w:eastAsiaTheme="majorEastAsia" w:hAnsiTheme="majorHAnsi" w:cstheme="majorBidi"/>
      <w:b w:val="0"/>
      <w:color w:val="44546A" w:themeColor="text2"/>
      <w:sz w:val="44"/>
      <w:szCs w:val="32"/>
    </w:rPr>
  </w:style>
  <w:style w:type="paragraph" w:customStyle="1" w:styleId="Heading2Numbered">
    <w:name w:val="Heading 2 Numbered"/>
    <w:basedOn w:val="Heading2"/>
    <w:uiPriority w:val="10"/>
    <w:rsid w:val="00494CC3"/>
    <w:pPr>
      <w:numPr>
        <w:ilvl w:val="1"/>
        <w:numId w:val="21"/>
      </w:numPr>
    </w:pPr>
    <w:rPr>
      <w:rFonts w:asciiTheme="majorHAnsi" w:eastAsiaTheme="majorEastAsia" w:hAnsiTheme="majorHAnsi" w:cstheme="majorBidi"/>
      <w:color w:val="44546A" w:themeColor="text2"/>
    </w:rPr>
  </w:style>
  <w:style w:type="paragraph" w:customStyle="1" w:styleId="Heading3Numbered">
    <w:name w:val="Heading 3 Numbered"/>
    <w:basedOn w:val="Heading3"/>
    <w:uiPriority w:val="10"/>
    <w:rsid w:val="00494CC3"/>
    <w:pPr>
      <w:numPr>
        <w:ilvl w:val="2"/>
        <w:numId w:val="21"/>
      </w:numPr>
    </w:pPr>
    <w:rPr>
      <w:rFonts w:asciiTheme="majorHAnsi" w:eastAsiaTheme="majorEastAsia" w:hAnsiTheme="majorHAnsi" w:cstheme="majorBidi"/>
      <w:color w:val="BF8F00" w:themeColor="accent4" w:themeShade="BF"/>
    </w:rPr>
  </w:style>
  <w:style w:type="paragraph" w:customStyle="1" w:styleId="Heading4Numbered">
    <w:name w:val="Heading 4 Numbered"/>
    <w:basedOn w:val="Heading4"/>
    <w:uiPriority w:val="10"/>
    <w:rsid w:val="00494CC3"/>
    <w:pPr>
      <w:numPr>
        <w:ilvl w:val="3"/>
        <w:numId w:val="21"/>
      </w:numPr>
    </w:pPr>
    <w:rPr>
      <w:rFonts w:asciiTheme="majorHAnsi" w:eastAsiaTheme="majorEastAsia" w:hAnsiTheme="majorHAnsi" w:cstheme="majorBidi"/>
      <w:color w:val="BF8F00" w:themeColor="accent4" w:themeShade="BF"/>
    </w:rPr>
  </w:style>
  <w:style w:type="paragraph" w:customStyle="1" w:styleId="Heading5Numbered">
    <w:name w:val="Heading 5 Numbered"/>
    <w:basedOn w:val="Heading5"/>
    <w:uiPriority w:val="10"/>
    <w:rsid w:val="00494CC3"/>
    <w:pPr>
      <w:keepLines/>
      <w:numPr>
        <w:ilvl w:val="4"/>
        <w:numId w:val="21"/>
      </w:numPr>
      <w:suppressAutoHyphens/>
      <w:spacing w:before="240" w:after="16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494CC3"/>
    <w:pPr>
      <w:numPr>
        <w:numId w:val="20"/>
      </w:numPr>
    </w:pPr>
  </w:style>
  <w:style w:type="paragraph" w:customStyle="1" w:styleId="AppendixHeading1">
    <w:name w:val="Appendix Heading 1"/>
    <w:basedOn w:val="Heading1"/>
    <w:uiPriority w:val="11"/>
    <w:qFormat/>
    <w:rsid w:val="00494CC3"/>
    <w:pPr>
      <w:keepNext/>
      <w:keepLines/>
      <w:numPr>
        <w:ilvl w:val="0"/>
      </w:numPr>
      <w:spacing w:before="480"/>
      <w:contextualSpacing/>
    </w:pPr>
    <w:rPr>
      <w:rFonts w:asciiTheme="majorHAnsi" w:eastAsiaTheme="majorEastAsia" w:hAnsiTheme="majorHAnsi" w:cstheme="majorBidi"/>
      <w:b w:val="0"/>
      <w:color w:val="44546A" w:themeColor="text2"/>
      <w:sz w:val="44"/>
      <w:szCs w:val="32"/>
    </w:rPr>
  </w:style>
  <w:style w:type="paragraph" w:customStyle="1" w:styleId="AppendixHeading2">
    <w:name w:val="Appendix Heading 2"/>
    <w:basedOn w:val="Heading2"/>
    <w:uiPriority w:val="11"/>
    <w:rsid w:val="00494CC3"/>
    <w:pPr>
      <w:ind w:left="851" w:hanging="851"/>
    </w:pPr>
    <w:rPr>
      <w:rFonts w:asciiTheme="majorHAnsi" w:eastAsiaTheme="majorEastAsia" w:hAnsiTheme="majorHAnsi" w:cstheme="majorBidi"/>
      <w:color w:val="44546A" w:themeColor="text2"/>
    </w:rPr>
  </w:style>
  <w:style w:type="paragraph" w:customStyle="1" w:styleId="AttachmentHeading1">
    <w:name w:val="Attachment Heading 1"/>
    <w:basedOn w:val="Heading1"/>
    <w:uiPriority w:val="11"/>
    <w:qFormat/>
    <w:rsid w:val="00494CC3"/>
    <w:pPr>
      <w:keepNext/>
      <w:keepLines/>
      <w:numPr>
        <w:ilvl w:val="0"/>
        <w:numId w:val="23"/>
      </w:numPr>
      <w:spacing w:before="480"/>
      <w:contextualSpacing/>
    </w:pPr>
    <w:rPr>
      <w:rFonts w:asciiTheme="majorHAnsi" w:eastAsiaTheme="majorEastAsia" w:hAnsiTheme="majorHAnsi" w:cstheme="majorBidi"/>
      <w:b w:val="0"/>
      <w:color w:val="44546A" w:themeColor="text2"/>
      <w:sz w:val="44"/>
      <w:szCs w:val="32"/>
    </w:rPr>
  </w:style>
  <w:style w:type="paragraph" w:customStyle="1" w:styleId="AttachmentHeading2">
    <w:name w:val="Attachment Heading 2"/>
    <w:basedOn w:val="Heading2"/>
    <w:uiPriority w:val="11"/>
    <w:rsid w:val="00494CC3"/>
    <w:pPr>
      <w:numPr>
        <w:ilvl w:val="1"/>
        <w:numId w:val="23"/>
      </w:numPr>
    </w:pPr>
    <w:rPr>
      <w:rFonts w:asciiTheme="majorHAnsi" w:eastAsiaTheme="majorEastAsia" w:hAnsiTheme="majorHAnsi" w:cstheme="majorBidi"/>
      <w:color w:val="44546A" w:themeColor="text2"/>
    </w:rPr>
  </w:style>
  <w:style w:type="numbering" w:customStyle="1" w:styleId="AppendixNumbers">
    <w:name w:val="Appendix Numbers"/>
    <w:uiPriority w:val="99"/>
    <w:rsid w:val="00494CC3"/>
    <w:pPr>
      <w:numPr>
        <w:numId w:val="22"/>
      </w:numPr>
    </w:pPr>
  </w:style>
  <w:style w:type="numbering" w:customStyle="1" w:styleId="AttachmentNumbers">
    <w:name w:val="Attachment Numbers"/>
    <w:uiPriority w:val="99"/>
    <w:rsid w:val="00494CC3"/>
    <w:pPr>
      <w:numPr>
        <w:numId w:val="23"/>
      </w:numPr>
    </w:pPr>
  </w:style>
  <w:style w:type="paragraph" w:styleId="EndnoteText">
    <w:name w:val="endnote text"/>
    <w:basedOn w:val="Normal"/>
    <w:link w:val="EndnoteTextChar"/>
    <w:uiPriority w:val="99"/>
    <w:unhideWhenUsed/>
    <w:rsid w:val="00494CC3"/>
    <w:pPr>
      <w:spacing w:after="0"/>
    </w:pPr>
    <w:rPr>
      <w:rFonts w:asciiTheme="minorHAnsi" w:hAnsiTheme="minorHAnsi"/>
      <w:szCs w:val="20"/>
    </w:rPr>
  </w:style>
  <w:style w:type="character" w:customStyle="1" w:styleId="EndnoteTextChar">
    <w:name w:val="Endnote Text Char"/>
    <w:basedOn w:val="DefaultParagraphFont"/>
    <w:link w:val="EndnoteText"/>
    <w:uiPriority w:val="99"/>
    <w:rsid w:val="00494CC3"/>
    <w:rPr>
      <w:szCs w:val="20"/>
    </w:rPr>
  </w:style>
  <w:style w:type="character" w:styleId="EndnoteReference">
    <w:name w:val="endnote reference"/>
    <w:basedOn w:val="DefaultParagraphFont"/>
    <w:uiPriority w:val="99"/>
    <w:semiHidden/>
    <w:unhideWhenUsed/>
    <w:rsid w:val="00494CC3"/>
    <w:rPr>
      <w:vertAlign w:val="superscript"/>
    </w:rPr>
  </w:style>
  <w:style w:type="table" w:styleId="GridTable5Dark-Accent1">
    <w:name w:val="Grid Table 5 Dark Accent 1"/>
    <w:basedOn w:val="TableNormal"/>
    <w:uiPriority w:val="50"/>
    <w:rsid w:val="00494C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unhideWhenUsed/>
    <w:rsid w:val="00494CC3"/>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94CC3"/>
    <w:rPr>
      <w:sz w:val="16"/>
      <w:szCs w:val="16"/>
    </w:rPr>
  </w:style>
  <w:style w:type="paragraph" w:styleId="CommentText">
    <w:name w:val="annotation text"/>
    <w:basedOn w:val="Normal"/>
    <w:link w:val="CommentTextChar"/>
    <w:uiPriority w:val="99"/>
    <w:unhideWhenUsed/>
    <w:rsid w:val="00494CC3"/>
    <w:rPr>
      <w:rFonts w:asciiTheme="minorHAnsi" w:hAnsiTheme="minorHAnsi"/>
      <w:szCs w:val="20"/>
    </w:rPr>
  </w:style>
  <w:style w:type="character" w:customStyle="1" w:styleId="CommentTextChar">
    <w:name w:val="Comment Text Char"/>
    <w:basedOn w:val="DefaultParagraphFont"/>
    <w:link w:val="CommentText"/>
    <w:uiPriority w:val="99"/>
    <w:rsid w:val="00494CC3"/>
    <w:rPr>
      <w:szCs w:val="20"/>
    </w:rPr>
  </w:style>
  <w:style w:type="paragraph" w:styleId="BalloonText">
    <w:name w:val="Balloon Text"/>
    <w:basedOn w:val="Normal"/>
    <w:link w:val="BalloonTextChar"/>
    <w:uiPriority w:val="99"/>
    <w:semiHidden/>
    <w:unhideWhenUsed/>
    <w:rsid w:val="00494CC3"/>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494CC3"/>
    <w:rPr>
      <w:rFonts w:ascii="Segoe UI" w:hAnsi="Segoe UI" w:cs="Segoe UI"/>
      <w:color w:val="000000" w:themeColor="text1"/>
      <w:kern w:val="12"/>
      <w:sz w:val="18"/>
      <w:szCs w:val="18"/>
    </w:rPr>
  </w:style>
  <w:style w:type="character" w:styleId="FollowedHyperlink">
    <w:name w:val="FollowedHyperlink"/>
    <w:basedOn w:val="DefaultParagraphFont"/>
    <w:uiPriority w:val="99"/>
    <w:semiHidden/>
    <w:unhideWhenUsed/>
    <w:rsid w:val="00494CC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94CC3"/>
    <w:pPr>
      <w:suppressAutoHyphens/>
      <w:spacing w:before="160" w:after="80"/>
    </w:pPr>
    <w:rPr>
      <w:b/>
      <w:bCs/>
      <w:color w:val="000000" w:themeColor="text1"/>
      <w:kern w:val="12"/>
    </w:rPr>
  </w:style>
  <w:style w:type="character" w:customStyle="1" w:styleId="CommentSubjectChar">
    <w:name w:val="Comment Subject Char"/>
    <w:basedOn w:val="CommentTextChar"/>
    <w:link w:val="CommentSubject"/>
    <w:uiPriority w:val="99"/>
    <w:semiHidden/>
    <w:rsid w:val="00494CC3"/>
    <w:rPr>
      <w:b/>
      <w:bCs/>
      <w:color w:val="000000" w:themeColor="text1"/>
      <w:kern w:val="12"/>
      <w:szCs w:val="20"/>
    </w:rPr>
  </w:style>
  <w:style w:type="paragraph" w:styleId="Revision">
    <w:name w:val="Revision"/>
    <w:hidden/>
    <w:uiPriority w:val="99"/>
    <w:semiHidden/>
    <w:rsid w:val="00494CC3"/>
    <w:pPr>
      <w:spacing w:after="0" w:line="240" w:lineRule="auto"/>
    </w:pPr>
    <w:rPr>
      <w:color w:val="000000" w:themeColor="text1"/>
      <w:kern w:val="12"/>
      <w:sz w:val="20"/>
      <w:szCs w:val="20"/>
    </w:rPr>
  </w:style>
  <w:style w:type="character" w:customStyle="1" w:styleId="UnresolvedMention1">
    <w:name w:val="Unresolved Mention1"/>
    <w:basedOn w:val="DefaultParagraphFont"/>
    <w:uiPriority w:val="99"/>
    <w:semiHidden/>
    <w:unhideWhenUsed/>
    <w:rsid w:val="00494CC3"/>
    <w:rPr>
      <w:color w:val="605E5C"/>
      <w:shd w:val="clear" w:color="auto" w:fill="E1DFDD"/>
    </w:rPr>
  </w:style>
  <w:style w:type="character" w:styleId="Emphasis">
    <w:name w:val="Emphasis"/>
    <w:basedOn w:val="DefaultParagraphFont"/>
    <w:uiPriority w:val="20"/>
    <w:qFormat/>
    <w:rsid w:val="00494CC3"/>
    <w:rPr>
      <w:i/>
      <w:iCs/>
    </w:rPr>
  </w:style>
  <w:style w:type="character" w:customStyle="1" w:styleId="ListParagraphChar">
    <w:name w:val="List Paragraph Char"/>
    <w:aliases w:val="Recommendation Char,List Paragraph1 Char,List Paragraph11 Char,L Char,F5 List Paragraph Char,Dot pt Char,CV text Char,List Paragraph111 Char,Medium Grid 1 - Accent 21 Char,Numbered Paragraph Char,List Paragraph2 Char,FooterText Char"/>
    <w:link w:val="ListParagraph"/>
    <w:uiPriority w:val="34"/>
    <w:qFormat/>
    <w:locked/>
    <w:rsid w:val="00494CC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12.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nfrastructure.gov.au/" TargetMode="External"/><Relationship Id="rId20" Type="http://schemas.openxmlformats.org/officeDocument/2006/relationships/image" Target="media/image7.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ublishing@infrastructure.gov.au"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mc.gov.a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4.xml"/></Relationships>
</file>

<file path=word/_rels/endnotes.xml.rels><?xml version="1.0" encoding="UTF-8" standalone="yes"?>
<Relationships xmlns="http://schemas.openxmlformats.org/package/2006/relationships"><Relationship Id="rId13" Type="http://schemas.openxmlformats.org/officeDocument/2006/relationships/hyperlink" Target="https://www.abs.gov.au/statistics/industry/technology-and-innovation/characteristics-australian-business/latest-release" TargetMode="External"/><Relationship Id="rId18" Type="http://schemas.openxmlformats.org/officeDocument/2006/relationships/hyperlink" Target="https://www.pc.gov.au/research/supporting/blade/blade.pdf" TargetMode="External"/><Relationship Id="rId26" Type="http://schemas.openxmlformats.org/officeDocument/2006/relationships/hyperlink" Target="https://www.abs.gov.au/statistics/industry/industry-overview/estimates-industry-multifactor-productivity/latest-release" TargetMode="External"/><Relationship Id="rId39" Type="http://schemas.openxmlformats.org/officeDocument/2006/relationships/hyperlink" Target="https://www.sciencedirect.com/science/article/pii/S0166046218300115" TargetMode="External"/><Relationship Id="rId21" Type="http://schemas.openxmlformats.org/officeDocument/2006/relationships/hyperlink" Target="https://treasury.gov.au/sites/default/files/2019-11/p2019-37418-productivity_0.pdf" TargetMode="External"/><Relationship Id="rId34" Type="http://schemas.openxmlformats.org/officeDocument/2006/relationships/hyperlink" Target="https://www.oecd.org/sdd/na/1876369.pdf" TargetMode="External"/><Relationship Id="rId42" Type="http://schemas.openxmlformats.org/officeDocument/2006/relationships/hyperlink" Target="https://www.pc.gov.au/research/supporting/blade/blade.pdf" TargetMode="External"/><Relationship Id="rId47" Type="http://schemas.openxmlformats.org/officeDocument/2006/relationships/hyperlink" Target="https://www.pc.gov.au/research/supporting/blade/blade.pdf" TargetMode="External"/><Relationship Id="rId50" Type="http://schemas.openxmlformats.org/officeDocument/2006/relationships/hyperlink" Target="https://papers.ssrn.com/sol3/papers.cfm?abstract_id=2828085" TargetMode="External"/><Relationship Id="rId55" Type="http://schemas.openxmlformats.org/officeDocument/2006/relationships/hyperlink" Target="https://ideas.repec.org/s/aea/aecrev.html" TargetMode="External"/><Relationship Id="rId63" Type="http://schemas.openxmlformats.org/officeDocument/2006/relationships/hyperlink" Target="https://assets.publishing.service.gov.uk/government/uploads/system/uploads/attachment_data/file/734855/Superfast_Integrated_Report.pdf" TargetMode="External"/><Relationship Id="rId68" Type="http://schemas.openxmlformats.org/officeDocument/2006/relationships/hyperlink" Target="https://papers.ssrn.com/sol3/papers.cfm?abstract_id=2034284" TargetMode="External"/><Relationship Id="rId7" Type="http://schemas.openxmlformats.org/officeDocument/2006/relationships/hyperlink" Target="https://www.abs.gov.au/statistics/industry/technology-and-innovation/characteristics-australian-business/latest-release" TargetMode="External"/><Relationship Id="rId71" Type="http://schemas.openxmlformats.org/officeDocument/2006/relationships/hyperlink" Target="https://www.ofcom.org.uk/__data/assets/pdf_file/0025/113299/economic-broadband-oecd-countries.pdf" TargetMode="External"/><Relationship Id="rId2" Type="http://schemas.openxmlformats.org/officeDocument/2006/relationships/hyperlink" Target="https://www.infrastructure.gov.au/sites/default/files/documents/the-economic-impact-of-new-nbn-investments-on-business-frontier-economics-13august2021.pdf" TargetMode="External"/><Relationship Id="rId16" Type="http://schemas.openxmlformats.org/officeDocument/2006/relationships/hyperlink" Target="https://www.infrastructure.gov.au/sites/default/files/BCR%20Digital%20Productivity%20Primer%20-%20final_inspected_0.pdf" TargetMode="External"/><Relationship Id="rId29" Type="http://schemas.openxmlformats.org/officeDocument/2006/relationships/hyperlink" Target="https://www.abs.gov.au/AUSSTATS/abs@.nsf/DetailsPage/5260.0.55.0012007?OpenDocument" TargetMode="External"/><Relationship Id="rId11" Type="http://schemas.openxmlformats.org/officeDocument/2006/relationships/hyperlink" Target="https://www.abs.gov.au/AUSSTATS/abs@.nsf/Previousproducts/8129.0Main%20Features32013-14" TargetMode="External"/><Relationship Id="rId24" Type="http://schemas.openxmlformats.org/officeDocument/2006/relationships/hyperlink" Target="https://www.infrastructure.gov.au/sites/default/files/BCR%20Digital%20Productivity%20Primer%20-%20final_inspected_0.pdf" TargetMode="External"/><Relationship Id="rId32" Type="http://schemas.openxmlformats.org/officeDocument/2006/relationships/hyperlink" Target="https://www.oecd.org/sdd/productivity-stats/2352458.pdf" TargetMode="External"/><Relationship Id="rId37" Type="http://schemas.openxmlformats.org/officeDocument/2006/relationships/hyperlink" Target="https://www.abs.gov.au/AUSSTATS/abs@.nsf/Lookup/5260.0.55.002Main+Features102014-15?OpenDocument" TargetMode="External"/><Relationship Id="rId40" Type="http://schemas.openxmlformats.org/officeDocument/2006/relationships/hyperlink" Target="https://motu-www.motu.org.nz/wpapers/16_22.pdf" TargetMode="External"/><Relationship Id="rId45" Type="http://schemas.openxmlformats.org/officeDocument/2006/relationships/hyperlink" Target="https://www.infrastructure.gov.au/sites/default/files/BCR%20Digital%20Productivity%20Primer%20-%20final_inspected_0.pdf" TargetMode="External"/><Relationship Id="rId53" Type="http://schemas.openxmlformats.org/officeDocument/2006/relationships/hyperlink" Target="https://www.econstor.eu/bitstream/10419/30590/1/615363539.pdf" TargetMode="External"/><Relationship Id="rId58" Type="http://schemas.openxmlformats.org/officeDocument/2006/relationships/hyperlink" Target="https://www.itu.int/pub/D-PREF-EF.BDT_AP-2019" TargetMode="External"/><Relationship Id="rId66" Type="http://schemas.openxmlformats.org/officeDocument/2006/relationships/hyperlink" Target="https://doi.org/10.1093/qje/qjv028" TargetMode="External"/><Relationship Id="rId74" Type="http://schemas.openxmlformats.org/officeDocument/2006/relationships/hyperlink" Target="https://www.infrastructure.gov.au/media-centre/publications/economic-impact-new-nbn-investments-business-report-frontier-economics" TargetMode="External"/><Relationship Id="rId5" Type="http://schemas.openxmlformats.org/officeDocument/2006/relationships/hyperlink" Target="https://www.abs.gov.au/statistics/industry/technology-and-innovation/characteristics-australian-business/2018-19" TargetMode="External"/><Relationship Id="rId15" Type="http://schemas.openxmlformats.org/officeDocument/2006/relationships/hyperlink" Target="https://www.abs.gov.au/statistics/industry/industry-overview/estimates-industry-multifactor-productivity/latest-release" TargetMode="External"/><Relationship Id="rId23" Type="http://schemas.openxmlformats.org/officeDocument/2006/relationships/hyperlink" Target="https://www.abs.gov.au/statistics/economy/price-indexes-and-inflation/consumer-price-index-australia/latest-release" TargetMode="External"/><Relationship Id="rId28" Type="http://schemas.openxmlformats.org/officeDocument/2006/relationships/hyperlink" Target="https://www.oecd.org/sdd/productivity-stats/2352458.pdf" TargetMode="External"/><Relationship Id="rId36" Type="http://schemas.openxmlformats.org/officeDocument/2006/relationships/hyperlink" Target="https://www.ato.gov.au/Business/Business-activity-statements-(BAS)/Goods-and-services-tax-(GST)/GST-reporting-methods/" TargetMode="External"/><Relationship Id="rId49" Type="http://schemas.openxmlformats.org/officeDocument/2006/relationships/hyperlink" Target="https://www.nber.org/papers/w25148" TargetMode="External"/><Relationship Id="rId57" Type="http://schemas.openxmlformats.org/officeDocument/2006/relationships/hyperlink" Target="https://www.itu.int/pub/D-PREF-EF.BDR-2018" TargetMode="External"/><Relationship Id="rId61" Type="http://schemas.openxmlformats.org/officeDocument/2006/relationships/hyperlink" Target="https://www.econstor.eu/bitstream/10419/30590/1/615363539.pdf" TargetMode="External"/><Relationship Id="rId10" Type="http://schemas.openxmlformats.org/officeDocument/2006/relationships/hyperlink" Target="https://www.abs.gov.au/statistics/industry/technology-and-innovation/characteristics-australian-business/latest-release" TargetMode="External"/><Relationship Id="rId19" Type="http://schemas.openxmlformats.org/officeDocument/2006/relationships/hyperlink" Target="https://www.abs.gov.au/statistics/industry/technology-and-innovation/characteristics-australian-business/latest-release" TargetMode="External"/><Relationship Id="rId31" Type="http://schemas.openxmlformats.org/officeDocument/2006/relationships/hyperlink" Target="https://www.abs.gov.au/statistics/detailed-methodology-information/concepts-sources-methods/australian-system-national-accounts-concepts-sources-and-methods/2020-21/chapter-14-capital-account/consumption-fixed-capital" TargetMode="External"/><Relationship Id="rId44" Type="http://schemas.openxmlformats.org/officeDocument/2006/relationships/hyperlink" Target="https://www.pc.gov.au/research/supporting/blade/blade.pdf" TargetMode="External"/><Relationship Id="rId52" Type="http://schemas.openxmlformats.org/officeDocument/2006/relationships/hyperlink" Target="https://www.itu.int/pub/D-PREF-EF.BDR-2018" TargetMode="External"/><Relationship Id="rId60" Type="http://schemas.openxmlformats.org/officeDocument/2006/relationships/hyperlink" Target="https://www.econstor.eu/bitstream/10419/88492/1/773374760.pdf" TargetMode="External"/><Relationship Id="rId65" Type="http://schemas.openxmlformats.org/officeDocument/2006/relationships/hyperlink" Target="https://motu-www.motu.org.nz/wpapers/16_22.pdf" TargetMode="External"/><Relationship Id="rId73" Type="http://schemas.openxmlformats.org/officeDocument/2006/relationships/hyperlink" Target="https://www.econstor.eu/bitstream/10419/177828/1/1019312734.pdf" TargetMode="External"/><Relationship Id="rId4" Type="http://schemas.openxmlformats.org/officeDocument/2006/relationships/hyperlink" Target="https://www.sciencedirect.com/science/article/pii/S0166046218300115" TargetMode="External"/><Relationship Id="rId9" Type="http://schemas.openxmlformats.org/officeDocument/2006/relationships/hyperlink" Target="https://www.cpaaustralia.com.au/-/media/project/cpa/corporate/documents/tools-and-resources/business-management/australia-summary-sbs-2021-22.pdf?rev=bcaa62fc50644f42bf3f37c7d0a59098" TargetMode="External"/><Relationship Id="rId14" Type="http://schemas.openxmlformats.org/officeDocument/2006/relationships/hyperlink" Target="https://www.abs.gov.au/AUSSTATS/abs@.nsf/Previousproducts/8129.0Main%20Features32013-14" TargetMode="External"/><Relationship Id="rId22" Type="http://schemas.openxmlformats.org/officeDocument/2006/relationships/hyperlink" Target="https://www.abs.gov.au/statistics/detailed-methodology-information/concepts-sources-methods/australian-system-national-accounts-concepts-sources-and-methods/2020-21/chapter-10-gross-domestic-product-expenditure-approach-gdpe/gross-fixed-capital-formation" TargetMode="External"/><Relationship Id="rId27" Type="http://schemas.openxmlformats.org/officeDocument/2006/relationships/hyperlink" Target="https://www.oecd.org/sdd/productivity-stats/2352458.pdf" TargetMode="External"/><Relationship Id="rId30" Type="http://schemas.openxmlformats.org/officeDocument/2006/relationships/hyperlink" Target="https://www.oecd-ilibrary.org/docserver/2069b6a3-en.pdf?expires=1623904578&amp;id=id&amp;accname=guest&amp;checksum=8CF126B16D5AC54BF6F147CFABE5E2B8" TargetMode="External"/><Relationship Id="rId35" Type="http://schemas.openxmlformats.org/officeDocument/2006/relationships/hyperlink" Target="https://www.pc.gov.au/research/supporting/blade/blade.pdf" TargetMode="External"/><Relationship Id="rId43" Type="http://schemas.openxmlformats.org/officeDocument/2006/relationships/hyperlink" Target="https://www.oecd-ilibrary.org/docserver/2069b6a3-en.pdf?expires=1623904578&amp;id=id&amp;accname=guest&amp;checksum=8CF126B16D5AC54BF6F147CFABE5E2B8" TargetMode="External"/><Relationship Id="rId48" Type="http://schemas.openxmlformats.org/officeDocument/2006/relationships/hyperlink" Target="https://www.infrastructure.gov.au/sites/default/files/documents/digital-productivity-key-issues-from-the-literature_0.pdf" TargetMode="External"/><Relationship Id="rId56" Type="http://schemas.openxmlformats.org/officeDocument/2006/relationships/hyperlink" Target="https://www.ofcom.org.uk/__data/assets/pdf_file/0025/113299/economic-broadband-oecd-countries.pdf" TargetMode="External"/><Relationship Id="rId64" Type="http://schemas.openxmlformats.org/officeDocument/2006/relationships/hyperlink" Target="https://www.infrastructure.gov.au/media-centre/publications/economic-impact-new-nbn-investments-business-report-frontier-economics" TargetMode="External"/><Relationship Id="rId69" Type="http://schemas.openxmlformats.org/officeDocument/2006/relationships/hyperlink" Target="https://www.ebr.edu.pl/volume17/issue2/abstract-12.html" TargetMode="External"/><Relationship Id="rId8" Type="http://schemas.openxmlformats.org/officeDocument/2006/relationships/hyperlink" Target="https://www.abs.gov.au/statistics/industry/retail-and-wholesale-trade/retail-trade-australia/latest-release" TargetMode="External"/><Relationship Id="rId51" Type="http://schemas.openxmlformats.org/officeDocument/2006/relationships/hyperlink" Target="https://www.ofcom.org.uk/__data/assets/pdf_file/0025/113299/economic-broadband-oecd-countries.pdf" TargetMode="External"/><Relationship Id="rId72" Type="http://schemas.openxmlformats.org/officeDocument/2006/relationships/hyperlink" Target="https://www.ncta.com/sites/default/files/2020-10/TAS_10G_FINAL.pdf" TargetMode="External"/><Relationship Id="rId3" Type="http://schemas.openxmlformats.org/officeDocument/2006/relationships/hyperlink" Target="https://www.infrastructure.gov.au/department/media/news/economic-impact-ubiquitous-high-speed-broadband-agriculture-sector" TargetMode="External"/><Relationship Id="rId12" Type="http://schemas.openxmlformats.org/officeDocument/2006/relationships/hyperlink" Target="https://www.abs.gov.au/AUSSTATS/abs@.nsf/Previousproducts/8129.0Main%20Features32013-14" TargetMode="External"/><Relationship Id="rId17" Type="http://schemas.openxmlformats.org/officeDocument/2006/relationships/hyperlink" Target="https://motu-www.motu.org.nz/wpapers/16_22.pdf" TargetMode="External"/><Relationship Id="rId25" Type="http://schemas.openxmlformats.org/officeDocument/2006/relationships/hyperlink" Target="https://stats.oecd.org/glossary/detail.asp?ID=2711" TargetMode="External"/><Relationship Id="rId33" Type="http://schemas.openxmlformats.org/officeDocument/2006/relationships/hyperlink" Target="https://www.oecd.org/sdd/na/1876369.pdf" TargetMode="External"/><Relationship Id="rId38" Type="http://schemas.openxmlformats.org/officeDocument/2006/relationships/hyperlink" Target="https://motu-www.motu.org.nz/wpapers/16_22.pdf" TargetMode="External"/><Relationship Id="rId46" Type="http://schemas.openxmlformats.org/officeDocument/2006/relationships/hyperlink" Target="https://www.infrastructure.gov.au/sites/default/files/BCR%20Digital%20Productivity%20Primer%20-%20final_inspected_0.pdf" TargetMode="External"/><Relationship Id="rId59" Type="http://schemas.openxmlformats.org/officeDocument/2006/relationships/hyperlink" Target="https://documents1.worldbank.org/curated/en/645821468337815208/pdf/487910PUB0EPI1101Official0Use0Only1.pdf" TargetMode="External"/><Relationship Id="rId67" Type="http://schemas.openxmlformats.org/officeDocument/2006/relationships/hyperlink" Target="https://www.itu.int/pub/D-PREF-EF.BDR-2018" TargetMode="External"/><Relationship Id="rId20" Type="http://schemas.openxmlformats.org/officeDocument/2006/relationships/hyperlink" Target="https://www.abs.gov.au/statistics/economy/national-accounts/australian-system-national-accounts/latest-release" TargetMode="External"/><Relationship Id="rId41" Type="http://schemas.openxmlformats.org/officeDocument/2006/relationships/hyperlink" Target="https://www.researchgate.net/publication/329666978_How_far_and_often_do_organizations_relocate_offices" TargetMode="External"/><Relationship Id="rId54" Type="http://schemas.openxmlformats.org/officeDocument/2006/relationships/hyperlink" Target="https://ideas.repec.org/a/aea/aecrev/v91y2001i4p909-923.html" TargetMode="External"/><Relationship Id="rId62" Type="http://schemas.openxmlformats.org/officeDocument/2006/relationships/hyperlink" Target="https://www.sciencedirect.com/science/article/pii/S0166046218300115" TargetMode="External"/><Relationship Id="rId70" Type="http://schemas.openxmlformats.org/officeDocument/2006/relationships/hyperlink" Target="https://www.econstor.eu/bitstream/10419/88492/1/773374760.pdf" TargetMode="External"/><Relationship Id="rId1" Type="http://schemas.openxmlformats.org/officeDocument/2006/relationships/hyperlink" Target="https://www.nbnco.com.au/content/dam/nbn/documents/about-nbn/policies/statement-of-expectations-2022.pdf" TargetMode="External"/><Relationship Id="rId6" Type="http://schemas.openxmlformats.org/officeDocument/2006/relationships/hyperlink" Target="https://www.abs.gov.au/AUSSTATS/abs@.nsf/Previousproducts/8129.0Main%20Features32013-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ausstats/abs@.nsf/dossbytitle/07EFD86197340C18CA256BD00027BB39?OpenDocument" TargetMode="External"/><Relationship Id="rId2" Type="http://schemas.openxmlformats.org/officeDocument/2006/relationships/hyperlink" Target="https://www.rba.gov.au/inflation/measures-cpi.html" TargetMode="External"/><Relationship Id="rId1" Type="http://schemas.openxmlformats.org/officeDocument/2006/relationships/hyperlink" Target="https://www.rba.gov.au/statistics/interest-rates/" TargetMode="External"/><Relationship Id="rId4" Type="http://schemas.openxmlformats.org/officeDocument/2006/relationships/hyperlink" Target="https://www.abs.gov.au/statistics/economy/business-indicators/counts-australian-businesses-including-entries-and-exits/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CE51-2601-4C40-B48B-2CF61763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49</Pages>
  <Words>16860</Words>
  <Characters>97791</Characters>
  <Application>Microsoft Office Word</Application>
  <DocSecurity>0</DocSecurity>
  <Lines>2963</Lines>
  <Paragraphs>678</Paragraphs>
  <ScaleCrop>false</ScaleCrop>
  <HeadingPairs>
    <vt:vector size="2" baseType="variant">
      <vt:variant>
        <vt:lpstr>Title</vt:lpstr>
      </vt:variant>
      <vt:variant>
        <vt:i4>1</vt:i4>
      </vt:variant>
    </vt:vector>
  </HeadingPairs>
  <TitlesOfParts>
    <vt:vector size="1" baseType="lpstr">
      <vt:lpstr>Productivity impacts from improved broadband—Firm-level analysis</vt:lpstr>
    </vt:vector>
  </TitlesOfParts>
  <Company>Department of Infrastructure, Transport, Regional Development, Communications and the Arts</Company>
  <LinksUpToDate>false</LinksUpToDate>
  <CharactersWithSpaces>113973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impacts from improved broadband—Firm-level analysis</dc:title>
  <dc:subject/>
  <dc:creator>Department of Infrastructure, Transport, Regional Development, Communications and the Arts</dc:creator>
  <cp:keywords/>
  <dc:description>27 September 2022</dc:description>
  <cp:lastModifiedBy>HALL Theresa</cp:lastModifiedBy>
  <cp:revision>4</cp:revision>
  <dcterms:created xsi:type="dcterms:W3CDTF">2023-03-16T05:20:00Z</dcterms:created>
  <dcterms:modified xsi:type="dcterms:W3CDTF">2023-03-16T06:47:00Z</dcterms:modified>
</cp:coreProperties>
</file>