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9B09A" w14:textId="1910E66B" w:rsidR="00DA7A04" w:rsidRDefault="0011293A" w:rsidP="002F1EC5">
      <w:pPr>
        <w:tabs>
          <w:tab w:val="right" w:pos="9026"/>
        </w:tabs>
        <w:ind w:left="-142"/>
        <w:sectPr w:rsidR="00DA7A04" w:rsidSect="0041093C">
          <w:headerReference w:type="even" r:id="rId11"/>
          <w:headerReference w:type="default" r:id="rId12"/>
          <w:footerReference w:type="default" r:id="rId13"/>
          <w:headerReference w:type="first" r:id="rId14"/>
          <w:footerReference w:type="first" r:id="rId15"/>
          <w:endnotePr>
            <w:numFmt w:val="decimal"/>
          </w:endnotePr>
          <w:type w:val="continuous"/>
          <w:pgSz w:w="11906" w:h="16838"/>
          <w:pgMar w:top="426" w:right="1440" w:bottom="1440" w:left="1440" w:header="0" w:footer="0" w:gutter="0"/>
          <w:cols w:space="708"/>
          <w:docGrid w:linePitch="360"/>
        </w:sectPr>
      </w:pPr>
      <w:r>
        <w:rPr>
          <w:noProof/>
          <w:lang w:eastAsia="en-AU"/>
        </w:rPr>
        <w:drawing>
          <wp:inline distT="0" distB="0" distL="0" distR="0" wp14:anchorId="3954A713" wp14:editId="71ABC2BE">
            <wp:extent cx="3327990" cy="904875"/>
            <wp:effectExtent l="0" t="0" r="0" b="0"/>
            <wp:docPr id="1" name="Picture 1" descr="Logo: Australian Government,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neave\AppData\Local\Microsoft\Windows\INetCache\Content.Word\ditrdc-logo.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1" r="-4976" b="-34071"/>
                    <a:stretch/>
                  </pic:blipFill>
                  <pic:spPr bwMode="auto">
                    <a:xfrm>
                      <a:off x="0" y="0"/>
                      <a:ext cx="3327990" cy="904875"/>
                    </a:xfrm>
                    <a:prstGeom prst="rect">
                      <a:avLst/>
                    </a:prstGeom>
                    <a:noFill/>
                    <a:ln>
                      <a:noFill/>
                    </a:ln>
                    <a:extLst>
                      <a:ext uri="{53640926-AAD7-44D8-BBD7-CCE9431645EC}">
                        <a14:shadowObscured xmlns:a14="http://schemas.microsoft.com/office/drawing/2010/main"/>
                      </a:ext>
                    </a:extLst>
                  </pic:spPr>
                </pic:pic>
              </a:graphicData>
            </a:graphic>
          </wp:inline>
        </w:drawing>
      </w:r>
      <w:r w:rsidR="00F61A8F">
        <w:tab/>
      </w:r>
      <w:r w:rsidR="004D21E8">
        <w:rPr>
          <w:noProof/>
          <w:lang w:eastAsia="en-AU"/>
        </w:rPr>
        <w:drawing>
          <wp:inline distT="0" distB="0" distL="0" distR="0" wp14:anchorId="15B27234" wp14:editId="6A5388FD">
            <wp:extent cx="2462480" cy="1196340"/>
            <wp:effectExtent l="0" t="0" r="0" b="0"/>
            <wp:docPr id="8" name="Picture 8" descr="Logo: Australian Government, Department of Communications and the Arts.&#10;&#10;Logo: Bureau of Communications Research.&#10;&#10;www.communications.gov.au/BCAR&#10;#CommsAuB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car-and-department-logos--stacked.png"/>
                    <pic:cNvPicPr/>
                  </pic:nvPicPr>
                  <pic:blipFill rotWithShape="1">
                    <a:blip r:embed="rId17" cstate="print">
                      <a:extLst>
                        <a:ext uri="{28A0092B-C50C-407E-A947-70E740481C1C}">
                          <a14:useLocalDpi xmlns:a14="http://schemas.microsoft.com/office/drawing/2010/main" val="0"/>
                        </a:ext>
                      </a:extLst>
                    </a:blip>
                    <a:srcRect l="60729" t="-1592" r="-1093" b="1592"/>
                    <a:stretch/>
                  </pic:blipFill>
                  <pic:spPr bwMode="auto">
                    <a:xfrm>
                      <a:off x="0" y="0"/>
                      <a:ext cx="2462480" cy="1196340"/>
                    </a:xfrm>
                    <a:prstGeom prst="rect">
                      <a:avLst/>
                    </a:prstGeom>
                    <a:ln>
                      <a:noFill/>
                    </a:ln>
                    <a:extLst>
                      <a:ext uri="{53640926-AAD7-44D8-BBD7-CCE9431645EC}">
                        <a14:shadowObscured xmlns:a14="http://schemas.microsoft.com/office/drawing/2010/main"/>
                      </a:ext>
                    </a:extLst>
                  </pic:spPr>
                </pic:pic>
              </a:graphicData>
            </a:graphic>
          </wp:inline>
        </w:drawing>
      </w:r>
    </w:p>
    <w:p w14:paraId="02B8C6EF" w14:textId="7239A5FD" w:rsidR="0081351F" w:rsidRPr="0081351F" w:rsidRDefault="0081351F" w:rsidP="006051CE">
      <w:pPr>
        <w:pStyle w:val="Heading1"/>
        <w:ind w:right="1395"/>
      </w:pPr>
      <w:r>
        <w:t>Cultural and creative activity in Australia</w:t>
      </w:r>
      <w:r w:rsidR="009200A4">
        <w:t>,</w:t>
      </w:r>
      <w:r w:rsidR="00F52169">
        <w:t xml:space="preserve"> </w:t>
      </w:r>
      <w:r w:rsidR="00686989">
        <w:t>2008</w:t>
      </w:r>
      <w:r w:rsidR="00B571B4">
        <w:rPr>
          <w:sz w:val="56"/>
          <w:szCs w:val="56"/>
        </w:rPr>
        <w:t>–</w:t>
      </w:r>
      <w:r w:rsidR="00686989">
        <w:t>09</w:t>
      </w:r>
      <w:r w:rsidR="00F52169">
        <w:t xml:space="preserve"> </w:t>
      </w:r>
      <w:r>
        <w:t xml:space="preserve">to </w:t>
      </w:r>
      <w:r w:rsidR="00686989">
        <w:t>2017</w:t>
      </w:r>
      <w:r w:rsidR="00B571B4">
        <w:rPr>
          <w:sz w:val="56"/>
          <w:szCs w:val="56"/>
        </w:rPr>
        <w:t>–</w:t>
      </w:r>
      <w:r w:rsidR="00686989">
        <w:t>18</w:t>
      </w:r>
    </w:p>
    <w:p w14:paraId="24A37285" w14:textId="214583DD" w:rsidR="001B6A30" w:rsidRDefault="001B6A30" w:rsidP="001B6A30">
      <w:pPr>
        <w:spacing w:after="480"/>
        <w:rPr>
          <w:b/>
          <w:color w:val="0066AB"/>
          <w:sz w:val="28"/>
          <w:szCs w:val="28"/>
          <w:lang w:eastAsia="en-US"/>
        </w:rPr>
      </w:pPr>
      <w:r>
        <w:rPr>
          <w:b/>
          <w:color w:val="0066AB"/>
          <w:sz w:val="28"/>
          <w:szCs w:val="28"/>
          <w:lang w:eastAsia="en-US"/>
        </w:rPr>
        <w:t>Explanatory notes</w:t>
      </w:r>
    </w:p>
    <w:p w14:paraId="05B48124" w14:textId="77D54666" w:rsidR="00400E77" w:rsidRDefault="002F5C0A" w:rsidP="00EB40A5">
      <w:pPr>
        <w:rPr>
          <w:lang w:eastAsia="en-US"/>
        </w:rPr>
      </w:pPr>
      <w:r>
        <w:t>October</w:t>
      </w:r>
      <w:r w:rsidR="00395F55">
        <w:t xml:space="preserve"> 2020</w:t>
      </w:r>
    </w:p>
    <w:p w14:paraId="5BD6089C" w14:textId="5E50C322" w:rsidR="00400E77" w:rsidRDefault="00400E77" w:rsidP="000721C8">
      <w:pPr>
        <w:spacing w:after="0"/>
        <w:jc w:val="center"/>
        <w:rPr>
          <w:lang w:eastAsia="en-US"/>
        </w:rPr>
      </w:pPr>
      <w:r>
        <w:rPr>
          <w:lang w:eastAsia="en-US"/>
        </w:rPr>
        <w:br w:type="page"/>
      </w:r>
    </w:p>
    <w:p w14:paraId="3AE28B9A" w14:textId="77777777" w:rsidR="001E411F" w:rsidRPr="001E411F" w:rsidRDefault="001E411F" w:rsidP="001E411F">
      <w:pPr>
        <w:pStyle w:val="Heading2-notshowing"/>
      </w:pPr>
      <w:r w:rsidRPr="001E411F">
        <w:lastRenderedPageBreak/>
        <w:t>Ownership of intellectual property rights in this publication</w:t>
      </w:r>
    </w:p>
    <w:p w14:paraId="6BD5CAA8" w14:textId="77777777" w:rsidR="001E411F" w:rsidRPr="00E7227D" w:rsidRDefault="001E411F" w:rsidP="001E411F">
      <w:pPr>
        <w:pStyle w:val="Normaldisclaimerpage"/>
      </w:pPr>
      <w:r w:rsidRPr="00E7227D">
        <w:t>Unless otherwise noted, copyright (and any other intellectual property rights, if any) in this publication is owned by the Commonwealth of Australia (referred to below as the Commonwealth).</w:t>
      </w:r>
    </w:p>
    <w:p w14:paraId="03CC6E0B" w14:textId="77777777" w:rsidR="001E411F" w:rsidRPr="001E411F" w:rsidRDefault="001E411F" w:rsidP="001E411F">
      <w:pPr>
        <w:pStyle w:val="Heading2-notshowing"/>
      </w:pPr>
      <w:r w:rsidRPr="001E411F">
        <w:t>Disclaimer</w:t>
      </w:r>
    </w:p>
    <w:p w14:paraId="54A65BC2" w14:textId="77777777" w:rsidR="001E411F" w:rsidRDefault="001E411F" w:rsidP="001E411F">
      <w:pPr>
        <w:pStyle w:val="Normaldisclaimerpage"/>
      </w:pPr>
      <w:r>
        <w:t>The material contained in this publication is made available on the understanding that the Commonwealth is not providing professional advice, and that users exercise their own skill and care with respect to its use, and seek independent advice if necessary.</w:t>
      </w:r>
    </w:p>
    <w:p w14:paraId="0D1B116C" w14:textId="77777777" w:rsidR="001E411F" w:rsidRDefault="001E411F" w:rsidP="001E411F">
      <w:pPr>
        <w:pStyle w:val="Normaldisclaimerpage"/>
      </w:pPr>
      <w:r>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14:paraId="62781DF2" w14:textId="77777777" w:rsidR="001E411F" w:rsidRPr="001E411F" w:rsidRDefault="001E411F" w:rsidP="001E411F">
      <w:pPr>
        <w:pStyle w:val="Heading2-notshowing"/>
      </w:pPr>
      <w:proofErr w:type="gramStart"/>
      <w:r w:rsidRPr="001E411F">
        <w:t>Creative Commons</w:t>
      </w:r>
      <w:proofErr w:type="gramEnd"/>
      <w:r w:rsidRPr="001E411F">
        <w:t xml:space="preserve"> licence</w:t>
      </w:r>
    </w:p>
    <w:p w14:paraId="3521B238" w14:textId="77777777" w:rsidR="001E411F" w:rsidRDefault="001E411F" w:rsidP="001E411F">
      <w:pPr>
        <w:pStyle w:val="Normaldisclaimerpage"/>
      </w:pPr>
      <w:r>
        <w:t>With the exception of (a) the Coat of Arms; (b) the Department of Infrastructure, Transport, Regional Development and Communications photos and graphics; and (c) [OTHER], copyright in this publication is licensed under a Creative Commons Attribution 4.0 Australia Licence.</w:t>
      </w:r>
    </w:p>
    <w:p w14:paraId="68BED7FF" w14:textId="77777777" w:rsidR="001E411F" w:rsidRDefault="001E411F" w:rsidP="001E411F">
      <w:pPr>
        <w:pStyle w:val="Normaldisclaimerpage"/>
      </w:pPr>
      <w:r>
        <w:t>Creative Commons Attribution 4.0 Australia Licence is a standard form licence agreement that allows you to copy, communicate and adapt this publication provided that you attribute the work to the Commonwealth and abide by the other licence terms.</w:t>
      </w:r>
    </w:p>
    <w:p w14:paraId="7C7140AD" w14:textId="2DC7ADDB" w:rsidR="001E411F" w:rsidRDefault="001E411F" w:rsidP="001E411F">
      <w:pPr>
        <w:pStyle w:val="Normaldisclaimerpage"/>
      </w:pPr>
      <w:r>
        <w:t xml:space="preserve">Further information on the licence terms is available from </w:t>
      </w:r>
      <w:hyperlink r:id="rId18" w:history="1">
        <w:r w:rsidRPr="00AB127C">
          <w:rPr>
            <w:rStyle w:val="Hyperlink"/>
          </w:rPr>
          <w:t>https://creativecommons.org/licenses/by/4.0/</w:t>
        </w:r>
      </w:hyperlink>
      <w:r>
        <w:t>.</w:t>
      </w:r>
      <w:r w:rsidR="00F57D43">
        <w:t xml:space="preserve"> </w:t>
      </w:r>
      <w:r>
        <w:t>This publication should be attributed in the following way: © Commonwealth of Australia 2020.</w:t>
      </w:r>
    </w:p>
    <w:p w14:paraId="1FCB3465" w14:textId="77777777" w:rsidR="001E411F" w:rsidRPr="001E411F" w:rsidRDefault="001E411F" w:rsidP="001E411F">
      <w:pPr>
        <w:pStyle w:val="Heading2-notshowing"/>
      </w:pPr>
      <w:r w:rsidRPr="001E411F">
        <w:t>Use of the Coat of Arms</w:t>
      </w:r>
    </w:p>
    <w:p w14:paraId="51A5D0CB" w14:textId="77777777" w:rsidR="001E411F" w:rsidRDefault="001E411F" w:rsidP="001E411F">
      <w:pPr>
        <w:pStyle w:val="Normaldisclaimerpage"/>
      </w:pPr>
      <w:r>
        <w:t xml:space="preserve">The Department of the Prime Minister and Cabinet sets the terms under which the Coat of Arms is used. Please refer to the Commonwealth Coat of Arms — Information and Guidelines publication available at </w:t>
      </w:r>
      <w:hyperlink r:id="rId19" w:history="1">
        <w:r w:rsidRPr="00AB127C">
          <w:rPr>
            <w:rStyle w:val="Hyperlink"/>
          </w:rPr>
          <w:t>www.pmc.gov.au</w:t>
        </w:r>
      </w:hyperlink>
      <w:r>
        <w:t>.</w:t>
      </w:r>
    </w:p>
    <w:p w14:paraId="6147EE3C" w14:textId="77777777" w:rsidR="001E411F" w:rsidRPr="001E411F" w:rsidRDefault="001E411F" w:rsidP="001E411F">
      <w:pPr>
        <w:pStyle w:val="Heading2-notshowing"/>
      </w:pPr>
      <w:r w:rsidRPr="001E411F">
        <w:t>Contact us</w:t>
      </w:r>
    </w:p>
    <w:p w14:paraId="1F8B629E" w14:textId="28771F43" w:rsidR="001E411F" w:rsidRDefault="001E411F" w:rsidP="001E411F">
      <w:pPr>
        <w:pStyle w:val="Normaldisclaimerpage"/>
      </w:pPr>
      <w:r>
        <w:t xml:space="preserve">This publication is available in hard copy or PDF format. All other rights are reserved, including in relation to any Departmental logos or </w:t>
      </w:r>
      <w:r w:rsidR="005544E8">
        <w:t>trademarks</w:t>
      </w:r>
      <w:r>
        <w:t xml:space="preserve"> which may exist. For enquiries regarding the licence and any use of this publication, please contact:</w:t>
      </w:r>
    </w:p>
    <w:p w14:paraId="415313AD" w14:textId="77777777" w:rsidR="001E411F" w:rsidRDefault="001E411F" w:rsidP="001E411F">
      <w:pPr>
        <w:pStyle w:val="Normaldisclaimerpage"/>
        <w:ind w:left="567"/>
      </w:pPr>
      <w:r>
        <w:t>Director—Publishing and Communications</w:t>
      </w:r>
      <w:r>
        <w:br/>
        <w:t>Communication Branch</w:t>
      </w:r>
      <w:r>
        <w:br/>
        <w:t>Department of Infrastructure, Transport, Regional Development and Communications</w:t>
      </w:r>
      <w:r>
        <w:br/>
        <w:t>GPO Box 594</w:t>
      </w:r>
      <w:r>
        <w:br/>
        <w:t>Canberra ACT 2601</w:t>
      </w:r>
      <w:r>
        <w:br/>
        <w:t>Australia</w:t>
      </w:r>
    </w:p>
    <w:p w14:paraId="2B26AA3E" w14:textId="30C8C4C0" w:rsidR="001E411F" w:rsidRDefault="001E411F" w:rsidP="001E411F">
      <w:pPr>
        <w:pStyle w:val="Normaldisclaimerpage"/>
        <w:ind w:left="567"/>
      </w:pPr>
      <w:r>
        <w:t xml:space="preserve">Email: </w:t>
      </w:r>
      <w:hyperlink r:id="rId20" w:history="1">
        <w:r w:rsidRPr="004203BA">
          <w:rPr>
            <w:rStyle w:val="Hyperlink"/>
          </w:rPr>
          <w:t>publishing@communications.gov.au</w:t>
        </w:r>
      </w:hyperlink>
    </w:p>
    <w:p w14:paraId="46AC9B5E" w14:textId="055DD090" w:rsidR="00FF11AE" w:rsidRDefault="001E411F" w:rsidP="001E411F">
      <w:pPr>
        <w:spacing w:after="160" w:line="259" w:lineRule="auto"/>
        <w:ind w:left="567"/>
      </w:pPr>
      <w:r>
        <w:t xml:space="preserve">Websites: </w:t>
      </w:r>
      <w:hyperlink r:id="rId21" w:history="1">
        <w:r w:rsidRPr="00AB127C">
          <w:rPr>
            <w:rStyle w:val="Hyperlink"/>
          </w:rPr>
          <w:t>www.infrastructure.gov.au</w:t>
        </w:r>
      </w:hyperlink>
      <w:r>
        <w:t xml:space="preserve"> | </w:t>
      </w:r>
      <w:hyperlink r:id="rId22" w:history="1">
        <w:r w:rsidRPr="00AB127C">
          <w:rPr>
            <w:rStyle w:val="Hyperlink"/>
          </w:rPr>
          <w:t>www.communications.gov.au</w:t>
        </w:r>
      </w:hyperlink>
      <w:r>
        <w:t xml:space="preserve"> | </w:t>
      </w:r>
      <w:hyperlink r:id="rId23" w:history="1">
        <w:r w:rsidRPr="00AB127C">
          <w:rPr>
            <w:rStyle w:val="Hyperlink"/>
          </w:rPr>
          <w:t>www.arts.gov.au</w:t>
        </w:r>
      </w:hyperlink>
      <w:r>
        <w:t>.</w:t>
      </w:r>
      <w:r w:rsidR="00FF11AE">
        <w:br w:type="page"/>
      </w:r>
    </w:p>
    <w:p w14:paraId="34A4D304" w14:textId="29D47B45" w:rsidR="00FF11AE" w:rsidRPr="005113AA" w:rsidRDefault="00FF11AE" w:rsidP="00F57D43">
      <w:pPr>
        <w:pStyle w:val="Heading2-notshowing"/>
      </w:pPr>
      <w:bookmarkStart w:id="0" w:name="_Toc33190077"/>
      <w:r w:rsidRPr="005113AA">
        <w:lastRenderedPageBreak/>
        <w:t>Contents</w:t>
      </w:r>
      <w:bookmarkEnd w:id="0"/>
    </w:p>
    <w:bookmarkStart w:id="1" w:name="_GoBack"/>
    <w:bookmarkEnd w:id="1"/>
    <w:p w14:paraId="4EED2AD5" w14:textId="2E6202EB" w:rsidR="00352660" w:rsidRDefault="00FF11AE">
      <w:pPr>
        <w:pStyle w:val="TOC1"/>
        <w:rPr>
          <w:rFonts w:asciiTheme="minorHAnsi" w:hAnsiTheme="minorHAnsi"/>
          <w:b w:val="0"/>
          <w:noProof/>
          <w:color w:val="auto"/>
          <w:sz w:val="22"/>
          <w:lang w:eastAsia="en-AU"/>
        </w:rPr>
      </w:pPr>
      <w:r>
        <w:rPr>
          <w:rFonts w:ascii="Calibri" w:eastAsia="PMingLiU" w:hAnsi="Calibri" w:cs="Mangal"/>
          <w:color w:val="0F293A"/>
        </w:rPr>
        <w:fldChar w:fldCharType="begin"/>
      </w:r>
      <w:r>
        <w:rPr>
          <w:rFonts w:ascii="Calibri" w:eastAsia="PMingLiU" w:hAnsi="Calibri" w:cs="Mangal"/>
          <w:color w:val="0F293A"/>
        </w:rPr>
        <w:instrText xml:space="preserve"> TOC \h \z \t "Heading 2,1,Heading 3,2,Heading 4,3" </w:instrText>
      </w:r>
      <w:r>
        <w:rPr>
          <w:rFonts w:ascii="Calibri" w:eastAsia="PMingLiU" w:hAnsi="Calibri" w:cs="Mangal"/>
          <w:color w:val="0F293A"/>
        </w:rPr>
        <w:fldChar w:fldCharType="separate"/>
      </w:r>
      <w:hyperlink w:anchor="_Toc54081696" w:history="1">
        <w:r w:rsidR="00352660" w:rsidRPr="00F8537B">
          <w:rPr>
            <w:rStyle w:val="Hyperlink"/>
            <w:noProof/>
          </w:rPr>
          <w:t>About this document</w:t>
        </w:r>
        <w:r w:rsidR="00352660">
          <w:rPr>
            <w:noProof/>
            <w:webHidden/>
          </w:rPr>
          <w:tab/>
        </w:r>
        <w:r w:rsidR="00352660">
          <w:rPr>
            <w:noProof/>
            <w:webHidden/>
          </w:rPr>
          <w:fldChar w:fldCharType="begin"/>
        </w:r>
        <w:r w:rsidR="00352660">
          <w:rPr>
            <w:noProof/>
            <w:webHidden/>
          </w:rPr>
          <w:instrText xml:space="preserve"> PAGEREF _Toc54081696 \h </w:instrText>
        </w:r>
        <w:r w:rsidR="00352660">
          <w:rPr>
            <w:noProof/>
            <w:webHidden/>
          </w:rPr>
        </w:r>
        <w:r w:rsidR="00352660">
          <w:rPr>
            <w:noProof/>
            <w:webHidden/>
          </w:rPr>
          <w:fldChar w:fldCharType="separate"/>
        </w:r>
        <w:r w:rsidR="00352660">
          <w:rPr>
            <w:noProof/>
            <w:webHidden/>
          </w:rPr>
          <w:t>1</w:t>
        </w:r>
        <w:r w:rsidR="00352660">
          <w:rPr>
            <w:noProof/>
            <w:webHidden/>
          </w:rPr>
          <w:fldChar w:fldCharType="end"/>
        </w:r>
      </w:hyperlink>
    </w:p>
    <w:p w14:paraId="7B910F9B" w14:textId="4A893539" w:rsidR="00352660" w:rsidRDefault="00352660">
      <w:pPr>
        <w:pStyle w:val="TOC1"/>
        <w:rPr>
          <w:rFonts w:asciiTheme="minorHAnsi" w:hAnsiTheme="minorHAnsi"/>
          <w:b w:val="0"/>
          <w:noProof/>
          <w:color w:val="auto"/>
          <w:sz w:val="22"/>
          <w:lang w:eastAsia="en-AU"/>
        </w:rPr>
      </w:pPr>
      <w:hyperlink w:anchor="_Toc54081697" w:history="1">
        <w:r w:rsidRPr="00F8537B">
          <w:rPr>
            <w:rStyle w:val="Hyperlink"/>
            <w:noProof/>
          </w:rPr>
          <w:t>Summary</w:t>
        </w:r>
        <w:r>
          <w:rPr>
            <w:noProof/>
            <w:webHidden/>
          </w:rPr>
          <w:tab/>
        </w:r>
        <w:r>
          <w:rPr>
            <w:noProof/>
            <w:webHidden/>
          </w:rPr>
          <w:fldChar w:fldCharType="begin"/>
        </w:r>
        <w:r>
          <w:rPr>
            <w:noProof/>
            <w:webHidden/>
          </w:rPr>
          <w:instrText xml:space="preserve"> PAGEREF _Toc54081697 \h </w:instrText>
        </w:r>
        <w:r>
          <w:rPr>
            <w:noProof/>
            <w:webHidden/>
          </w:rPr>
        </w:r>
        <w:r>
          <w:rPr>
            <w:noProof/>
            <w:webHidden/>
          </w:rPr>
          <w:fldChar w:fldCharType="separate"/>
        </w:r>
        <w:r>
          <w:rPr>
            <w:noProof/>
            <w:webHidden/>
          </w:rPr>
          <w:t>1</w:t>
        </w:r>
        <w:r>
          <w:rPr>
            <w:noProof/>
            <w:webHidden/>
          </w:rPr>
          <w:fldChar w:fldCharType="end"/>
        </w:r>
      </w:hyperlink>
    </w:p>
    <w:p w14:paraId="0710B289" w14:textId="5BB31D0B" w:rsidR="00352660" w:rsidRDefault="00352660">
      <w:pPr>
        <w:pStyle w:val="TOC2"/>
        <w:rPr>
          <w:rFonts w:asciiTheme="minorHAnsi" w:hAnsiTheme="minorHAnsi"/>
          <w:noProof/>
          <w:sz w:val="22"/>
          <w:lang w:eastAsia="en-AU"/>
        </w:rPr>
      </w:pPr>
      <w:hyperlink w:anchor="_Toc54081698" w:history="1">
        <w:r w:rsidRPr="00F8537B">
          <w:rPr>
            <w:rStyle w:val="Hyperlink"/>
            <w:noProof/>
          </w:rPr>
          <w:t>Key findings</w:t>
        </w:r>
        <w:r>
          <w:rPr>
            <w:noProof/>
            <w:webHidden/>
          </w:rPr>
          <w:tab/>
        </w:r>
        <w:r>
          <w:rPr>
            <w:noProof/>
            <w:webHidden/>
          </w:rPr>
          <w:fldChar w:fldCharType="begin"/>
        </w:r>
        <w:r>
          <w:rPr>
            <w:noProof/>
            <w:webHidden/>
          </w:rPr>
          <w:instrText xml:space="preserve"> PAGEREF _Toc54081698 \h </w:instrText>
        </w:r>
        <w:r>
          <w:rPr>
            <w:noProof/>
            <w:webHidden/>
          </w:rPr>
        </w:r>
        <w:r>
          <w:rPr>
            <w:noProof/>
            <w:webHidden/>
          </w:rPr>
          <w:fldChar w:fldCharType="separate"/>
        </w:r>
        <w:r>
          <w:rPr>
            <w:noProof/>
            <w:webHidden/>
          </w:rPr>
          <w:t>1</w:t>
        </w:r>
        <w:r>
          <w:rPr>
            <w:noProof/>
            <w:webHidden/>
          </w:rPr>
          <w:fldChar w:fldCharType="end"/>
        </w:r>
      </w:hyperlink>
    </w:p>
    <w:p w14:paraId="269DE3C0" w14:textId="50DBCE61" w:rsidR="00352660" w:rsidRDefault="00352660">
      <w:pPr>
        <w:pStyle w:val="TOC2"/>
        <w:rPr>
          <w:rFonts w:asciiTheme="minorHAnsi" w:hAnsiTheme="minorHAnsi"/>
          <w:noProof/>
          <w:sz w:val="22"/>
          <w:lang w:eastAsia="en-AU"/>
        </w:rPr>
      </w:pPr>
      <w:hyperlink w:anchor="_Toc54081699" w:history="1">
        <w:r w:rsidRPr="00F8537B">
          <w:rPr>
            <w:rStyle w:val="Hyperlink"/>
            <w:noProof/>
          </w:rPr>
          <w:t>Deviations in cultural and creative activity estimates from the BCAR’s working paper, 2008–09 to 2016–17</w:t>
        </w:r>
        <w:r>
          <w:rPr>
            <w:noProof/>
            <w:webHidden/>
          </w:rPr>
          <w:tab/>
        </w:r>
        <w:r>
          <w:rPr>
            <w:noProof/>
            <w:webHidden/>
          </w:rPr>
          <w:fldChar w:fldCharType="begin"/>
        </w:r>
        <w:r>
          <w:rPr>
            <w:noProof/>
            <w:webHidden/>
          </w:rPr>
          <w:instrText xml:space="preserve"> PAGEREF _Toc54081699 \h </w:instrText>
        </w:r>
        <w:r>
          <w:rPr>
            <w:noProof/>
            <w:webHidden/>
          </w:rPr>
        </w:r>
        <w:r>
          <w:rPr>
            <w:noProof/>
            <w:webHidden/>
          </w:rPr>
          <w:fldChar w:fldCharType="separate"/>
        </w:r>
        <w:r>
          <w:rPr>
            <w:noProof/>
            <w:webHidden/>
          </w:rPr>
          <w:t>2</w:t>
        </w:r>
        <w:r>
          <w:rPr>
            <w:noProof/>
            <w:webHidden/>
          </w:rPr>
          <w:fldChar w:fldCharType="end"/>
        </w:r>
      </w:hyperlink>
    </w:p>
    <w:p w14:paraId="1236F626" w14:textId="7A1C5EFA" w:rsidR="00352660" w:rsidRDefault="00352660">
      <w:pPr>
        <w:pStyle w:val="TOC1"/>
        <w:rPr>
          <w:rFonts w:asciiTheme="minorHAnsi" w:hAnsiTheme="minorHAnsi"/>
          <w:b w:val="0"/>
          <w:noProof/>
          <w:color w:val="auto"/>
          <w:sz w:val="22"/>
          <w:lang w:eastAsia="en-AU"/>
        </w:rPr>
      </w:pPr>
      <w:hyperlink w:anchor="_Toc54081700" w:history="1">
        <w:r w:rsidRPr="00F8537B">
          <w:rPr>
            <w:rStyle w:val="Hyperlink"/>
            <w:noProof/>
          </w:rPr>
          <w:t>Appendix A—Detailed explanatory notes</w:t>
        </w:r>
        <w:r>
          <w:rPr>
            <w:noProof/>
            <w:webHidden/>
          </w:rPr>
          <w:tab/>
        </w:r>
        <w:r>
          <w:rPr>
            <w:noProof/>
            <w:webHidden/>
          </w:rPr>
          <w:fldChar w:fldCharType="begin"/>
        </w:r>
        <w:r>
          <w:rPr>
            <w:noProof/>
            <w:webHidden/>
          </w:rPr>
          <w:instrText xml:space="preserve"> PAGEREF _Toc54081700 \h </w:instrText>
        </w:r>
        <w:r>
          <w:rPr>
            <w:noProof/>
            <w:webHidden/>
          </w:rPr>
        </w:r>
        <w:r>
          <w:rPr>
            <w:noProof/>
            <w:webHidden/>
          </w:rPr>
          <w:fldChar w:fldCharType="separate"/>
        </w:r>
        <w:r>
          <w:rPr>
            <w:noProof/>
            <w:webHidden/>
          </w:rPr>
          <w:t>3</w:t>
        </w:r>
        <w:r>
          <w:rPr>
            <w:noProof/>
            <w:webHidden/>
          </w:rPr>
          <w:fldChar w:fldCharType="end"/>
        </w:r>
      </w:hyperlink>
    </w:p>
    <w:p w14:paraId="72C2DB3B" w14:textId="300BC765" w:rsidR="00FF11AE" w:rsidRDefault="00FF11AE" w:rsidP="00FF11AE">
      <w:pPr>
        <w:rPr>
          <w:lang w:eastAsia="en-US"/>
        </w:rPr>
      </w:pPr>
      <w:r>
        <w:fldChar w:fldCharType="end"/>
      </w:r>
    </w:p>
    <w:p w14:paraId="1855D9CF" w14:textId="1064F436" w:rsidR="00597F9B" w:rsidRDefault="00597F9B" w:rsidP="00625397">
      <w:pPr>
        <w:spacing w:after="120"/>
        <w:rPr>
          <w:lang w:eastAsia="en-US"/>
        </w:rPr>
      </w:pPr>
    </w:p>
    <w:p w14:paraId="1C726311" w14:textId="77777777" w:rsidR="00BF7E49" w:rsidRPr="001615CA" w:rsidRDefault="00BF7E49" w:rsidP="001615CA">
      <w:pPr>
        <w:rPr>
          <w:lang w:eastAsia="en-US"/>
        </w:rPr>
        <w:sectPr w:rsidR="00BF7E49" w:rsidRPr="001615CA" w:rsidSect="00B27E67">
          <w:headerReference w:type="even" r:id="rId24"/>
          <w:headerReference w:type="default" r:id="rId25"/>
          <w:footerReference w:type="even" r:id="rId26"/>
          <w:footerReference w:type="default" r:id="rId27"/>
          <w:endnotePr>
            <w:numFmt w:val="decimal"/>
          </w:endnotePr>
          <w:type w:val="continuous"/>
          <w:pgSz w:w="11906" w:h="16838"/>
          <w:pgMar w:top="2127" w:right="1133" w:bottom="0" w:left="1440" w:header="0" w:footer="567" w:gutter="0"/>
          <w:pgNumType w:fmt="lowerRoman"/>
          <w:cols w:space="708"/>
          <w:docGrid w:linePitch="360"/>
        </w:sectPr>
      </w:pPr>
    </w:p>
    <w:p w14:paraId="6B4F56DE" w14:textId="7B57B0F6" w:rsidR="00315ED7" w:rsidRDefault="00486116" w:rsidP="000166E4">
      <w:pPr>
        <w:pStyle w:val="Heading2"/>
        <w:spacing w:after="120"/>
      </w:pPr>
      <w:bookmarkStart w:id="2" w:name="_Toc54081696"/>
      <w:r>
        <w:lastRenderedPageBreak/>
        <w:t>About this document</w:t>
      </w:r>
      <w:bookmarkEnd w:id="2"/>
    </w:p>
    <w:p w14:paraId="2155146D" w14:textId="30F2E1A3" w:rsidR="00E27FB7" w:rsidRDefault="00E27FB7" w:rsidP="000166E4">
      <w:pPr>
        <w:spacing w:after="120"/>
      </w:pPr>
      <w:r>
        <w:t>The</w:t>
      </w:r>
      <w:r w:rsidR="00486116">
        <w:t xml:space="preserve"> </w:t>
      </w:r>
      <w:r w:rsidR="00486116" w:rsidRPr="009073F3">
        <w:t xml:space="preserve">Bureau of Communications and Arts Research (BCAR) </w:t>
      </w:r>
      <w:r>
        <w:t xml:space="preserve">within the </w:t>
      </w:r>
      <w:r w:rsidR="006D0509" w:rsidRPr="006D0509">
        <w:t>Department of Infrastructure, Transport, Regional Development and Communications</w:t>
      </w:r>
      <w:r>
        <w:t xml:space="preserve"> has estimated</w:t>
      </w:r>
      <w:r w:rsidR="00486116">
        <w:t xml:space="preserve"> the economic </w:t>
      </w:r>
      <w:r w:rsidR="00486116" w:rsidRPr="009073F3">
        <w:t xml:space="preserve">contribution of cultural and creative activity in </w:t>
      </w:r>
      <w:r w:rsidR="00486116" w:rsidRPr="00A917DB">
        <w:t>Australia over a 10</w:t>
      </w:r>
      <w:r w:rsidR="00486116">
        <w:noBreakHyphen/>
      </w:r>
      <w:r w:rsidR="00486116" w:rsidRPr="00A917DB">
        <w:t xml:space="preserve">year period, from </w:t>
      </w:r>
      <w:r w:rsidR="00686989">
        <w:t xml:space="preserve">2008–09 </w:t>
      </w:r>
      <w:r w:rsidR="00486116" w:rsidRPr="00A917DB">
        <w:t xml:space="preserve">to </w:t>
      </w:r>
      <w:r w:rsidR="00686989">
        <w:t>2017–18</w:t>
      </w:r>
      <w:r w:rsidR="00486116" w:rsidRPr="00A917DB">
        <w:t>.</w:t>
      </w:r>
    </w:p>
    <w:p w14:paraId="3AFDD8E6" w14:textId="24E7847B" w:rsidR="00486116" w:rsidRDefault="00E27FB7" w:rsidP="00F52169">
      <w:pPr>
        <w:rPr>
          <w:rFonts w:cstheme="minorHAnsi"/>
          <w:color w:val="231F20" w:themeColor="text1"/>
          <w:kern w:val="24"/>
          <w:lang w:eastAsia="en-AU"/>
        </w:rPr>
      </w:pPr>
      <w:r>
        <w:t>The</w:t>
      </w:r>
      <w:r w:rsidR="00486116">
        <w:t xml:space="preserve"> explanatory notes</w:t>
      </w:r>
      <w:r>
        <w:t xml:space="preserve"> provided in this document</w:t>
      </w:r>
      <w:r w:rsidR="00486116">
        <w:rPr>
          <w:rFonts w:cstheme="minorHAnsi"/>
          <w:color w:val="231F20" w:themeColor="text1"/>
          <w:kern w:val="24"/>
          <w:lang w:eastAsia="en-AU"/>
        </w:rPr>
        <w:t xml:space="preserve"> should be used in reference to the tables and figures </w:t>
      </w:r>
      <w:r>
        <w:rPr>
          <w:rFonts w:cstheme="minorHAnsi"/>
          <w:color w:val="231F20" w:themeColor="text1"/>
          <w:kern w:val="24"/>
          <w:lang w:eastAsia="en-AU"/>
        </w:rPr>
        <w:t>shown</w:t>
      </w:r>
      <w:r w:rsidR="00486116">
        <w:rPr>
          <w:rFonts w:cstheme="minorHAnsi"/>
          <w:color w:val="231F20" w:themeColor="text1"/>
          <w:kern w:val="24"/>
          <w:lang w:eastAsia="en-AU"/>
        </w:rPr>
        <w:t xml:space="preserve"> in the BCAR </w:t>
      </w:r>
      <w:r w:rsidR="007170EB">
        <w:rPr>
          <w:rFonts w:cstheme="minorHAnsi"/>
          <w:color w:val="231F20" w:themeColor="text1"/>
          <w:kern w:val="24"/>
          <w:lang w:eastAsia="en-AU"/>
        </w:rPr>
        <w:t>visual summary</w:t>
      </w:r>
      <w:r w:rsidR="00542723">
        <w:rPr>
          <w:rFonts w:cstheme="minorHAnsi"/>
          <w:color w:val="231F20" w:themeColor="text1"/>
          <w:kern w:val="24"/>
          <w:lang w:eastAsia="en-AU"/>
        </w:rPr>
        <w:t xml:space="preserve"> document</w:t>
      </w:r>
      <w:r w:rsidR="00486116">
        <w:rPr>
          <w:rFonts w:cstheme="minorHAnsi"/>
          <w:color w:val="231F20" w:themeColor="text1"/>
          <w:kern w:val="24"/>
          <w:lang w:eastAsia="en-AU"/>
        </w:rPr>
        <w:t xml:space="preserve">: </w:t>
      </w:r>
      <w:r w:rsidR="00486116" w:rsidRPr="00F15069">
        <w:rPr>
          <w:rFonts w:cstheme="minorHAnsi"/>
          <w:i/>
          <w:iCs/>
          <w:color w:val="231F20" w:themeColor="text1"/>
          <w:kern w:val="24"/>
          <w:lang w:eastAsia="en-AU"/>
        </w:rPr>
        <w:t>Cultural and creat</w:t>
      </w:r>
      <w:r w:rsidR="00F85253" w:rsidRPr="00F15069">
        <w:rPr>
          <w:rFonts w:cstheme="minorHAnsi"/>
          <w:i/>
          <w:iCs/>
          <w:color w:val="231F20" w:themeColor="text1"/>
          <w:kern w:val="24"/>
          <w:lang w:eastAsia="en-AU"/>
        </w:rPr>
        <w:t xml:space="preserve">ive activity in Australia, </w:t>
      </w:r>
      <w:r w:rsidR="00686989" w:rsidRPr="00F15069">
        <w:rPr>
          <w:rFonts w:cstheme="minorHAnsi"/>
          <w:i/>
          <w:iCs/>
          <w:color w:val="231F20" w:themeColor="text1"/>
          <w:kern w:val="24"/>
          <w:lang w:eastAsia="en-AU"/>
        </w:rPr>
        <w:t xml:space="preserve">2008–09 </w:t>
      </w:r>
      <w:r w:rsidR="00486116" w:rsidRPr="00F15069">
        <w:rPr>
          <w:rFonts w:cstheme="minorHAnsi"/>
          <w:i/>
          <w:iCs/>
          <w:color w:val="231F20" w:themeColor="text1"/>
          <w:kern w:val="24"/>
          <w:lang w:eastAsia="en-AU"/>
        </w:rPr>
        <w:t xml:space="preserve">to </w:t>
      </w:r>
      <w:r w:rsidR="00686989" w:rsidRPr="00F15069">
        <w:rPr>
          <w:rFonts w:cstheme="minorHAnsi"/>
          <w:i/>
          <w:iCs/>
          <w:color w:val="231F20" w:themeColor="text1"/>
          <w:kern w:val="24"/>
          <w:lang w:eastAsia="en-AU"/>
        </w:rPr>
        <w:t>2017–18</w:t>
      </w:r>
      <w:r w:rsidR="00486116" w:rsidRPr="00F15069">
        <w:rPr>
          <w:rFonts w:cstheme="minorHAnsi"/>
          <w:color w:val="231F20" w:themeColor="text1"/>
          <w:kern w:val="24"/>
          <w:lang w:eastAsia="en-AU"/>
        </w:rPr>
        <w:t>.</w:t>
      </w:r>
    </w:p>
    <w:p w14:paraId="2D81BD62" w14:textId="051F54C5" w:rsidR="00F85253" w:rsidRDefault="00F85253" w:rsidP="00F52169">
      <w:pPr>
        <w:rPr>
          <w:rFonts w:cstheme="minorHAnsi"/>
          <w:color w:val="231F20" w:themeColor="text1"/>
          <w:kern w:val="24"/>
          <w:lang w:eastAsia="en-AU"/>
        </w:rPr>
      </w:pPr>
      <w:r>
        <w:rPr>
          <w:rFonts w:cstheme="minorHAnsi"/>
          <w:color w:val="231F20" w:themeColor="text1"/>
          <w:kern w:val="24"/>
          <w:lang w:eastAsia="en-AU"/>
        </w:rPr>
        <w:t>Unless otherwise noted</w:t>
      </w:r>
      <w:r w:rsidR="009371AE">
        <w:rPr>
          <w:rFonts w:cstheme="minorHAnsi"/>
          <w:color w:val="231F20" w:themeColor="text1"/>
          <w:kern w:val="24"/>
          <w:lang w:eastAsia="en-AU"/>
        </w:rPr>
        <w:t>,</w:t>
      </w:r>
      <w:r>
        <w:rPr>
          <w:rFonts w:cstheme="minorHAnsi"/>
          <w:color w:val="231F20" w:themeColor="text1"/>
          <w:kern w:val="24"/>
          <w:lang w:eastAsia="en-AU"/>
        </w:rPr>
        <w:t xml:space="preserve"> the 10-year period refers to </w:t>
      </w:r>
      <w:r w:rsidR="00686989">
        <w:rPr>
          <w:rFonts w:cstheme="minorHAnsi"/>
          <w:color w:val="231F20" w:themeColor="text1"/>
          <w:kern w:val="24"/>
          <w:lang w:eastAsia="en-AU"/>
        </w:rPr>
        <w:t xml:space="preserve">2008–09 </w:t>
      </w:r>
      <w:r w:rsidRPr="00486116">
        <w:rPr>
          <w:rFonts w:cstheme="minorHAnsi"/>
          <w:color w:val="231F20" w:themeColor="text1"/>
          <w:kern w:val="24"/>
          <w:lang w:eastAsia="en-AU"/>
        </w:rPr>
        <w:t xml:space="preserve">and </w:t>
      </w:r>
      <w:r w:rsidR="00686989">
        <w:rPr>
          <w:rFonts w:cstheme="minorHAnsi"/>
          <w:color w:val="231F20" w:themeColor="text1"/>
          <w:kern w:val="24"/>
          <w:lang w:eastAsia="en-AU"/>
        </w:rPr>
        <w:t>2017–18</w:t>
      </w:r>
      <w:r>
        <w:rPr>
          <w:rFonts w:cstheme="minorHAnsi"/>
          <w:color w:val="231F20" w:themeColor="text1"/>
          <w:kern w:val="24"/>
          <w:lang w:eastAsia="en-AU"/>
        </w:rPr>
        <w:t>.</w:t>
      </w:r>
    </w:p>
    <w:p w14:paraId="1C9E64B0" w14:textId="5932B278" w:rsidR="00486116" w:rsidRPr="00486116" w:rsidRDefault="00486116" w:rsidP="00F52169">
      <w:pPr>
        <w:rPr>
          <w:rFonts w:cstheme="minorHAnsi"/>
          <w:color w:val="231F20" w:themeColor="text1"/>
          <w:kern w:val="24"/>
          <w:lang w:eastAsia="en-AU"/>
        </w:rPr>
      </w:pPr>
      <w:r>
        <w:rPr>
          <w:lang w:eastAsia="en-AU"/>
        </w:rPr>
        <w:t>Further information on this research can</w:t>
      </w:r>
      <w:r w:rsidRPr="00A917DB">
        <w:rPr>
          <w:lang w:eastAsia="en-AU"/>
        </w:rPr>
        <w:t xml:space="preserve"> be found in the </w:t>
      </w:r>
      <w:r>
        <w:rPr>
          <w:lang w:eastAsia="en-AU"/>
        </w:rPr>
        <w:t xml:space="preserve">BCAR </w:t>
      </w:r>
      <w:r w:rsidRPr="00A917DB">
        <w:rPr>
          <w:lang w:eastAsia="en-AU"/>
        </w:rPr>
        <w:t>working paper</w:t>
      </w:r>
      <w:r>
        <w:rPr>
          <w:lang w:eastAsia="en-AU"/>
        </w:rPr>
        <w:t xml:space="preserve">: </w:t>
      </w:r>
      <w:hyperlink r:id="rId28" w:history="1">
        <w:r w:rsidRPr="00A917DB">
          <w:rPr>
            <w:rStyle w:val="Hyperlink"/>
            <w:i/>
          </w:rPr>
          <w:t xml:space="preserve">Cultural and creative activity in Australia, </w:t>
        </w:r>
        <w:r w:rsidR="00686989">
          <w:rPr>
            <w:rStyle w:val="Hyperlink"/>
            <w:i/>
          </w:rPr>
          <w:t xml:space="preserve">2008–09 </w:t>
        </w:r>
        <w:r w:rsidRPr="00A917DB">
          <w:rPr>
            <w:rStyle w:val="Hyperlink"/>
            <w:i/>
          </w:rPr>
          <w:t xml:space="preserve">to </w:t>
        </w:r>
        <w:r w:rsidR="00F52169">
          <w:rPr>
            <w:rStyle w:val="Hyperlink"/>
            <w:i/>
          </w:rPr>
          <w:t>2016–17</w:t>
        </w:r>
      </w:hyperlink>
      <w:r w:rsidR="009371AE">
        <w:rPr>
          <w:lang w:eastAsia="en-AU"/>
        </w:rPr>
        <w:t>.</w:t>
      </w:r>
    </w:p>
    <w:p w14:paraId="7D85DD7C" w14:textId="042B4970" w:rsidR="00BF2359" w:rsidRDefault="00626639" w:rsidP="00BF2359">
      <w:pPr>
        <w:pStyle w:val="Heading2"/>
      </w:pPr>
      <w:bookmarkStart w:id="3" w:name="_Toc54081697"/>
      <w:r>
        <w:t>Summary</w:t>
      </w:r>
      <w:bookmarkEnd w:id="3"/>
    </w:p>
    <w:p w14:paraId="0BAD109B" w14:textId="5158E7BD" w:rsidR="00BB1FF9" w:rsidRPr="00BB1FF9" w:rsidRDefault="00BB1FF9" w:rsidP="00BB1FF9">
      <w:pPr>
        <w:pStyle w:val="Heading3"/>
      </w:pPr>
      <w:bookmarkStart w:id="4" w:name="_Toc54081698"/>
      <w:r>
        <w:t>Key findings</w:t>
      </w:r>
      <w:bookmarkEnd w:id="4"/>
    </w:p>
    <w:p w14:paraId="21F4A79D" w14:textId="4C90764D" w:rsidR="00A9632B" w:rsidRDefault="00BF2359" w:rsidP="00686989">
      <w:pPr>
        <w:pStyle w:val="Listparagraphbullets"/>
      </w:pPr>
      <w:r w:rsidRPr="00A9632B">
        <w:t>Cultural and creative activity plays an important role in Australia</w:t>
      </w:r>
      <w:r w:rsidR="00A9632B">
        <w:t>’s economy</w:t>
      </w:r>
      <w:r w:rsidR="009371AE">
        <w:t>. This activity</w:t>
      </w:r>
      <w:r w:rsidR="00A9632B">
        <w:t xml:space="preserve"> </w:t>
      </w:r>
      <w:r w:rsidR="00A9632B" w:rsidRPr="00A9632B">
        <w:t xml:space="preserve">grew to $115.2 billion in </w:t>
      </w:r>
      <w:r w:rsidR="00686989">
        <w:t>2017–18</w:t>
      </w:r>
      <w:r w:rsidR="00A9632B" w:rsidRPr="00A9632B">
        <w:t>, an increase of $29.2 billion or 34.0 per cent over the last 10 years</w:t>
      </w:r>
      <w:r w:rsidR="00A9632B">
        <w:t xml:space="preserve"> (Table</w:t>
      </w:r>
      <w:r w:rsidR="009371AE">
        <w:t> </w:t>
      </w:r>
      <w:r w:rsidR="00A9632B">
        <w:t>1)</w:t>
      </w:r>
      <w:r w:rsidR="00A9632B" w:rsidRPr="00A9632B">
        <w:t>.</w:t>
      </w:r>
    </w:p>
    <w:p w14:paraId="6E603840" w14:textId="1E10479F" w:rsidR="001731A2" w:rsidRPr="00486116" w:rsidRDefault="001731A2" w:rsidP="001E411F">
      <w:pPr>
        <w:pStyle w:val="Listparagraphbullets"/>
        <w:spacing w:after="0"/>
        <w:rPr>
          <w:color w:val="231F20" w:themeColor="text1"/>
          <w:kern w:val="24"/>
          <w:lang w:eastAsia="en-AU"/>
        </w:rPr>
      </w:pPr>
      <w:r w:rsidRPr="00486116">
        <w:rPr>
          <w:color w:val="231F20" w:themeColor="text1"/>
          <w:kern w:val="24"/>
          <w:lang w:eastAsia="en-AU"/>
        </w:rPr>
        <w:t>Cultural and creative activity, on a satellite accounts basis, consists of four components</w:t>
      </w:r>
      <w:r>
        <w:rPr>
          <w:color w:val="231F20" w:themeColor="text1"/>
          <w:kern w:val="24"/>
          <w:lang w:eastAsia="en-AU"/>
        </w:rPr>
        <w:t xml:space="preserve"> (Table</w:t>
      </w:r>
      <w:r w:rsidR="009371AE">
        <w:rPr>
          <w:color w:val="231F20" w:themeColor="text1"/>
          <w:kern w:val="24"/>
          <w:lang w:eastAsia="en-AU"/>
        </w:rPr>
        <w:t> </w:t>
      </w:r>
      <w:r>
        <w:rPr>
          <w:color w:val="231F20" w:themeColor="text1"/>
          <w:kern w:val="24"/>
          <w:lang w:eastAsia="en-AU"/>
        </w:rPr>
        <w:t>2)</w:t>
      </w:r>
      <w:r w:rsidRPr="00486116">
        <w:rPr>
          <w:color w:val="231F20" w:themeColor="text1"/>
          <w:kern w:val="24"/>
          <w:lang w:eastAsia="en-AU"/>
        </w:rPr>
        <w:t>:</w:t>
      </w:r>
    </w:p>
    <w:p w14:paraId="7C5AE52F" w14:textId="716F51BC" w:rsidR="001731A2" w:rsidRPr="00486116" w:rsidRDefault="007C02FC" w:rsidP="001E411F">
      <w:pPr>
        <w:pStyle w:val="Listparagraphbulletssecondlevel"/>
        <w:rPr>
          <w:lang w:eastAsia="en-AU"/>
        </w:rPr>
      </w:pPr>
      <w:r>
        <w:rPr>
          <w:lang w:eastAsia="en-AU"/>
        </w:rPr>
        <w:t>Gross value added (</w:t>
      </w:r>
      <w:r w:rsidR="001731A2" w:rsidRPr="00486116">
        <w:rPr>
          <w:lang w:eastAsia="en-AU"/>
        </w:rPr>
        <w:t>GVA</w:t>
      </w:r>
      <w:r>
        <w:rPr>
          <w:lang w:eastAsia="en-AU"/>
        </w:rPr>
        <w:t>)</w:t>
      </w:r>
      <w:r w:rsidR="001731A2" w:rsidRPr="00486116">
        <w:rPr>
          <w:lang w:eastAsia="en-AU"/>
        </w:rPr>
        <w:t xml:space="preserve"> from cultural and creative industries increased by $22.3</w:t>
      </w:r>
      <w:r w:rsidR="001731A2">
        <w:rPr>
          <w:lang w:eastAsia="en-AU"/>
        </w:rPr>
        <w:t> billion</w:t>
      </w:r>
      <w:r w:rsidR="001731A2" w:rsidRPr="00486116">
        <w:rPr>
          <w:lang w:eastAsia="en-AU"/>
        </w:rPr>
        <w:t xml:space="preserve"> or 34.0</w:t>
      </w:r>
      <w:r w:rsidR="001731A2">
        <w:rPr>
          <w:lang w:eastAsia="en-AU"/>
        </w:rPr>
        <w:t> per cent</w:t>
      </w:r>
      <w:r w:rsidR="001731A2" w:rsidRPr="00486116">
        <w:rPr>
          <w:lang w:eastAsia="en-AU"/>
        </w:rPr>
        <w:t>, from $65.8</w:t>
      </w:r>
      <w:r w:rsidR="001731A2">
        <w:rPr>
          <w:lang w:eastAsia="en-AU"/>
        </w:rPr>
        <w:t> billion</w:t>
      </w:r>
      <w:r w:rsidR="001731A2" w:rsidRPr="00486116">
        <w:rPr>
          <w:lang w:eastAsia="en-AU"/>
        </w:rPr>
        <w:t xml:space="preserve"> in </w:t>
      </w:r>
      <w:r w:rsidR="00686989">
        <w:rPr>
          <w:lang w:eastAsia="en-AU"/>
        </w:rPr>
        <w:t xml:space="preserve">2008–09 </w:t>
      </w:r>
      <w:r w:rsidR="001731A2" w:rsidRPr="00486116">
        <w:rPr>
          <w:lang w:eastAsia="en-AU"/>
        </w:rPr>
        <w:t>to $88.1</w:t>
      </w:r>
      <w:r w:rsidR="001731A2">
        <w:rPr>
          <w:lang w:eastAsia="en-AU"/>
        </w:rPr>
        <w:t> billion</w:t>
      </w:r>
      <w:r w:rsidR="001731A2" w:rsidRPr="00486116">
        <w:rPr>
          <w:lang w:eastAsia="en-AU"/>
        </w:rPr>
        <w:t xml:space="preserve"> in </w:t>
      </w:r>
      <w:r w:rsidR="00686989">
        <w:rPr>
          <w:lang w:eastAsia="en-AU"/>
        </w:rPr>
        <w:t>2017–18</w:t>
      </w:r>
      <w:r w:rsidR="001731A2" w:rsidRPr="00486116">
        <w:rPr>
          <w:lang w:eastAsia="en-AU"/>
        </w:rPr>
        <w:t>. Net taxes on products attributable</w:t>
      </w:r>
      <w:r w:rsidR="009371AE">
        <w:rPr>
          <w:lang w:eastAsia="en-AU"/>
        </w:rPr>
        <w:t> </w:t>
      </w:r>
      <w:r w:rsidR="001731A2" w:rsidRPr="00486116">
        <w:rPr>
          <w:lang w:eastAsia="en-AU"/>
        </w:rPr>
        <w:t>to cultural and creative industries increased over the period by 5.0</w:t>
      </w:r>
      <w:r w:rsidR="001731A2">
        <w:rPr>
          <w:lang w:eastAsia="en-AU"/>
        </w:rPr>
        <w:t> per cent</w:t>
      </w:r>
      <w:r w:rsidR="001731A2" w:rsidRPr="00486116">
        <w:rPr>
          <w:lang w:eastAsia="en-AU"/>
        </w:rPr>
        <w:t xml:space="preserve"> or $248</w:t>
      </w:r>
      <w:r w:rsidR="001731A2">
        <w:rPr>
          <w:lang w:eastAsia="en-AU"/>
        </w:rPr>
        <w:t> million</w:t>
      </w:r>
      <w:r w:rsidR="001731A2" w:rsidRPr="00486116">
        <w:rPr>
          <w:lang w:eastAsia="en-AU"/>
        </w:rPr>
        <w:t>.</w:t>
      </w:r>
    </w:p>
    <w:p w14:paraId="461738AE" w14:textId="5F2244B7" w:rsidR="001731A2" w:rsidRPr="00486116" w:rsidRDefault="001731A2" w:rsidP="001E411F">
      <w:pPr>
        <w:pStyle w:val="Listparagraphbulletssecondlevel"/>
        <w:rPr>
          <w:lang w:eastAsia="en-AU"/>
        </w:rPr>
      </w:pPr>
      <w:r w:rsidRPr="00486116">
        <w:rPr>
          <w:lang w:eastAsia="en-AU"/>
        </w:rPr>
        <w:t xml:space="preserve">Compensation of </w:t>
      </w:r>
      <w:r w:rsidR="007C02FC">
        <w:rPr>
          <w:lang w:eastAsia="en-AU"/>
        </w:rPr>
        <w:t>e</w:t>
      </w:r>
      <w:r w:rsidRPr="00486116">
        <w:rPr>
          <w:lang w:eastAsia="en-AU"/>
        </w:rPr>
        <w:t>mployees (COE) received by individuals working in cultural and creative occupations that are outside industries identified as cultural and creative was $21.9</w:t>
      </w:r>
      <w:r>
        <w:rPr>
          <w:lang w:eastAsia="en-AU"/>
        </w:rPr>
        <w:t> billion</w:t>
      </w:r>
      <w:r w:rsidRPr="00486116">
        <w:rPr>
          <w:lang w:eastAsia="en-AU"/>
        </w:rPr>
        <w:t xml:space="preserve"> in </w:t>
      </w:r>
      <w:r w:rsidR="00686989">
        <w:rPr>
          <w:lang w:eastAsia="en-AU"/>
        </w:rPr>
        <w:t>2017–18</w:t>
      </w:r>
      <w:r w:rsidRPr="00486116">
        <w:rPr>
          <w:lang w:eastAsia="en-AU"/>
        </w:rPr>
        <w:t>. This grew by $6.6</w:t>
      </w:r>
      <w:r>
        <w:rPr>
          <w:lang w:eastAsia="en-AU"/>
        </w:rPr>
        <w:t> billion</w:t>
      </w:r>
      <w:r w:rsidRPr="00486116">
        <w:rPr>
          <w:lang w:eastAsia="en-AU"/>
        </w:rPr>
        <w:t xml:space="preserve"> or 43.7</w:t>
      </w:r>
      <w:r>
        <w:rPr>
          <w:lang w:eastAsia="en-AU"/>
        </w:rPr>
        <w:t> per cent</w:t>
      </w:r>
      <w:r w:rsidRPr="00486116">
        <w:rPr>
          <w:lang w:eastAsia="en-AU"/>
        </w:rPr>
        <w:t xml:space="preserve"> over the period. </w:t>
      </w:r>
    </w:p>
    <w:p w14:paraId="7DE04BAC" w14:textId="0F717485" w:rsidR="001731A2" w:rsidRDefault="001731A2" w:rsidP="001E411F">
      <w:pPr>
        <w:pStyle w:val="Listparagraphbulletssecondlevel"/>
        <w:rPr>
          <w:lang w:eastAsia="en-AU"/>
        </w:rPr>
      </w:pPr>
      <w:r w:rsidRPr="00486116">
        <w:rPr>
          <w:lang w:eastAsia="en-AU"/>
        </w:rPr>
        <w:t>The value of volunteer services to arts and heritage organisations was $1.0</w:t>
      </w:r>
      <w:r>
        <w:rPr>
          <w:lang w:eastAsia="en-AU"/>
        </w:rPr>
        <w:t> billion</w:t>
      </w:r>
      <w:r w:rsidRPr="00486116">
        <w:rPr>
          <w:lang w:eastAsia="en-AU"/>
        </w:rPr>
        <w:t xml:space="preserve"> in </w:t>
      </w:r>
      <w:r w:rsidR="00914F7B">
        <w:rPr>
          <w:lang w:eastAsia="en-AU"/>
        </w:rPr>
        <w:t>2017–18</w:t>
      </w:r>
      <w:r w:rsidRPr="00486116">
        <w:rPr>
          <w:lang w:eastAsia="en-AU"/>
        </w:rPr>
        <w:t>, $257</w:t>
      </w:r>
      <w:r>
        <w:rPr>
          <w:lang w:eastAsia="en-AU"/>
        </w:rPr>
        <w:t> million</w:t>
      </w:r>
      <w:r w:rsidRPr="00486116">
        <w:rPr>
          <w:lang w:eastAsia="en-AU"/>
        </w:rPr>
        <w:t xml:space="preserve"> more than in </w:t>
      </w:r>
      <w:r w:rsidR="00F52169">
        <w:rPr>
          <w:lang w:eastAsia="en-AU"/>
        </w:rPr>
        <w:t>2008–09.</w:t>
      </w:r>
    </w:p>
    <w:p w14:paraId="33748A00" w14:textId="5394CA91" w:rsidR="001731A2" w:rsidRPr="001731A2" w:rsidRDefault="001731A2" w:rsidP="001E411F">
      <w:pPr>
        <w:pStyle w:val="Listparagraphbulletssecondlevel"/>
        <w:spacing w:after="0"/>
        <w:rPr>
          <w:lang w:eastAsia="en-AU"/>
        </w:rPr>
      </w:pPr>
      <w:r w:rsidRPr="001731A2">
        <w:rPr>
          <w:lang w:eastAsia="en-AU"/>
        </w:rPr>
        <w:t>Non</w:t>
      </w:r>
      <w:r w:rsidRPr="001731A2">
        <w:rPr>
          <w:lang w:eastAsia="en-AU"/>
        </w:rPr>
        <w:noBreakHyphen/>
        <w:t xml:space="preserve">market output of market producers in cultural and creative industries was $91 million in </w:t>
      </w:r>
      <w:r w:rsidR="00686989">
        <w:rPr>
          <w:lang w:eastAsia="en-AU"/>
        </w:rPr>
        <w:t>2017–18</w:t>
      </w:r>
      <w:r w:rsidRPr="001731A2">
        <w:rPr>
          <w:lang w:eastAsia="en-AU"/>
        </w:rPr>
        <w:t xml:space="preserve">, an increase of $23 million compared to </w:t>
      </w:r>
      <w:r w:rsidR="00F52169">
        <w:rPr>
          <w:lang w:eastAsia="en-AU"/>
        </w:rPr>
        <w:t>2008–09.</w:t>
      </w:r>
    </w:p>
    <w:p w14:paraId="425C14EF" w14:textId="23F943EA" w:rsidR="00A9632B" w:rsidRDefault="00BF2359" w:rsidP="00686989">
      <w:pPr>
        <w:pStyle w:val="Listparagraphbullets"/>
      </w:pPr>
      <w:r w:rsidRPr="00E95177">
        <w:t xml:space="preserve">Related cultural and creative industries (known as ‘domains’) that contributed most to this activity in </w:t>
      </w:r>
      <w:r w:rsidR="00686989">
        <w:t>2017–18</w:t>
      </w:r>
      <w:r w:rsidRPr="00E95177">
        <w:t xml:space="preserve"> were </w:t>
      </w:r>
      <w:r w:rsidR="00A9632B" w:rsidRPr="00E95177">
        <w:t>design at $44.1 billion, fashion at $14.9 billion, and broadcasting</w:t>
      </w:r>
      <w:r w:rsidR="00A9632B" w:rsidRPr="00A9632B">
        <w:t>, electronic or digital media, and film at $9.7 billion</w:t>
      </w:r>
      <w:r w:rsidR="00A9632B">
        <w:t xml:space="preserve"> (Figure</w:t>
      </w:r>
      <w:r w:rsidR="009371AE">
        <w:t> </w:t>
      </w:r>
      <w:r w:rsidR="00A9632B">
        <w:t>2)</w:t>
      </w:r>
      <w:r w:rsidR="00A9632B" w:rsidRPr="00A9632B">
        <w:t>.</w:t>
      </w:r>
    </w:p>
    <w:p w14:paraId="1BC95945" w14:textId="286779A0" w:rsidR="00BF2359" w:rsidRPr="00A9632B" w:rsidRDefault="00BF2359" w:rsidP="00686989">
      <w:pPr>
        <w:pStyle w:val="Listparagraphbullets"/>
      </w:pPr>
      <w:r w:rsidRPr="00A9632B">
        <w:t xml:space="preserve">While cultural and creative activity has grown in absolute terms, the increase was slightly slower than the pace of the Australian economy overall. As a share of </w:t>
      </w:r>
      <w:r w:rsidR="007C02FC">
        <w:t>g</w:t>
      </w:r>
      <w:r w:rsidRPr="00A9632B">
        <w:t xml:space="preserve">ross </w:t>
      </w:r>
      <w:r w:rsidR="007C02FC">
        <w:t>d</w:t>
      </w:r>
      <w:r w:rsidRPr="00A9632B">
        <w:t xml:space="preserve">omestic </w:t>
      </w:r>
      <w:r w:rsidR="007C02FC">
        <w:t>p</w:t>
      </w:r>
      <w:r w:rsidRPr="00A9632B">
        <w:t>roduct (GDP), cultural and creative activity declined by 0.</w:t>
      </w:r>
      <w:r w:rsidR="00AE69F4">
        <w:t>6</w:t>
      </w:r>
      <w:r w:rsidRPr="00A9632B">
        <w:t xml:space="preserve"> percentage points, from 6.9 per cent in </w:t>
      </w:r>
      <w:r w:rsidR="00686989">
        <w:t xml:space="preserve">2008–09 </w:t>
      </w:r>
      <w:r w:rsidRPr="00A9632B">
        <w:t>to 6.</w:t>
      </w:r>
      <w:r w:rsidR="00BB1FF9">
        <w:t>3</w:t>
      </w:r>
      <w:r w:rsidRPr="00A9632B">
        <w:t xml:space="preserve"> per cent in </w:t>
      </w:r>
      <w:r w:rsidR="00686989">
        <w:t>2017–18</w:t>
      </w:r>
      <w:r w:rsidRPr="00A9632B">
        <w:t xml:space="preserve"> (</w:t>
      </w:r>
      <w:r w:rsidR="00BB1FF9">
        <w:t>Figure</w:t>
      </w:r>
      <w:r w:rsidR="009371AE">
        <w:t> </w:t>
      </w:r>
      <w:r w:rsidR="00BB1FF9">
        <w:t>5</w:t>
      </w:r>
      <w:r w:rsidRPr="00A9632B">
        <w:t>).</w:t>
      </w:r>
    </w:p>
    <w:p w14:paraId="16726FBB" w14:textId="5C30DF59" w:rsidR="00BF2359" w:rsidRPr="00BF2359" w:rsidRDefault="00BF2359" w:rsidP="00686989">
      <w:pPr>
        <w:pStyle w:val="Listparagraphbullets"/>
      </w:pPr>
      <w:r w:rsidRPr="00BF2359">
        <w:t>The decline as a share of GDP is mainly due to two factors. The Australian economy has been supported by activities relating to the mining sector, which falls almost entirely outside of cultural and creative activity. At the same time, some cultural and creative industries—such as printing and clothing manufacturing—have faced increased global competition and have needed to adjust to the shift towards digital content and automation (</w:t>
      </w:r>
      <w:r w:rsidR="00BB1FF9">
        <w:t>Figure 7</w:t>
      </w:r>
      <w:r w:rsidRPr="00BF2359">
        <w:t>).</w:t>
      </w:r>
    </w:p>
    <w:p w14:paraId="6438843F" w14:textId="6B03375B" w:rsidR="00BB1FF9" w:rsidRPr="00E95177" w:rsidRDefault="00BF2359" w:rsidP="00A161F3">
      <w:pPr>
        <w:pStyle w:val="Listparagraphbullets"/>
        <w:keepLines/>
        <w:rPr>
          <w:lang w:eastAsia="en-US"/>
        </w:rPr>
      </w:pPr>
      <w:r w:rsidRPr="00BB1FF9">
        <w:lastRenderedPageBreak/>
        <w:t xml:space="preserve">The </w:t>
      </w:r>
      <w:r w:rsidR="00D70CF0">
        <w:t>publication</w:t>
      </w:r>
      <w:r w:rsidRPr="00BB1FF9">
        <w:t xml:space="preserve"> identifies some components of cultural and creative activity that will be important drivers of economic activity. Cultural and creative activity in professional, scientific and technical services, and education and training have increased their share of GDP over the period compared with the rest of the economy (</w:t>
      </w:r>
      <w:r w:rsidR="00BB1FF9" w:rsidRPr="00BB1FF9">
        <w:t>F</w:t>
      </w:r>
      <w:r w:rsidRPr="00BB1FF9">
        <w:t>igure </w:t>
      </w:r>
      <w:r w:rsidR="00BB1FF9" w:rsidRPr="00BB1FF9">
        <w:t>8</w:t>
      </w:r>
      <w:r w:rsidRPr="00BB1FF9">
        <w:t xml:space="preserve">). </w:t>
      </w:r>
    </w:p>
    <w:p w14:paraId="2F52178B" w14:textId="5EE9695C" w:rsidR="00E95177" w:rsidRPr="00BF2359" w:rsidRDefault="00E95177" w:rsidP="00F52169">
      <w:pPr>
        <w:pStyle w:val="Listparagraphbullets"/>
        <w:rPr>
          <w:lang w:eastAsia="en-US"/>
        </w:rPr>
      </w:pPr>
      <w:r>
        <w:rPr>
          <w:lang w:eastAsia="en-US"/>
        </w:rPr>
        <w:t xml:space="preserve">More information can be found in </w:t>
      </w:r>
      <w:r w:rsidRPr="00E95177">
        <w:rPr>
          <w:lang w:eastAsia="en-US"/>
        </w:rPr>
        <w:t>Appendix A – Detailed explanatory notes</w:t>
      </w:r>
      <w:r>
        <w:rPr>
          <w:lang w:eastAsia="en-US"/>
        </w:rPr>
        <w:t>.</w:t>
      </w:r>
    </w:p>
    <w:p w14:paraId="7E2EDC72" w14:textId="4E54696B" w:rsidR="00271956" w:rsidRDefault="00271956" w:rsidP="00F37141">
      <w:pPr>
        <w:pStyle w:val="Heading3"/>
      </w:pPr>
      <w:bookmarkStart w:id="5" w:name="_Toc54081699"/>
      <w:r>
        <w:t xml:space="preserve">Deviations in </w:t>
      </w:r>
      <w:r w:rsidRPr="000745E5">
        <w:t>cultural and creative activity</w:t>
      </w:r>
      <w:r w:rsidRPr="00567174">
        <w:t xml:space="preserve"> </w:t>
      </w:r>
      <w:r w:rsidR="00BF2359">
        <w:t xml:space="preserve">estimates from </w:t>
      </w:r>
      <w:r w:rsidR="00831ED0">
        <w:t xml:space="preserve">the </w:t>
      </w:r>
      <w:r w:rsidR="00BF2359">
        <w:t>BCAR</w:t>
      </w:r>
      <w:r w:rsidR="00831ED0">
        <w:t>’s</w:t>
      </w:r>
      <w:r w:rsidR="00BF2359">
        <w:t xml:space="preserve"> working </w:t>
      </w:r>
      <w:r>
        <w:t xml:space="preserve">paper, </w:t>
      </w:r>
      <w:r w:rsidR="00686989">
        <w:t xml:space="preserve">2008–09 </w:t>
      </w:r>
      <w:r w:rsidRPr="000745E5">
        <w:t xml:space="preserve">to </w:t>
      </w:r>
      <w:r w:rsidR="00F52169">
        <w:t>2016–17</w:t>
      </w:r>
      <w:bookmarkEnd w:id="5"/>
    </w:p>
    <w:p w14:paraId="20F9E6A3" w14:textId="122FCEA0" w:rsidR="00F37141" w:rsidRPr="004200B5" w:rsidRDefault="00F37141" w:rsidP="001E411F">
      <w:pPr>
        <w:pStyle w:val="Listparagraphbullets"/>
      </w:pPr>
      <w:r w:rsidRPr="0041541F">
        <w:rPr>
          <w:color w:val="231F20" w:themeColor="text1"/>
          <w:kern w:val="24"/>
          <w:lang w:eastAsia="en-AU"/>
        </w:rPr>
        <w:t xml:space="preserve">The Australian System of National Accounts has been revised to incorporate the </w:t>
      </w:r>
      <w:r w:rsidR="00F52169">
        <w:rPr>
          <w:color w:val="231F20" w:themeColor="text1"/>
          <w:kern w:val="24"/>
          <w:lang w:eastAsia="en-AU"/>
        </w:rPr>
        <w:t>2016–17</w:t>
      </w:r>
      <w:r w:rsidRPr="0041541F">
        <w:rPr>
          <w:color w:val="231F20" w:themeColor="text1"/>
          <w:kern w:val="24"/>
          <w:lang w:eastAsia="en-AU"/>
        </w:rPr>
        <w:t xml:space="preserve"> annual </w:t>
      </w:r>
      <w:r w:rsidRPr="004200B5">
        <w:t xml:space="preserve">supply and use tables. The </w:t>
      </w:r>
      <w:r w:rsidR="00686989">
        <w:t>2017–18</w:t>
      </w:r>
      <w:r w:rsidRPr="004200B5">
        <w:t xml:space="preserve"> estimates contain revisions from the </w:t>
      </w:r>
      <w:r w:rsidR="00F52169">
        <w:t>2016–17</w:t>
      </w:r>
      <w:r w:rsidRPr="004200B5">
        <w:t xml:space="preserve"> benchmarks, new data and data confrontation to balance the accounts.</w:t>
      </w:r>
    </w:p>
    <w:p w14:paraId="2E11C924" w14:textId="77777777" w:rsidR="00F37141" w:rsidRPr="004200B5" w:rsidRDefault="00F37141" w:rsidP="001E411F">
      <w:pPr>
        <w:pStyle w:val="Listparagraphbullets"/>
      </w:pPr>
      <w:r w:rsidRPr="004200B5">
        <w:t>As a result of these revisions, the BCAR’s updated estimates of cultural and creative activity vary from those presented in the 2018 working paper.</w:t>
      </w:r>
    </w:p>
    <w:p w14:paraId="4351D4AB" w14:textId="06639861" w:rsidR="00F37141" w:rsidRDefault="00F37141" w:rsidP="001E411F">
      <w:pPr>
        <w:pStyle w:val="Listparagraphbullets"/>
      </w:pPr>
      <w:r w:rsidRPr="004200B5">
        <w:t xml:space="preserve">Cultural and creative activity estimates for </w:t>
      </w:r>
      <w:r w:rsidR="00F52169">
        <w:t>2016–17</w:t>
      </w:r>
      <w:r w:rsidRPr="004200B5">
        <w:t xml:space="preserve"> have been revised down by $1.4 billion from $111.7 billion in last year’s working paper to $110.3 billion in the updated estimates.</w:t>
      </w:r>
      <w:r w:rsidR="007C02FC" w:rsidRPr="007C02FC">
        <w:t xml:space="preserve"> </w:t>
      </w:r>
      <w:r w:rsidRPr="004200B5">
        <w:t>This reduction has been driven mainly by the $1.5 billion decrease to cultural and creative activity in professional, scientific and technical services.</w:t>
      </w:r>
    </w:p>
    <w:p w14:paraId="35D97C82" w14:textId="308A30A3" w:rsidR="00E157DD" w:rsidRPr="00E157DD" w:rsidRDefault="00E157DD" w:rsidP="001E411F">
      <w:pPr>
        <w:pStyle w:val="Tablefigureheading"/>
        <w:rPr>
          <w:rFonts w:cstheme="minorHAnsi"/>
        </w:rPr>
      </w:pPr>
      <w:r w:rsidRPr="00E157DD">
        <w:t xml:space="preserve">Revisions of cultural and creative activity Gross Value Added (GVA), by industry division, </w:t>
      </w:r>
      <w:r w:rsidR="00A61D6F">
        <w:t>2008–09</w:t>
      </w:r>
      <w:r w:rsidRPr="00E157DD">
        <w:t xml:space="preserve"> to </w:t>
      </w:r>
      <w:r w:rsidR="00914F7B">
        <w:t>2016–17</w:t>
      </w:r>
    </w:p>
    <w:tbl>
      <w:tblPr>
        <w:tblW w:w="10201" w:type="dxa"/>
        <w:tblInd w:w="-426" w:type="dxa"/>
        <w:tblBorders>
          <w:top w:val="single" w:sz="4" w:space="0" w:color="auto"/>
          <w:bottom w:val="single" w:sz="8" w:space="0" w:color="auto"/>
          <w:insideH w:val="single" w:sz="4" w:space="0" w:color="auto"/>
        </w:tblBorders>
        <w:tblLayout w:type="fixed"/>
        <w:tblLook w:val="04A0" w:firstRow="1" w:lastRow="0" w:firstColumn="1" w:lastColumn="0" w:noHBand="0" w:noVBand="1"/>
        <w:tblCaption w:val="Revisions of cultural and creative activity Gross Value Added (GVA), by industry division, 2008-09 to 2016-17"/>
        <w:tblDescription w:val="Revisions of cultural and creative activity Gross Value Added (GVA), by industry division, 2008-09 to 2016-17&#10;&#10;This table shows revisions of cultural and creative activity GVA, by industry division, from 2008-09 to 2016-17. Cultural and creative activity estimates for 2016–17 have been revised down by $1.4 billion from $111.7 billion in last year’s working paper to $110.3 billion in the updated estimates. This reduction has been driven mainly by the $1.5 billion decrease to cultural and creative activity in professional, scientific and technical services."/>
      </w:tblPr>
      <w:tblGrid>
        <w:gridCol w:w="1843"/>
        <w:gridCol w:w="987"/>
        <w:gridCol w:w="992"/>
        <w:gridCol w:w="851"/>
        <w:gridCol w:w="850"/>
        <w:gridCol w:w="851"/>
        <w:gridCol w:w="992"/>
        <w:gridCol w:w="992"/>
        <w:gridCol w:w="851"/>
        <w:gridCol w:w="992"/>
      </w:tblGrid>
      <w:tr w:rsidR="00E157DD" w:rsidRPr="000977D1" w14:paraId="1BCE15DE" w14:textId="77777777" w:rsidTr="00A161F3">
        <w:trPr>
          <w:cantSplit/>
          <w:tblHeader/>
        </w:trPr>
        <w:tc>
          <w:tcPr>
            <w:tcW w:w="1843" w:type="dxa"/>
            <w:shd w:val="clear" w:color="000000" w:fill="113652"/>
            <w:vAlign w:val="center"/>
            <w:hideMark/>
          </w:tcPr>
          <w:p w14:paraId="3CF7DBE6" w14:textId="77777777" w:rsidR="00E157DD" w:rsidRPr="000977D1" w:rsidRDefault="00E157DD" w:rsidP="00A61D6F">
            <w:pPr>
              <w:pStyle w:val="Tablerowcolumnheading"/>
              <w:rPr>
                <w:rFonts w:cs="Segoe UI"/>
                <w:sz w:val="16"/>
                <w:szCs w:val="16"/>
              </w:rPr>
            </w:pPr>
            <w:r w:rsidRPr="000977D1">
              <w:rPr>
                <w:rFonts w:cs="Segoe UI"/>
                <w:sz w:val="16"/>
                <w:szCs w:val="16"/>
              </w:rPr>
              <w:t>Division Name</w:t>
            </w:r>
          </w:p>
        </w:tc>
        <w:tc>
          <w:tcPr>
            <w:tcW w:w="987" w:type="dxa"/>
            <w:shd w:val="clear" w:color="000000" w:fill="113652"/>
            <w:vAlign w:val="center"/>
            <w:hideMark/>
          </w:tcPr>
          <w:p w14:paraId="3D0F9112" w14:textId="0119AFA5" w:rsidR="00E157DD" w:rsidRPr="000977D1" w:rsidRDefault="00E157DD" w:rsidP="00A61D6F">
            <w:pPr>
              <w:pStyle w:val="Tablerowcolumnheading"/>
              <w:jc w:val="right"/>
              <w:rPr>
                <w:rFonts w:cs="Segoe UI"/>
                <w:sz w:val="16"/>
                <w:szCs w:val="16"/>
              </w:rPr>
            </w:pPr>
            <w:r w:rsidRPr="000977D1">
              <w:rPr>
                <w:rFonts w:cs="Segoe UI"/>
                <w:sz w:val="16"/>
                <w:szCs w:val="16"/>
              </w:rPr>
              <w:t>2008</w:t>
            </w:r>
            <w:r w:rsidR="00A61D6F" w:rsidRPr="000977D1">
              <w:rPr>
                <w:rFonts w:cs="Segoe UI"/>
                <w:sz w:val="16"/>
                <w:szCs w:val="16"/>
              </w:rPr>
              <w:t>–</w:t>
            </w:r>
            <w:r w:rsidRPr="000977D1">
              <w:rPr>
                <w:rFonts w:cs="Segoe UI"/>
                <w:sz w:val="16"/>
                <w:szCs w:val="16"/>
              </w:rPr>
              <w:t>09</w:t>
            </w:r>
          </w:p>
          <w:p w14:paraId="0BBBCCFE" w14:textId="330A5069" w:rsidR="00A61D6F" w:rsidRPr="000977D1" w:rsidRDefault="00A61D6F" w:rsidP="00A61D6F">
            <w:pPr>
              <w:pStyle w:val="Tablerowcolumnheading"/>
              <w:jc w:val="right"/>
              <w:rPr>
                <w:rFonts w:cs="Segoe UI"/>
                <w:sz w:val="16"/>
                <w:szCs w:val="16"/>
              </w:rPr>
            </w:pPr>
            <w:r w:rsidRPr="000977D1">
              <w:rPr>
                <w:rFonts w:cs="Segoe UI"/>
                <w:sz w:val="16"/>
                <w:szCs w:val="16"/>
              </w:rPr>
              <w:t>$m</w:t>
            </w:r>
          </w:p>
        </w:tc>
        <w:tc>
          <w:tcPr>
            <w:tcW w:w="992" w:type="dxa"/>
            <w:shd w:val="clear" w:color="000000" w:fill="113652"/>
            <w:vAlign w:val="center"/>
            <w:hideMark/>
          </w:tcPr>
          <w:p w14:paraId="4077FEFB" w14:textId="10208FFD" w:rsidR="00A61D6F" w:rsidRPr="000977D1" w:rsidRDefault="00E157DD" w:rsidP="00A61D6F">
            <w:pPr>
              <w:pStyle w:val="Tablerowcolumnheading"/>
              <w:jc w:val="right"/>
              <w:rPr>
                <w:rFonts w:cs="Segoe UI"/>
                <w:sz w:val="16"/>
                <w:szCs w:val="16"/>
              </w:rPr>
            </w:pPr>
            <w:r w:rsidRPr="000977D1">
              <w:rPr>
                <w:rFonts w:cs="Segoe UI"/>
                <w:sz w:val="16"/>
                <w:szCs w:val="16"/>
              </w:rPr>
              <w:t>2009</w:t>
            </w:r>
            <w:r w:rsidR="00A61D6F" w:rsidRPr="000977D1">
              <w:rPr>
                <w:rFonts w:cs="Segoe UI"/>
                <w:sz w:val="16"/>
                <w:szCs w:val="16"/>
              </w:rPr>
              <w:t>–</w:t>
            </w:r>
            <w:r w:rsidRPr="000977D1">
              <w:rPr>
                <w:rFonts w:cs="Segoe UI"/>
                <w:sz w:val="16"/>
                <w:szCs w:val="16"/>
              </w:rPr>
              <w:t>10</w:t>
            </w:r>
          </w:p>
          <w:p w14:paraId="3EB3D5DC" w14:textId="567DB1EF" w:rsidR="00E157DD" w:rsidRPr="000977D1" w:rsidRDefault="00A61D6F" w:rsidP="00A61D6F">
            <w:pPr>
              <w:pStyle w:val="Tablerowcolumnheading"/>
              <w:jc w:val="right"/>
              <w:rPr>
                <w:rFonts w:cs="Segoe UI"/>
                <w:sz w:val="16"/>
                <w:szCs w:val="16"/>
              </w:rPr>
            </w:pPr>
            <w:r w:rsidRPr="000977D1">
              <w:rPr>
                <w:rFonts w:cs="Segoe UI"/>
                <w:sz w:val="16"/>
                <w:szCs w:val="16"/>
              </w:rPr>
              <w:t>$m</w:t>
            </w:r>
          </w:p>
        </w:tc>
        <w:tc>
          <w:tcPr>
            <w:tcW w:w="851" w:type="dxa"/>
            <w:shd w:val="clear" w:color="000000" w:fill="113652"/>
            <w:vAlign w:val="center"/>
            <w:hideMark/>
          </w:tcPr>
          <w:p w14:paraId="559C4A6D" w14:textId="4D8BC42E" w:rsidR="00A61D6F" w:rsidRPr="000977D1" w:rsidRDefault="00E157DD" w:rsidP="00A61D6F">
            <w:pPr>
              <w:pStyle w:val="Tablerowcolumnheading"/>
              <w:jc w:val="right"/>
              <w:rPr>
                <w:rFonts w:cs="Segoe UI"/>
                <w:sz w:val="16"/>
                <w:szCs w:val="16"/>
              </w:rPr>
            </w:pPr>
            <w:r w:rsidRPr="000977D1">
              <w:rPr>
                <w:rFonts w:cs="Segoe UI"/>
                <w:sz w:val="16"/>
                <w:szCs w:val="16"/>
              </w:rPr>
              <w:t>2010</w:t>
            </w:r>
            <w:r w:rsidR="00A61D6F" w:rsidRPr="000977D1">
              <w:rPr>
                <w:rFonts w:cs="Segoe UI"/>
                <w:sz w:val="16"/>
                <w:szCs w:val="16"/>
              </w:rPr>
              <w:t>–</w:t>
            </w:r>
            <w:r w:rsidRPr="000977D1">
              <w:rPr>
                <w:rFonts w:cs="Segoe UI"/>
                <w:sz w:val="16"/>
                <w:szCs w:val="16"/>
              </w:rPr>
              <w:t>11</w:t>
            </w:r>
          </w:p>
          <w:p w14:paraId="14202B7F" w14:textId="67E01FF8" w:rsidR="00E157DD" w:rsidRPr="000977D1" w:rsidRDefault="00A61D6F" w:rsidP="00A61D6F">
            <w:pPr>
              <w:pStyle w:val="Tablerowcolumnheading"/>
              <w:jc w:val="right"/>
              <w:rPr>
                <w:rFonts w:cs="Segoe UI"/>
                <w:sz w:val="16"/>
                <w:szCs w:val="16"/>
              </w:rPr>
            </w:pPr>
            <w:r w:rsidRPr="000977D1">
              <w:rPr>
                <w:rFonts w:cs="Segoe UI"/>
                <w:sz w:val="16"/>
                <w:szCs w:val="16"/>
              </w:rPr>
              <w:t>$m</w:t>
            </w:r>
          </w:p>
        </w:tc>
        <w:tc>
          <w:tcPr>
            <w:tcW w:w="850" w:type="dxa"/>
            <w:shd w:val="clear" w:color="000000" w:fill="113652"/>
            <w:vAlign w:val="center"/>
            <w:hideMark/>
          </w:tcPr>
          <w:p w14:paraId="33D149E8" w14:textId="06AC28E5" w:rsidR="00A61D6F" w:rsidRPr="000977D1" w:rsidRDefault="00E157DD" w:rsidP="00A61D6F">
            <w:pPr>
              <w:pStyle w:val="Tablerowcolumnheading"/>
              <w:jc w:val="right"/>
              <w:rPr>
                <w:rFonts w:cs="Segoe UI"/>
                <w:sz w:val="16"/>
                <w:szCs w:val="16"/>
              </w:rPr>
            </w:pPr>
            <w:r w:rsidRPr="000977D1">
              <w:rPr>
                <w:rFonts w:cs="Segoe UI"/>
                <w:sz w:val="16"/>
                <w:szCs w:val="16"/>
              </w:rPr>
              <w:t>2011</w:t>
            </w:r>
            <w:r w:rsidR="00A61D6F" w:rsidRPr="000977D1">
              <w:rPr>
                <w:rFonts w:cs="Segoe UI"/>
                <w:sz w:val="16"/>
                <w:szCs w:val="16"/>
              </w:rPr>
              <w:t>–</w:t>
            </w:r>
            <w:r w:rsidRPr="000977D1">
              <w:rPr>
                <w:rFonts w:cs="Segoe UI"/>
                <w:sz w:val="16"/>
                <w:szCs w:val="16"/>
              </w:rPr>
              <w:t>12</w:t>
            </w:r>
          </w:p>
          <w:p w14:paraId="3131610F" w14:textId="7F0D2058" w:rsidR="00E157DD" w:rsidRPr="000977D1" w:rsidRDefault="00A61D6F" w:rsidP="00A61D6F">
            <w:pPr>
              <w:pStyle w:val="Tablerowcolumnheading"/>
              <w:jc w:val="right"/>
              <w:rPr>
                <w:rFonts w:cs="Segoe UI"/>
                <w:sz w:val="16"/>
                <w:szCs w:val="16"/>
              </w:rPr>
            </w:pPr>
            <w:r w:rsidRPr="000977D1">
              <w:rPr>
                <w:rFonts w:cs="Segoe UI"/>
                <w:sz w:val="16"/>
                <w:szCs w:val="16"/>
              </w:rPr>
              <w:t>$m</w:t>
            </w:r>
          </w:p>
        </w:tc>
        <w:tc>
          <w:tcPr>
            <w:tcW w:w="851" w:type="dxa"/>
            <w:shd w:val="clear" w:color="000000" w:fill="113652"/>
            <w:vAlign w:val="center"/>
            <w:hideMark/>
          </w:tcPr>
          <w:p w14:paraId="7F2DE703" w14:textId="7FF43B52" w:rsidR="00A61D6F" w:rsidRPr="000977D1" w:rsidRDefault="00E157DD" w:rsidP="00A61D6F">
            <w:pPr>
              <w:pStyle w:val="Tablerowcolumnheading"/>
              <w:jc w:val="right"/>
              <w:rPr>
                <w:rFonts w:cs="Segoe UI"/>
                <w:sz w:val="16"/>
                <w:szCs w:val="16"/>
              </w:rPr>
            </w:pPr>
            <w:r w:rsidRPr="000977D1">
              <w:rPr>
                <w:rFonts w:cs="Segoe UI"/>
                <w:sz w:val="16"/>
                <w:szCs w:val="16"/>
              </w:rPr>
              <w:t>2012</w:t>
            </w:r>
            <w:r w:rsidR="00A61D6F" w:rsidRPr="000977D1">
              <w:rPr>
                <w:rFonts w:cs="Segoe UI"/>
                <w:sz w:val="16"/>
                <w:szCs w:val="16"/>
              </w:rPr>
              <w:t>–</w:t>
            </w:r>
            <w:r w:rsidRPr="000977D1">
              <w:rPr>
                <w:rFonts w:cs="Segoe UI"/>
                <w:sz w:val="16"/>
                <w:szCs w:val="16"/>
              </w:rPr>
              <w:t>13</w:t>
            </w:r>
          </w:p>
          <w:p w14:paraId="4E653F96" w14:textId="1F045A40" w:rsidR="00E157DD" w:rsidRPr="000977D1" w:rsidRDefault="00A61D6F" w:rsidP="00A61D6F">
            <w:pPr>
              <w:pStyle w:val="Tablerowcolumnheading"/>
              <w:jc w:val="right"/>
              <w:rPr>
                <w:rFonts w:cs="Segoe UI"/>
                <w:sz w:val="16"/>
                <w:szCs w:val="16"/>
              </w:rPr>
            </w:pPr>
            <w:r w:rsidRPr="000977D1">
              <w:rPr>
                <w:rFonts w:cs="Segoe UI"/>
                <w:sz w:val="16"/>
                <w:szCs w:val="16"/>
              </w:rPr>
              <w:t>$m</w:t>
            </w:r>
          </w:p>
        </w:tc>
        <w:tc>
          <w:tcPr>
            <w:tcW w:w="992" w:type="dxa"/>
            <w:shd w:val="clear" w:color="000000" w:fill="113652"/>
            <w:vAlign w:val="center"/>
            <w:hideMark/>
          </w:tcPr>
          <w:p w14:paraId="4B2EEB45" w14:textId="04F31764" w:rsidR="00A61D6F" w:rsidRPr="000977D1" w:rsidRDefault="00E157DD" w:rsidP="00A61D6F">
            <w:pPr>
              <w:pStyle w:val="Tablerowcolumnheading"/>
              <w:jc w:val="right"/>
              <w:rPr>
                <w:rFonts w:cs="Segoe UI"/>
                <w:sz w:val="16"/>
                <w:szCs w:val="16"/>
              </w:rPr>
            </w:pPr>
            <w:r w:rsidRPr="000977D1">
              <w:rPr>
                <w:rFonts w:cs="Segoe UI"/>
                <w:sz w:val="16"/>
                <w:szCs w:val="16"/>
              </w:rPr>
              <w:t>2013</w:t>
            </w:r>
            <w:r w:rsidR="00A61D6F" w:rsidRPr="000977D1">
              <w:rPr>
                <w:rFonts w:cs="Segoe UI"/>
                <w:sz w:val="16"/>
                <w:szCs w:val="16"/>
              </w:rPr>
              <w:t>–</w:t>
            </w:r>
            <w:r w:rsidRPr="000977D1">
              <w:rPr>
                <w:rFonts w:cs="Segoe UI"/>
                <w:sz w:val="16"/>
                <w:szCs w:val="16"/>
              </w:rPr>
              <w:t>14</w:t>
            </w:r>
          </w:p>
          <w:p w14:paraId="1D452DBE" w14:textId="6204A09D" w:rsidR="00E157DD" w:rsidRPr="000977D1" w:rsidRDefault="00A61D6F" w:rsidP="00A61D6F">
            <w:pPr>
              <w:pStyle w:val="Tablerowcolumnheading"/>
              <w:jc w:val="right"/>
              <w:rPr>
                <w:rFonts w:cs="Segoe UI"/>
                <w:sz w:val="16"/>
                <w:szCs w:val="16"/>
              </w:rPr>
            </w:pPr>
            <w:r w:rsidRPr="000977D1">
              <w:rPr>
                <w:rFonts w:cs="Segoe UI"/>
                <w:sz w:val="16"/>
                <w:szCs w:val="16"/>
              </w:rPr>
              <w:t>$m</w:t>
            </w:r>
          </w:p>
        </w:tc>
        <w:tc>
          <w:tcPr>
            <w:tcW w:w="992" w:type="dxa"/>
            <w:shd w:val="clear" w:color="000000" w:fill="113652"/>
            <w:vAlign w:val="center"/>
            <w:hideMark/>
          </w:tcPr>
          <w:p w14:paraId="4BCAA9D3" w14:textId="615832C3" w:rsidR="00A61D6F" w:rsidRPr="000977D1" w:rsidRDefault="00E157DD" w:rsidP="00A61D6F">
            <w:pPr>
              <w:pStyle w:val="Tablerowcolumnheading"/>
              <w:jc w:val="right"/>
              <w:rPr>
                <w:rFonts w:cs="Segoe UI"/>
                <w:sz w:val="16"/>
                <w:szCs w:val="16"/>
              </w:rPr>
            </w:pPr>
            <w:r w:rsidRPr="000977D1">
              <w:rPr>
                <w:rFonts w:cs="Segoe UI"/>
                <w:sz w:val="16"/>
                <w:szCs w:val="16"/>
              </w:rPr>
              <w:t>2014</w:t>
            </w:r>
            <w:r w:rsidR="00A61D6F" w:rsidRPr="000977D1">
              <w:rPr>
                <w:rFonts w:cs="Segoe UI"/>
                <w:sz w:val="16"/>
                <w:szCs w:val="16"/>
              </w:rPr>
              <w:t>–</w:t>
            </w:r>
            <w:r w:rsidRPr="000977D1">
              <w:rPr>
                <w:rFonts w:cs="Segoe UI"/>
                <w:sz w:val="16"/>
                <w:szCs w:val="16"/>
              </w:rPr>
              <w:t>15</w:t>
            </w:r>
          </w:p>
          <w:p w14:paraId="01F89A1C" w14:textId="38E1ED87" w:rsidR="00E157DD" w:rsidRPr="000977D1" w:rsidRDefault="00A61D6F" w:rsidP="00A61D6F">
            <w:pPr>
              <w:pStyle w:val="Tablerowcolumnheading"/>
              <w:jc w:val="right"/>
              <w:rPr>
                <w:rFonts w:cs="Segoe UI"/>
                <w:sz w:val="16"/>
                <w:szCs w:val="16"/>
              </w:rPr>
            </w:pPr>
            <w:r w:rsidRPr="000977D1">
              <w:rPr>
                <w:rFonts w:cs="Segoe UI"/>
                <w:sz w:val="16"/>
                <w:szCs w:val="16"/>
              </w:rPr>
              <w:t>$m</w:t>
            </w:r>
          </w:p>
        </w:tc>
        <w:tc>
          <w:tcPr>
            <w:tcW w:w="851" w:type="dxa"/>
            <w:shd w:val="clear" w:color="000000" w:fill="113652"/>
            <w:vAlign w:val="center"/>
            <w:hideMark/>
          </w:tcPr>
          <w:p w14:paraId="23C184F6" w14:textId="6644AC97" w:rsidR="00A61D6F" w:rsidRPr="000977D1" w:rsidRDefault="00E157DD" w:rsidP="00A61D6F">
            <w:pPr>
              <w:pStyle w:val="Tablerowcolumnheading"/>
              <w:jc w:val="right"/>
              <w:rPr>
                <w:rFonts w:cs="Segoe UI"/>
                <w:sz w:val="16"/>
                <w:szCs w:val="16"/>
              </w:rPr>
            </w:pPr>
            <w:r w:rsidRPr="000977D1">
              <w:rPr>
                <w:rFonts w:cs="Segoe UI"/>
                <w:sz w:val="16"/>
                <w:szCs w:val="16"/>
              </w:rPr>
              <w:t>2015</w:t>
            </w:r>
            <w:r w:rsidR="00A61D6F" w:rsidRPr="000977D1">
              <w:rPr>
                <w:rFonts w:cs="Segoe UI"/>
                <w:sz w:val="16"/>
                <w:szCs w:val="16"/>
              </w:rPr>
              <w:t>–</w:t>
            </w:r>
            <w:r w:rsidRPr="000977D1">
              <w:rPr>
                <w:rFonts w:cs="Segoe UI"/>
                <w:sz w:val="16"/>
                <w:szCs w:val="16"/>
              </w:rPr>
              <w:t>16</w:t>
            </w:r>
          </w:p>
          <w:p w14:paraId="393CCD9C" w14:textId="52169002" w:rsidR="00E157DD" w:rsidRPr="000977D1" w:rsidRDefault="00A61D6F" w:rsidP="00A61D6F">
            <w:pPr>
              <w:pStyle w:val="Tablerowcolumnheading"/>
              <w:jc w:val="right"/>
              <w:rPr>
                <w:rFonts w:cs="Segoe UI"/>
                <w:sz w:val="16"/>
                <w:szCs w:val="16"/>
              </w:rPr>
            </w:pPr>
            <w:r w:rsidRPr="000977D1">
              <w:rPr>
                <w:rFonts w:cs="Segoe UI"/>
                <w:sz w:val="16"/>
                <w:szCs w:val="16"/>
              </w:rPr>
              <w:t>$m</w:t>
            </w:r>
          </w:p>
        </w:tc>
        <w:tc>
          <w:tcPr>
            <w:tcW w:w="992" w:type="dxa"/>
            <w:shd w:val="clear" w:color="000000" w:fill="113652"/>
            <w:vAlign w:val="center"/>
            <w:hideMark/>
          </w:tcPr>
          <w:p w14:paraId="04BBAD8A" w14:textId="774D2798" w:rsidR="00A61D6F" w:rsidRPr="000977D1" w:rsidRDefault="00E157DD" w:rsidP="00A61D6F">
            <w:pPr>
              <w:pStyle w:val="Tablerowcolumnheading"/>
              <w:jc w:val="right"/>
              <w:rPr>
                <w:rFonts w:cs="Segoe UI"/>
                <w:sz w:val="16"/>
                <w:szCs w:val="16"/>
              </w:rPr>
            </w:pPr>
            <w:r w:rsidRPr="000977D1">
              <w:rPr>
                <w:rFonts w:cs="Segoe UI"/>
                <w:sz w:val="16"/>
                <w:szCs w:val="16"/>
              </w:rPr>
              <w:t>2016</w:t>
            </w:r>
            <w:r w:rsidR="00A61D6F" w:rsidRPr="000977D1">
              <w:rPr>
                <w:rFonts w:cs="Segoe UI"/>
                <w:sz w:val="16"/>
                <w:szCs w:val="16"/>
              </w:rPr>
              <w:t>–</w:t>
            </w:r>
            <w:r w:rsidRPr="000977D1">
              <w:rPr>
                <w:rFonts w:cs="Segoe UI"/>
                <w:sz w:val="16"/>
                <w:szCs w:val="16"/>
              </w:rPr>
              <w:t>17</w:t>
            </w:r>
          </w:p>
          <w:p w14:paraId="6CA89E4E" w14:textId="2EFD3152" w:rsidR="00E157DD" w:rsidRPr="000977D1" w:rsidRDefault="00A61D6F" w:rsidP="00A61D6F">
            <w:pPr>
              <w:pStyle w:val="Tablerowcolumnheading"/>
              <w:jc w:val="right"/>
              <w:rPr>
                <w:rFonts w:cs="Segoe UI"/>
                <w:sz w:val="16"/>
                <w:szCs w:val="16"/>
              </w:rPr>
            </w:pPr>
            <w:r w:rsidRPr="000977D1">
              <w:rPr>
                <w:rFonts w:cs="Segoe UI"/>
                <w:sz w:val="16"/>
                <w:szCs w:val="16"/>
              </w:rPr>
              <w:t>$m</w:t>
            </w:r>
          </w:p>
        </w:tc>
      </w:tr>
      <w:tr w:rsidR="00E157DD" w:rsidRPr="000977D1" w14:paraId="34C78077" w14:textId="77777777" w:rsidTr="00A161F3">
        <w:trPr>
          <w:cantSplit/>
        </w:trPr>
        <w:tc>
          <w:tcPr>
            <w:tcW w:w="1843" w:type="dxa"/>
            <w:shd w:val="clear" w:color="000000" w:fill="FFFFFF"/>
            <w:noWrap/>
            <w:vAlign w:val="bottom"/>
            <w:hideMark/>
          </w:tcPr>
          <w:p w14:paraId="576FF45B" w14:textId="77777777" w:rsidR="00E157DD" w:rsidRPr="000977D1" w:rsidRDefault="00E157DD" w:rsidP="00A61D6F">
            <w:pPr>
              <w:pStyle w:val="Tabletext"/>
              <w:rPr>
                <w:rFonts w:cs="Segoe UI"/>
                <w:sz w:val="16"/>
                <w:szCs w:val="16"/>
              </w:rPr>
            </w:pPr>
            <w:r w:rsidRPr="000977D1">
              <w:rPr>
                <w:rFonts w:cs="Segoe UI"/>
                <w:sz w:val="16"/>
                <w:szCs w:val="16"/>
              </w:rPr>
              <w:t>Manufacturing</w:t>
            </w:r>
          </w:p>
        </w:tc>
        <w:tc>
          <w:tcPr>
            <w:tcW w:w="987" w:type="dxa"/>
            <w:shd w:val="clear" w:color="000000" w:fill="FFFFFF"/>
            <w:noWrap/>
            <w:vAlign w:val="bottom"/>
            <w:hideMark/>
          </w:tcPr>
          <w:p w14:paraId="7CFE3739" w14:textId="77777777" w:rsidR="00E157DD" w:rsidRPr="000977D1" w:rsidRDefault="00E157DD" w:rsidP="00A61D6F">
            <w:pPr>
              <w:pStyle w:val="Tabletext"/>
              <w:jc w:val="right"/>
              <w:rPr>
                <w:rFonts w:cs="Segoe UI"/>
                <w:sz w:val="16"/>
                <w:szCs w:val="16"/>
              </w:rPr>
            </w:pPr>
            <w:r w:rsidRPr="000977D1">
              <w:rPr>
                <w:rFonts w:cs="Segoe UI"/>
                <w:sz w:val="16"/>
                <w:szCs w:val="16"/>
              </w:rPr>
              <w:t>0</w:t>
            </w:r>
          </w:p>
        </w:tc>
        <w:tc>
          <w:tcPr>
            <w:tcW w:w="992" w:type="dxa"/>
            <w:shd w:val="clear" w:color="000000" w:fill="FFFFFF"/>
            <w:noWrap/>
            <w:vAlign w:val="bottom"/>
            <w:hideMark/>
          </w:tcPr>
          <w:p w14:paraId="3F9982B0" w14:textId="77777777" w:rsidR="00E157DD" w:rsidRPr="000977D1" w:rsidRDefault="00E157DD" w:rsidP="00A61D6F">
            <w:pPr>
              <w:pStyle w:val="Tabletext"/>
              <w:jc w:val="right"/>
              <w:rPr>
                <w:rFonts w:cs="Segoe UI"/>
                <w:sz w:val="16"/>
                <w:szCs w:val="16"/>
              </w:rPr>
            </w:pPr>
            <w:r w:rsidRPr="000977D1">
              <w:rPr>
                <w:rFonts w:cs="Segoe UI"/>
                <w:sz w:val="16"/>
                <w:szCs w:val="16"/>
              </w:rPr>
              <w:t>-9</w:t>
            </w:r>
          </w:p>
        </w:tc>
        <w:tc>
          <w:tcPr>
            <w:tcW w:w="851" w:type="dxa"/>
            <w:shd w:val="clear" w:color="000000" w:fill="FFFFFF"/>
            <w:noWrap/>
            <w:vAlign w:val="bottom"/>
            <w:hideMark/>
          </w:tcPr>
          <w:p w14:paraId="7F3772E0" w14:textId="77777777" w:rsidR="00E157DD" w:rsidRPr="000977D1" w:rsidRDefault="00E157DD" w:rsidP="00A61D6F">
            <w:pPr>
              <w:pStyle w:val="Tabletext"/>
              <w:jc w:val="right"/>
              <w:rPr>
                <w:rFonts w:cs="Segoe UI"/>
                <w:sz w:val="16"/>
                <w:szCs w:val="16"/>
              </w:rPr>
            </w:pPr>
            <w:r w:rsidRPr="000977D1">
              <w:rPr>
                <w:rFonts w:cs="Segoe UI"/>
                <w:sz w:val="16"/>
                <w:szCs w:val="16"/>
              </w:rPr>
              <w:t>-9</w:t>
            </w:r>
          </w:p>
        </w:tc>
        <w:tc>
          <w:tcPr>
            <w:tcW w:w="850" w:type="dxa"/>
            <w:shd w:val="clear" w:color="000000" w:fill="FFFFFF"/>
            <w:noWrap/>
            <w:vAlign w:val="bottom"/>
            <w:hideMark/>
          </w:tcPr>
          <w:p w14:paraId="0D3EEC85" w14:textId="77777777" w:rsidR="00E157DD" w:rsidRPr="000977D1" w:rsidRDefault="00E157DD" w:rsidP="00A61D6F">
            <w:pPr>
              <w:pStyle w:val="Tabletext"/>
              <w:jc w:val="right"/>
              <w:rPr>
                <w:rFonts w:cs="Segoe UI"/>
                <w:sz w:val="16"/>
                <w:szCs w:val="16"/>
              </w:rPr>
            </w:pPr>
            <w:r w:rsidRPr="000977D1">
              <w:rPr>
                <w:rFonts w:cs="Segoe UI"/>
                <w:sz w:val="16"/>
                <w:szCs w:val="16"/>
              </w:rPr>
              <w:t>-9</w:t>
            </w:r>
          </w:p>
        </w:tc>
        <w:tc>
          <w:tcPr>
            <w:tcW w:w="851" w:type="dxa"/>
            <w:shd w:val="clear" w:color="000000" w:fill="FFFFFF"/>
            <w:noWrap/>
            <w:vAlign w:val="bottom"/>
            <w:hideMark/>
          </w:tcPr>
          <w:p w14:paraId="42046895" w14:textId="77777777" w:rsidR="00E157DD" w:rsidRPr="000977D1" w:rsidRDefault="00E157DD" w:rsidP="00A61D6F">
            <w:pPr>
              <w:pStyle w:val="Tabletext"/>
              <w:jc w:val="right"/>
              <w:rPr>
                <w:rFonts w:cs="Segoe UI"/>
                <w:sz w:val="16"/>
                <w:szCs w:val="16"/>
              </w:rPr>
            </w:pPr>
            <w:r w:rsidRPr="000977D1">
              <w:rPr>
                <w:rFonts w:cs="Segoe UI"/>
                <w:sz w:val="16"/>
                <w:szCs w:val="16"/>
              </w:rPr>
              <w:t>-7</w:t>
            </w:r>
          </w:p>
        </w:tc>
        <w:tc>
          <w:tcPr>
            <w:tcW w:w="992" w:type="dxa"/>
            <w:shd w:val="clear" w:color="000000" w:fill="FFFFFF"/>
            <w:noWrap/>
            <w:vAlign w:val="bottom"/>
            <w:hideMark/>
          </w:tcPr>
          <w:p w14:paraId="3E2CF3CC" w14:textId="77777777" w:rsidR="00E157DD" w:rsidRPr="000977D1" w:rsidRDefault="00E157DD" w:rsidP="00A61D6F">
            <w:pPr>
              <w:pStyle w:val="Tabletext"/>
              <w:jc w:val="right"/>
              <w:rPr>
                <w:rFonts w:cs="Segoe UI"/>
                <w:sz w:val="16"/>
                <w:szCs w:val="16"/>
              </w:rPr>
            </w:pPr>
            <w:r w:rsidRPr="000977D1">
              <w:rPr>
                <w:rFonts w:cs="Segoe UI"/>
                <w:sz w:val="16"/>
                <w:szCs w:val="16"/>
              </w:rPr>
              <w:t>-7</w:t>
            </w:r>
          </w:p>
        </w:tc>
        <w:tc>
          <w:tcPr>
            <w:tcW w:w="992" w:type="dxa"/>
            <w:shd w:val="clear" w:color="000000" w:fill="FFFFFF"/>
            <w:noWrap/>
            <w:vAlign w:val="bottom"/>
            <w:hideMark/>
          </w:tcPr>
          <w:p w14:paraId="5D91A084" w14:textId="77777777" w:rsidR="00E157DD" w:rsidRPr="000977D1" w:rsidRDefault="00E157DD" w:rsidP="00A61D6F">
            <w:pPr>
              <w:pStyle w:val="Tabletext"/>
              <w:jc w:val="right"/>
              <w:rPr>
                <w:rFonts w:cs="Segoe UI"/>
                <w:sz w:val="16"/>
                <w:szCs w:val="16"/>
              </w:rPr>
            </w:pPr>
            <w:r w:rsidRPr="000977D1">
              <w:rPr>
                <w:rFonts w:cs="Segoe UI"/>
                <w:sz w:val="16"/>
                <w:szCs w:val="16"/>
              </w:rPr>
              <w:t>-10</w:t>
            </w:r>
          </w:p>
        </w:tc>
        <w:tc>
          <w:tcPr>
            <w:tcW w:w="851" w:type="dxa"/>
            <w:shd w:val="clear" w:color="000000" w:fill="FFFFFF"/>
            <w:noWrap/>
            <w:vAlign w:val="bottom"/>
            <w:hideMark/>
          </w:tcPr>
          <w:p w14:paraId="36C7C5C4" w14:textId="77777777" w:rsidR="00E157DD" w:rsidRPr="000977D1" w:rsidRDefault="00E157DD" w:rsidP="00A61D6F">
            <w:pPr>
              <w:pStyle w:val="Tabletext"/>
              <w:jc w:val="right"/>
              <w:rPr>
                <w:rFonts w:cs="Segoe UI"/>
                <w:sz w:val="16"/>
                <w:szCs w:val="16"/>
              </w:rPr>
            </w:pPr>
            <w:r w:rsidRPr="000977D1">
              <w:rPr>
                <w:rFonts w:cs="Segoe UI"/>
                <w:sz w:val="16"/>
                <w:szCs w:val="16"/>
              </w:rPr>
              <w:t>13</w:t>
            </w:r>
          </w:p>
        </w:tc>
        <w:tc>
          <w:tcPr>
            <w:tcW w:w="992" w:type="dxa"/>
            <w:shd w:val="clear" w:color="000000" w:fill="FFFFFF"/>
            <w:noWrap/>
            <w:vAlign w:val="bottom"/>
            <w:hideMark/>
          </w:tcPr>
          <w:p w14:paraId="28FAB391" w14:textId="77777777" w:rsidR="00E157DD" w:rsidRPr="000977D1" w:rsidRDefault="00E157DD" w:rsidP="00A61D6F">
            <w:pPr>
              <w:pStyle w:val="Tabletext"/>
              <w:jc w:val="right"/>
              <w:rPr>
                <w:rFonts w:cs="Segoe UI"/>
                <w:sz w:val="16"/>
                <w:szCs w:val="16"/>
              </w:rPr>
            </w:pPr>
            <w:r w:rsidRPr="000977D1">
              <w:rPr>
                <w:rFonts w:cs="Segoe UI"/>
                <w:sz w:val="16"/>
                <w:szCs w:val="16"/>
              </w:rPr>
              <w:t>42</w:t>
            </w:r>
          </w:p>
        </w:tc>
      </w:tr>
      <w:tr w:rsidR="00E157DD" w:rsidRPr="000977D1" w14:paraId="3FC93E19" w14:textId="77777777" w:rsidTr="00A161F3">
        <w:trPr>
          <w:cantSplit/>
        </w:trPr>
        <w:tc>
          <w:tcPr>
            <w:tcW w:w="1843" w:type="dxa"/>
            <w:shd w:val="clear" w:color="000000" w:fill="FFFFFF"/>
            <w:noWrap/>
            <w:vAlign w:val="bottom"/>
            <w:hideMark/>
          </w:tcPr>
          <w:p w14:paraId="6498374F" w14:textId="77777777" w:rsidR="00E157DD" w:rsidRPr="000977D1" w:rsidRDefault="00E157DD" w:rsidP="00A61D6F">
            <w:pPr>
              <w:pStyle w:val="Tabletext"/>
              <w:rPr>
                <w:rFonts w:cs="Segoe UI"/>
                <w:sz w:val="16"/>
                <w:szCs w:val="16"/>
              </w:rPr>
            </w:pPr>
            <w:r w:rsidRPr="000977D1">
              <w:rPr>
                <w:rFonts w:cs="Segoe UI"/>
                <w:sz w:val="16"/>
                <w:szCs w:val="16"/>
              </w:rPr>
              <w:t>Wholesale Trade</w:t>
            </w:r>
          </w:p>
        </w:tc>
        <w:tc>
          <w:tcPr>
            <w:tcW w:w="987" w:type="dxa"/>
            <w:shd w:val="clear" w:color="000000" w:fill="FFFFFF"/>
            <w:noWrap/>
            <w:vAlign w:val="bottom"/>
            <w:hideMark/>
          </w:tcPr>
          <w:p w14:paraId="3E8EC8FC" w14:textId="77777777" w:rsidR="00E157DD" w:rsidRPr="000977D1" w:rsidRDefault="00E157DD" w:rsidP="00A61D6F">
            <w:pPr>
              <w:pStyle w:val="Tabletext"/>
              <w:jc w:val="right"/>
              <w:rPr>
                <w:rFonts w:cs="Segoe UI"/>
                <w:sz w:val="16"/>
                <w:szCs w:val="16"/>
              </w:rPr>
            </w:pPr>
            <w:r w:rsidRPr="000977D1">
              <w:rPr>
                <w:rFonts w:cs="Segoe UI"/>
                <w:sz w:val="16"/>
                <w:szCs w:val="16"/>
              </w:rPr>
              <w:t>0</w:t>
            </w:r>
          </w:p>
        </w:tc>
        <w:tc>
          <w:tcPr>
            <w:tcW w:w="992" w:type="dxa"/>
            <w:shd w:val="clear" w:color="000000" w:fill="FFFFFF"/>
            <w:noWrap/>
            <w:vAlign w:val="bottom"/>
            <w:hideMark/>
          </w:tcPr>
          <w:p w14:paraId="06C14BFC" w14:textId="77777777" w:rsidR="00E157DD" w:rsidRPr="000977D1" w:rsidRDefault="00E157DD" w:rsidP="00A61D6F">
            <w:pPr>
              <w:pStyle w:val="Tabletext"/>
              <w:jc w:val="right"/>
              <w:rPr>
                <w:rFonts w:cs="Segoe UI"/>
                <w:sz w:val="16"/>
                <w:szCs w:val="16"/>
              </w:rPr>
            </w:pPr>
            <w:r w:rsidRPr="000977D1">
              <w:rPr>
                <w:rFonts w:cs="Segoe UI"/>
                <w:sz w:val="16"/>
                <w:szCs w:val="16"/>
              </w:rPr>
              <w:t>-6</w:t>
            </w:r>
          </w:p>
        </w:tc>
        <w:tc>
          <w:tcPr>
            <w:tcW w:w="851" w:type="dxa"/>
            <w:shd w:val="clear" w:color="000000" w:fill="FFFFFF"/>
            <w:noWrap/>
            <w:vAlign w:val="bottom"/>
            <w:hideMark/>
          </w:tcPr>
          <w:p w14:paraId="408CAD42" w14:textId="77777777" w:rsidR="00E157DD" w:rsidRPr="000977D1" w:rsidRDefault="00E157DD" w:rsidP="00A61D6F">
            <w:pPr>
              <w:pStyle w:val="Tabletext"/>
              <w:jc w:val="right"/>
              <w:rPr>
                <w:rFonts w:cs="Segoe UI"/>
                <w:sz w:val="16"/>
                <w:szCs w:val="16"/>
              </w:rPr>
            </w:pPr>
            <w:r w:rsidRPr="000977D1">
              <w:rPr>
                <w:rFonts w:cs="Segoe UI"/>
                <w:sz w:val="16"/>
                <w:szCs w:val="16"/>
              </w:rPr>
              <w:t>-6</w:t>
            </w:r>
          </w:p>
        </w:tc>
        <w:tc>
          <w:tcPr>
            <w:tcW w:w="850" w:type="dxa"/>
            <w:shd w:val="clear" w:color="000000" w:fill="FFFFFF"/>
            <w:noWrap/>
            <w:vAlign w:val="bottom"/>
            <w:hideMark/>
          </w:tcPr>
          <w:p w14:paraId="6FDF84FB" w14:textId="77777777" w:rsidR="00E157DD" w:rsidRPr="000977D1" w:rsidRDefault="00E157DD" w:rsidP="00A61D6F">
            <w:pPr>
              <w:pStyle w:val="Tabletext"/>
              <w:jc w:val="right"/>
              <w:rPr>
                <w:rFonts w:cs="Segoe UI"/>
                <w:sz w:val="16"/>
                <w:szCs w:val="16"/>
              </w:rPr>
            </w:pPr>
            <w:r w:rsidRPr="000977D1">
              <w:rPr>
                <w:rFonts w:cs="Segoe UI"/>
                <w:sz w:val="16"/>
                <w:szCs w:val="16"/>
              </w:rPr>
              <w:t>-6</w:t>
            </w:r>
          </w:p>
        </w:tc>
        <w:tc>
          <w:tcPr>
            <w:tcW w:w="851" w:type="dxa"/>
            <w:shd w:val="clear" w:color="000000" w:fill="FFFFFF"/>
            <w:noWrap/>
            <w:vAlign w:val="bottom"/>
            <w:hideMark/>
          </w:tcPr>
          <w:p w14:paraId="6CFD8060" w14:textId="77777777" w:rsidR="00E157DD" w:rsidRPr="000977D1" w:rsidRDefault="00E157DD" w:rsidP="00A61D6F">
            <w:pPr>
              <w:pStyle w:val="Tabletext"/>
              <w:jc w:val="right"/>
              <w:rPr>
                <w:rFonts w:cs="Segoe UI"/>
                <w:sz w:val="16"/>
                <w:szCs w:val="16"/>
              </w:rPr>
            </w:pPr>
            <w:r w:rsidRPr="000977D1">
              <w:rPr>
                <w:rFonts w:cs="Segoe UI"/>
                <w:sz w:val="16"/>
                <w:szCs w:val="16"/>
              </w:rPr>
              <w:t>-7</w:t>
            </w:r>
          </w:p>
        </w:tc>
        <w:tc>
          <w:tcPr>
            <w:tcW w:w="992" w:type="dxa"/>
            <w:shd w:val="clear" w:color="000000" w:fill="FFFFFF"/>
            <w:noWrap/>
            <w:vAlign w:val="bottom"/>
            <w:hideMark/>
          </w:tcPr>
          <w:p w14:paraId="5432D1FE" w14:textId="77777777" w:rsidR="00E157DD" w:rsidRPr="000977D1" w:rsidRDefault="00E157DD" w:rsidP="00A61D6F">
            <w:pPr>
              <w:pStyle w:val="Tabletext"/>
              <w:jc w:val="right"/>
              <w:rPr>
                <w:rFonts w:cs="Segoe UI"/>
                <w:sz w:val="16"/>
                <w:szCs w:val="16"/>
              </w:rPr>
            </w:pPr>
            <w:r w:rsidRPr="000977D1">
              <w:rPr>
                <w:rFonts w:cs="Segoe UI"/>
                <w:sz w:val="16"/>
                <w:szCs w:val="16"/>
              </w:rPr>
              <w:t>-7</w:t>
            </w:r>
          </w:p>
        </w:tc>
        <w:tc>
          <w:tcPr>
            <w:tcW w:w="992" w:type="dxa"/>
            <w:shd w:val="clear" w:color="000000" w:fill="FFFFFF"/>
            <w:noWrap/>
            <w:vAlign w:val="bottom"/>
            <w:hideMark/>
          </w:tcPr>
          <w:p w14:paraId="3CAEE580" w14:textId="77777777" w:rsidR="00E157DD" w:rsidRPr="000977D1" w:rsidRDefault="00E157DD" w:rsidP="00A61D6F">
            <w:pPr>
              <w:pStyle w:val="Tabletext"/>
              <w:jc w:val="right"/>
              <w:rPr>
                <w:rFonts w:cs="Segoe UI"/>
                <w:sz w:val="16"/>
                <w:szCs w:val="16"/>
              </w:rPr>
            </w:pPr>
            <w:r w:rsidRPr="000977D1">
              <w:rPr>
                <w:rFonts w:cs="Segoe UI"/>
                <w:sz w:val="16"/>
                <w:szCs w:val="16"/>
              </w:rPr>
              <w:t>-11</w:t>
            </w:r>
          </w:p>
        </w:tc>
        <w:tc>
          <w:tcPr>
            <w:tcW w:w="851" w:type="dxa"/>
            <w:shd w:val="clear" w:color="000000" w:fill="FFFFFF"/>
            <w:noWrap/>
            <w:vAlign w:val="bottom"/>
            <w:hideMark/>
          </w:tcPr>
          <w:p w14:paraId="1CA72C61" w14:textId="77777777" w:rsidR="00E157DD" w:rsidRPr="000977D1" w:rsidRDefault="00E157DD" w:rsidP="00A61D6F">
            <w:pPr>
              <w:pStyle w:val="Tabletext"/>
              <w:jc w:val="right"/>
              <w:rPr>
                <w:rFonts w:cs="Segoe UI"/>
                <w:sz w:val="16"/>
                <w:szCs w:val="16"/>
              </w:rPr>
            </w:pPr>
            <w:r w:rsidRPr="000977D1">
              <w:rPr>
                <w:rFonts w:cs="Segoe UI"/>
                <w:sz w:val="16"/>
                <w:szCs w:val="16"/>
              </w:rPr>
              <w:t>-25</w:t>
            </w:r>
          </w:p>
        </w:tc>
        <w:tc>
          <w:tcPr>
            <w:tcW w:w="992" w:type="dxa"/>
            <w:shd w:val="clear" w:color="000000" w:fill="FFFFFF"/>
            <w:noWrap/>
            <w:vAlign w:val="bottom"/>
            <w:hideMark/>
          </w:tcPr>
          <w:p w14:paraId="545E46A6" w14:textId="77777777" w:rsidR="00E157DD" w:rsidRPr="000977D1" w:rsidRDefault="00E157DD" w:rsidP="00A61D6F">
            <w:pPr>
              <w:pStyle w:val="Tabletext"/>
              <w:jc w:val="right"/>
              <w:rPr>
                <w:rFonts w:cs="Segoe UI"/>
                <w:sz w:val="16"/>
                <w:szCs w:val="16"/>
              </w:rPr>
            </w:pPr>
            <w:r w:rsidRPr="000977D1">
              <w:rPr>
                <w:rFonts w:cs="Segoe UI"/>
                <w:sz w:val="16"/>
                <w:szCs w:val="16"/>
              </w:rPr>
              <w:t>123</w:t>
            </w:r>
          </w:p>
        </w:tc>
      </w:tr>
      <w:tr w:rsidR="00E157DD" w:rsidRPr="000977D1" w14:paraId="045761A9" w14:textId="77777777" w:rsidTr="00A161F3">
        <w:trPr>
          <w:cantSplit/>
        </w:trPr>
        <w:tc>
          <w:tcPr>
            <w:tcW w:w="1843" w:type="dxa"/>
            <w:shd w:val="clear" w:color="000000" w:fill="FFFFFF"/>
            <w:noWrap/>
            <w:vAlign w:val="bottom"/>
            <w:hideMark/>
          </w:tcPr>
          <w:p w14:paraId="26601F39" w14:textId="77777777" w:rsidR="00E157DD" w:rsidRPr="000977D1" w:rsidRDefault="00E157DD" w:rsidP="00A61D6F">
            <w:pPr>
              <w:pStyle w:val="Tabletext"/>
              <w:rPr>
                <w:rFonts w:cs="Segoe UI"/>
                <w:sz w:val="16"/>
                <w:szCs w:val="16"/>
              </w:rPr>
            </w:pPr>
            <w:r w:rsidRPr="000977D1">
              <w:rPr>
                <w:rFonts w:cs="Segoe UI"/>
                <w:sz w:val="16"/>
                <w:szCs w:val="16"/>
              </w:rPr>
              <w:t>Retail Trade</w:t>
            </w:r>
          </w:p>
        </w:tc>
        <w:tc>
          <w:tcPr>
            <w:tcW w:w="987" w:type="dxa"/>
            <w:shd w:val="clear" w:color="000000" w:fill="FFFFFF"/>
            <w:noWrap/>
            <w:vAlign w:val="bottom"/>
            <w:hideMark/>
          </w:tcPr>
          <w:p w14:paraId="509A94E3" w14:textId="77777777" w:rsidR="00E157DD" w:rsidRPr="000977D1" w:rsidRDefault="00E157DD" w:rsidP="00A61D6F">
            <w:pPr>
              <w:pStyle w:val="Tabletext"/>
              <w:jc w:val="right"/>
              <w:rPr>
                <w:rFonts w:cs="Segoe UI"/>
                <w:sz w:val="16"/>
                <w:szCs w:val="16"/>
              </w:rPr>
            </w:pPr>
            <w:r w:rsidRPr="000977D1">
              <w:rPr>
                <w:rFonts w:cs="Segoe UI"/>
                <w:sz w:val="16"/>
                <w:szCs w:val="16"/>
              </w:rPr>
              <w:t>0</w:t>
            </w:r>
          </w:p>
        </w:tc>
        <w:tc>
          <w:tcPr>
            <w:tcW w:w="992" w:type="dxa"/>
            <w:shd w:val="clear" w:color="000000" w:fill="FFFFFF"/>
            <w:noWrap/>
            <w:vAlign w:val="bottom"/>
            <w:hideMark/>
          </w:tcPr>
          <w:p w14:paraId="554EB7BB" w14:textId="77777777" w:rsidR="00E157DD" w:rsidRPr="000977D1" w:rsidRDefault="00E157DD" w:rsidP="00A61D6F">
            <w:pPr>
              <w:pStyle w:val="Tabletext"/>
              <w:jc w:val="right"/>
              <w:rPr>
                <w:rFonts w:cs="Segoe UI"/>
                <w:sz w:val="16"/>
                <w:szCs w:val="16"/>
              </w:rPr>
            </w:pPr>
            <w:r w:rsidRPr="000977D1">
              <w:rPr>
                <w:rFonts w:cs="Segoe UI"/>
                <w:sz w:val="16"/>
                <w:szCs w:val="16"/>
              </w:rPr>
              <w:t>-16</w:t>
            </w:r>
          </w:p>
        </w:tc>
        <w:tc>
          <w:tcPr>
            <w:tcW w:w="851" w:type="dxa"/>
            <w:shd w:val="clear" w:color="000000" w:fill="FFFFFF"/>
            <w:noWrap/>
            <w:vAlign w:val="bottom"/>
            <w:hideMark/>
          </w:tcPr>
          <w:p w14:paraId="47EB7705" w14:textId="77777777" w:rsidR="00E157DD" w:rsidRPr="000977D1" w:rsidRDefault="00E157DD" w:rsidP="00A61D6F">
            <w:pPr>
              <w:pStyle w:val="Tabletext"/>
              <w:jc w:val="right"/>
              <w:rPr>
                <w:rFonts w:cs="Segoe UI"/>
                <w:sz w:val="16"/>
                <w:szCs w:val="16"/>
              </w:rPr>
            </w:pPr>
            <w:r w:rsidRPr="000977D1">
              <w:rPr>
                <w:rFonts w:cs="Segoe UI"/>
                <w:sz w:val="16"/>
                <w:szCs w:val="16"/>
              </w:rPr>
              <w:t>-17</w:t>
            </w:r>
          </w:p>
        </w:tc>
        <w:tc>
          <w:tcPr>
            <w:tcW w:w="850" w:type="dxa"/>
            <w:shd w:val="clear" w:color="000000" w:fill="FFFFFF"/>
            <w:noWrap/>
            <w:vAlign w:val="bottom"/>
            <w:hideMark/>
          </w:tcPr>
          <w:p w14:paraId="2F41DED9" w14:textId="77777777" w:rsidR="00E157DD" w:rsidRPr="000977D1" w:rsidRDefault="00E157DD" w:rsidP="00A61D6F">
            <w:pPr>
              <w:pStyle w:val="Tabletext"/>
              <w:jc w:val="right"/>
              <w:rPr>
                <w:rFonts w:cs="Segoe UI"/>
                <w:sz w:val="16"/>
                <w:szCs w:val="16"/>
              </w:rPr>
            </w:pPr>
            <w:r w:rsidRPr="000977D1">
              <w:rPr>
                <w:rFonts w:cs="Segoe UI"/>
                <w:sz w:val="16"/>
                <w:szCs w:val="16"/>
              </w:rPr>
              <w:t>-18</w:t>
            </w:r>
          </w:p>
        </w:tc>
        <w:tc>
          <w:tcPr>
            <w:tcW w:w="851" w:type="dxa"/>
            <w:shd w:val="clear" w:color="000000" w:fill="FFFFFF"/>
            <w:noWrap/>
            <w:vAlign w:val="bottom"/>
            <w:hideMark/>
          </w:tcPr>
          <w:p w14:paraId="0D0EF11E" w14:textId="77777777" w:rsidR="00E157DD" w:rsidRPr="000977D1" w:rsidRDefault="00E157DD" w:rsidP="00A61D6F">
            <w:pPr>
              <w:pStyle w:val="Tabletext"/>
              <w:jc w:val="right"/>
              <w:rPr>
                <w:rFonts w:cs="Segoe UI"/>
                <w:sz w:val="16"/>
                <w:szCs w:val="16"/>
              </w:rPr>
            </w:pPr>
            <w:r w:rsidRPr="000977D1">
              <w:rPr>
                <w:rFonts w:cs="Segoe UI"/>
                <w:sz w:val="16"/>
                <w:szCs w:val="16"/>
              </w:rPr>
              <w:t>-18</w:t>
            </w:r>
          </w:p>
        </w:tc>
        <w:tc>
          <w:tcPr>
            <w:tcW w:w="992" w:type="dxa"/>
            <w:shd w:val="clear" w:color="000000" w:fill="FFFFFF"/>
            <w:noWrap/>
            <w:vAlign w:val="bottom"/>
            <w:hideMark/>
          </w:tcPr>
          <w:p w14:paraId="1144CDEA" w14:textId="77777777" w:rsidR="00E157DD" w:rsidRPr="000977D1" w:rsidRDefault="00E157DD" w:rsidP="00A61D6F">
            <w:pPr>
              <w:pStyle w:val="Tabletext"/>
              <w:jc w:val="right"/>
              <w:rPr>
                <w:rFonts w:cs="Segoe UI"/>
                <w:sz w:val="16"/>
                <w:szCs w:val="16"/>
              </w:rPr>
            </w:pPr>
            <w:r w:rsidRPr="000977D1">
              <w:rPr>
                <w:rFonts w:cs="Segoe UI"/>
                <w:sz w:val="16"/>
                <w:szCs w:val="16"/>
              </w:rPr>
              <w:t>-19</w:t>
            </w:r>
          </w:p>
        </w:tc>
        <w:tc>
          <w:tcPr>
            <w:tcW w:w="992" w:type="dxa"/>
            <w:shd w:val="clear" w:color="000000" w:fill="FFFFFF"/>
            <w:noWrap/>
            <w:vAlign w:val="bottom"/>
            <w:hideMark/>
          </w:tcPr>
          <w:p w14:paraId="179C3E76" w14:textId="77777777" w:rsidR="00E157DD" w:rsidRPr="000977D1" w:rsidRDefault="00E157DD" w:rsidP="00A61D6F">
            <w:pPr>
              <w:pStyle w:val="Tabletext"/>
              <w:jc w:val="right"/>
              <w:rPr>
                <w:rFonts w:cs="Segoe UI"/>
                <w:sz w:val="16"/>
                <w:szCs w:val="16"/>
              </w:rPr>
            </w:pPr>
            <w:r w:rsidRPr="000977D1">
              <w:rPr>
                <w:rFonts w:cs="Segoe UI"/>
                <w:sz w:val="16"/>
                <w:szCs w:val="16"/>
              </w:rPr>
              <w:t>-39</w:t>
            </w:r>
          </w:p>
        </w:tc>
        <w:tc>
          <w:tcPr>
            <w:tcW w:w="851" w:type="dxa"/>
            <w:shd w:val="clear" w:color="000000" w:fill="FFFFFF"/>
            <w:noWrap/>
            <w:vAlign w:val="bottom"/>
            <w:hideMark/>
          </w:tcPr>
          <w:p w14:paraId="6014EE09" w14:textId="77777777" w:rsidR="00E157DD" w:rsidRPr="000977D1" w:rsidRDefault="00E157DD" w:rsidP="00A61D6F">
            <w:pPr>
              <w:pStyle w:val="Tabletext"/>
              <w:jc w:val="right"/>
              <w:rPr>
                <w:rFonts w:cs="Segoe UI"/>
                <w:sz w:val="16"/>
                <w:szCs w:val="16"/>
              </w:rPr>
            </w:pPr>
            <w:r w:rsidRPr="000977D1">
              <w:rPr>
                <w:rFonts w:cs="Segoe UI"/>
                <w:sz w:val="16"/>
                <w:szCs w:val="16"/>
              </w:rPr>
              <w:t>-183</w:t>
            </w:r>
          </w:p>
        </w:tc>
        <w:tc>
          <w:tcPr>
            <w:tcW w:w="992" w:type="dxa"/>
            <w:shd w:val="clear" w:color="000000" w:fill="FFFFFF"/>
            <w:noWrap/>
            <w:vAlign w:val="bottom"/>
            <w:hideMark/>
          </w:tcPr>
          <w:p w14:paraId="1DFCBFD0" w14:textId="77777777" w:rsidR="00E157DD" w:rsidRPr="000977D1" w:rsidRDefault="00E157DD" w:rsidP="00A61D6F">
            <w:pPr>
              <w:pStyle w:val="Tabletext"/>
              <w:jc w:val="right"/>
              <w:rPr>
                <w:rFonts w:cs="Segoe UI"/>
                <w:sz w:val="16"/>
                <w:szCs w:val="16"/>
              </w:rPr>
            </w:pPr>
            <w:r w:rsidRPr="000977D1">
              <w:rPr>
                <w:rFonts w:cs="Segoe UI"/>
                <w:sz w:val="16"/>
                <w:szCs w:val="16"/>
              </w:rPr>
              <w:t>-176</w:t>
            </w:r>
          </w:p>
        </w:tc>
      </w:tr>
      <w:tr w:rsidR="00E157DD" w:rsidRPr="000977D1" w14:paraId="79B09C9E" w14:textId="77777777" w:rsidTr="00A161F3">
        <w:trPr>
          <w:cantSplit/>
        </w:trPr>
        <w:tc>
          <w:tcPr>
            <w:tcW w:w="1843" w:type="dxa"/>
            <w:shd w:val="clear" w:color="000000" w:fill="FFFFFF"/>
            <w:noWrap/>
            <w:vAlign w:val="bottom"/>
            <w:hideMark/>
          </w:tcPr>
          <w:p w14:paraId="274A54BB" w14:textId="77777777" w:rsidR="00E157DD" w:rsidRPr="000977D1" w:rsidRDefault="00E157DD" w:rsidP="00A61D6F">
            <w:pPr>
              <w:pStyle w:val="Tabletext"/>
              <w:rPr>
                <w:rFonts w:cs="Segoe UI"/>
                <w:sz w:val="16"/>
                <w:szCs w:val="16"/>
              </w:rPr>
            </w:pPr>
            <w:r w:rsidRPr="000977D1">
              <w:rPr>
                <w:rFonts w:cs="Segoe UI"/>
                <w:sz w:val="16"/>
                <w:szCs w:val="16"/>
              </w:rPr>
              <w:t>Information Media and Telecommunications</w:t>
            </w:r>
          </w:p>
        </w:tc>
        <w:tc>
          <w:tcPr>
            <w:tcW w:w="987" w:type="dxa"/>
            <w:shd w:val="clear" w:color="000000" w:fill="FFFFFF"/>
            <w:noWrap/>
            <w:vAlign w:val="bottom"/>
            <w:hideMark/>
          </w:tcPr>
          <w:p w14:paraId="69A15695" w14:textId="77777777" w:rsidR="00E157DD" w:rsidRPr="000977D1" w:rsidRDefault="00E157DD" w:rsidP="00A61D6F">
            <w:pPr>
              <w:pStyle w:val="Tabletext"/>
              <w:jc w:val="right"/>
              <w:rPr>
                <w:rFonts w:cs="Segoe UI"/>
                <w:sz w:val="16"/>
                <w:szCs w:val="16"/>
              </w:rPr>
            </w:pPr>
            <w:r w:rsidRPr="000977D1">
              <w:rPr>
                <w:rFonts w:cs="Segoe UI"/>
                <w:sz w:val="16"/>
                <w:szCs w:val="16"/>
              </w:rPr>
              <w:t>0</w:t>
            </w:r>
          </w:p>
        </w:tc>
        <w:tc>
          <w:tcPr>
            <w:tcW w:w="992" w:type="dxa"/>
            <w:shd w:val="clear" w:color="000000" w:fill="FFFFFF"/>
            <w:noWrap/>
            <w:vAlign w:val="bottom"/>
            <w:hideMark/>
          </w:tcPr>
          <w:p w14:paraId="6D838B5C" w14:textId="77777777" w:rsidR="00E157DD" w:rsidRPr="000977D1" w:rsidRDefault="00E157DD" w:rsidP="00A61D6F">
            <w:pPr>
              <w:pStyle w:val="Tabletext"/>
              <w:jc w:val="right"/>
              <w:rPr>
                <w:rFonts w:cs="Segoe UI"/>
                <w:sz w:val="16"/>
                <w:szCs w:val="16"/>
              </w:rPr>
            </w:pPr>
            <w:r w:rsidRPr="000977D1">
              <w:rPr>
                <w:rFonts w:cs="Segoe UI"/>
                <w:sz w:val="16"/>
                <w:szCs w:val="16"/>
              </w:rPr>
              <w:t>-25</w:t>
            </w:r>
          </w:p>
        </w:tc>
        <w:tc>
          <w:tcPr>
            <w:tcW w:w="851" w:type="dxa"/>
            <w:shd w:val="clear" w:color="000000" w:fill="FFFFFF"/>
            <w:noWrap/>
            <w:vAlign w:val="bottom"/>
            <w:hideMark/>
          </w:tcPr>
          <w:p w14:paraId="6A864493" w14:textId="77777777" w:rsidR="00E157DD" w:rsidRPr="000977D1" w:rsidRDefault="00E157DD" w:rsidP="00A61D6F">
            <w:pPr>
              <w:pStyle w:val="Tabletext"/>
              <w:jc w:val="right"/>
              <w:rPr>
                <w:rFonts w:cs="Segoe UI"/>
                <w:sz w:val="16"/>
                <w:szCs w:val="16"/>
              </w:rPr>
            </w:pPr>
            <w:r w:rsidRPr="000977D1">
              <w:rPr>
                <w:rFonts w:cs="Segoe UI"/>
                <w:sz w:val="16"/>
                <w:szCs w:val="16"/>
              </w:rPr>
              <w:t>-25</w:t>
            </w:r>
          </w:p>
        </w:tc>
        <w:tc>
          <w:tcPr>
            <w:tcW w:w="850" w:type="dxa"/>
            <w:shd w:val="clear" w:color="000000" w:fill="FFFFFF"/>
            <w:noWrap/>
            <w:vAlign w:val="bottom"/>
            <w:hideMark/>
          </w:tcPr>
          <w:p w14:paraId="3C01BADB" w14:textId="77777777" w:rsidR="00E157DD" w:rsidRPr="000977D1" w:rsidRDefault="00E157DD" w:rsidP="00A61D6F">
            <w:pPr>
              <w:pStyle w:val="Tabletext"/>
              <w:jc w:val="right"/>
              <w:rPr>
                <w:rFonts w:cs="Segoe UI"/>
                <w:sz w:val="16"/>
                <w:szCs w:val="16"/>
              </w:rPr>
            </w:pPr>
            <w:r w:rsidRPr="000977D1">
              <w:rPr>
                <w:rFonts w:cs="Segoe UI"/>
                <w:sz w:val="16"/>
                <w:szCs w:val="16"/>
              </w:rPr>
              <w:t>-26</w:t>
            </w:r>
          </w:p>
        </w:tc>
        <w:tc>
          <w:tcPr>
            <w:tcW w:w="851" w:type="dxa"/>
            <w:shd w:val="clear" w:color="000000" w:fill="FFFFFF"/>
            <w:noWrap/>
            <w:vAlign w:val="bottom"/>
            <w:hideMark/>
          </w:tcPr>
          <w:p w14:paraId="296A3C47" w14:textId="77777777" w:rsidR="00E157DD" w:rsidRPr="000977D1" w:rsidRDefault="00E157DD" w:rsidP="00A61D6F">
            <w:pPr>
              <w:pStyle w:val="Tabletext"/>
              <w:jc w:val="right"/>
              <w:rPr>
                <w:rFonts w:cs="Segoe UI"/>
                <w:sz w:val="16"/>
                <w:szCs w:val="16"/>
              </w:rPr>
            </w:pPr>
            <w:r w:rsidRPr="000977D1">
              <w:rPr>
                <w:rFonts w:cs="Segoe UI"/>
                <w:sz w:val="16"/>
                <w:szCs w:val="16"/>
              </w:rPr>
              <w:t>-25</w:t>
            </w:r>
          </w:p>
        </w:tc>
        <w:tc>
          <w:tcPr>
            <w:tcW w:w="992" w:type="dxa"/>
            <w:shd w:val="clear" w:color="000000" w:fill="FFFFFF"/>
            <w:noWrap/>
            <w:vAlign w:val="bottom"/>
            <w:hideMark/>
          </w:tcPr>
          <w:p w14:paraId="6B9725AA" w14:textId="77777777" w:rsidR="00E157DD" w:rsidRPr="000977D1" w:rsidRDefault="00E157DD" w:rsidP="00A61D6F">
            <w:pPr>
              <w:pStyle w:val="Tabletext"/>
              <w:jc w:val="right"/>
              <w:rPr>
                <w:rFonts w:cs="Segoe UI"/>
                <w:sz w:val="16"/>
                <w:szCs w:val="16"/>
              </w:rPr>
            </w:pPr>
            <w:r w:rsidRPr="000977D1">
              <w:rPr>
                <w:rFonts w:cs="Segoe UI"/>
                <w:sz w:val="16"/>
                <w:szCs w:val="16"/>
              </w:rPr>
              <w:t>-24</w:t>
            </w:r>
          </w:p>
        </w:tc>
        <w:tc>
          <w:tcPr>
            <w:tcW w:w="992" w:type="dxa"/>
            <w:shd w:val="clear" w:color="000000" w:fill="FFFFFF"/>
            <w:noWrap/>
            <w:vAlign w:val="bottom"/>
            <w:hideMark/>
          </w:tcPr>
          <w:p w14:paraId="208CDB9A" w14:textId="77777777" w:rsidR="00E157DD" w:rsidRPr="000977D1" w:rsidRDefault="00E157DD" w:rsidP="00A61D6F">
            <w:pPr>
              <w:pStyle w:val="Tabletext"/>
              <w:jc w:val="right"/>
              <w:rPr>
                <w:rFonts w:cs="Segoe UI"/>
                <w:sz w:val="16"/>
                <w:szCs w:val="16"/>
              </w:rPr>
            </w:pPr>
            <w:r w:rsidRPr="000977D1">
              <w:rPr>
                <w:rFonts w:cs="Segoe UI"/>
                <w:sz w:val="16"/>
                <w:szCs w:val="16"/>
              </w:rPr>
              <w:t>-56</w:t>
            </w:r>
          </w:p>
        </w:tc>
        <w:tc>
          <w:tcPr>
            <w:tcW w:w="851" w:type="dxa"/>
            <w:shd w:val="clear" w:color="000000" w:fill="FFFFFF"/>
            <w:noWrap/>
            <w:vAlign w:val="bottom"/>
            <w:hideMark/>
          </w:tcPr>
          <w:p w14:paraId="56D16BB3" w14:textId="77777777" w:rsidR="00E157DD" w:rsidRPr="000977D1" w:rsidRDefault="00E157DD" w:rsidP="00A61D6F">
            <w:pPr>
              <w:pStyle w:val="Tabletext"/>
              <w:jc w:val="right"/>
              <w:rPr>
                <w:rFonts w:cs="Segoe UI"/>
                <w:sz w:val="16"/>
                <w:szCs w:val="16"/>
              </w:rPr>
            </w:pPr>
            <w:r w:rsidRPr="000977D1">
              <w:rPr>
                <w:rFonts w:cs="Segoe UI"/>
                <w:sz w:val="16"/>
                <w:szCs w:val="16"/>
              </w:rPr>
              <w:t>-81</w:t>
            </w:r>
          </w:p>
        </w:tc>
        <w:tc>
          <w:tcPr>
            <w:tcW w:w="992" w:type="dxa"/>
            <w:shd w:val="clear" w:color="000000" w:fill="FFFFFF"/>
            <w:noWrap/>
            <w:vAlign w:val="bottom"/>
            <w:hideMark/>
          </w:tcPr>
          <w:p w14:paraId="3B1D9A2E" w14:textId="77777777" w:rsidR="00E157DD" w:rsidRPr="000977D1" w:rsidRDefault="00E157DD" w:rsidP="00A61D6F">
            <w:pPr>
              <w:pStyle w:val="Tabletext"/>
              <w:jc w:val="right"/>
              <w:rPr>
                <w:rFonts w:cs="Segoe UI"/>
                <w:sz w:val="16"/>
                <w:szCs w:val="16"/>
              </w:rPr>
            </w:pPr>
            <w:r w:rsidRPr="000977D1">
              <w:rPr>
                <w:rFonts w:cs="Segoe UI"/>
                <w:sz w:val="16"/>
                <w:szCs w:val="16"/>
              </w:rPr>
              <w:t>-16</w:t>
            </w:r>
          </w:p>
        </w:tc>
      </w:tr>
      <w:tr w:rsidR="00E157DD" w:rsidRPr="000977D1" w14:paraId="14FBC07E" w14:textId="77777777" w:rsidTr="00A161F3">
        <w:trPr>
          <w:cantSplit/>
        </w:trPr>
        <w:tc>
          <w:tcPr>
            <w:tcW w:w="1843" w:type="dxa"/>
            <w:shd w:val="clear" w:color="000000" w:fill="FFFFFF"/>
            <w:noWrap/>
            <w:vAlign w:val="bottom"/>
            <w:hideMark/>
          </w:tcPr>
          <w:p w14:paraId="0775454D" w14:textId="77777777" w:rsidR="00E157DD" w:rsidRPr="000977D1" w:rsidRDefault="00E157DD" w:rsidP="00A61D6F">
            <w:pPr>
              <w:pStyle w:val="Tabletext"/>
              <w:rPr>
                <w:rFonts w:cs="Segoe UI"/>
                <w:sz w:val="16"/>
                <w:szCs w:val="16"/>
              </w:rPr>
            </w:pPr>
            <w:r w:rsidRPr="000977D1">
              <w:rPr>
                <w:rFonts w:cs="Segoe UI"/>
                <w:sz w:val="16"/>
                <w:szCs w:val="16"/>
              </w:rPr>
              <w:t>Rental, Hiring and Real Estate Services</w:t>
            </w:r>
          </w:p>
        </w:tc>
        <w:tc>
          <w:tcPr>
            <w:tcW w:w="987" w:type="dxa"/>
            <w:shd w:val="clear" w:color="000000" w:fill="FFFFFF"/>
            <w:noWrap/>
            <w:vAlign w:val="bottom"/>
            <w:hideMark/>
          </w:tcPr>
          <w:p w14:paraId="38F03DAA" w14:textId="77777777" w:rsidR="00E157DD" w:rsidRPr="000977D1" w:rsidRDefault="00E157DD" w:rsidP="00A61D6F">
            <w:pPr>
              <w:pStyle w:val="Tabletext"/>
              <w:jc w:val="right"/>
              <w:rPr>
                <w:rFonts w:cs="Segoe UI"/>
                <w:sz w:val="16"/>
                <w:szCs w:val="16"/>
              </w:rPr>
            </w:pPr>
            <w:r w:rsidRPr="000977D1">
              <w:rPr>
                <w:rFonts w:cs="Segoe UI"/>
                <w:sz w:val="16"/>
                <w:szCs w:val="16"/>
              </w:rPr>
              <w:t>0</w:t>
            </w:r>
          </w:p>
        </w:tc>
        <w:tc>
          <w:tcPr>
            <w:tcW w:w="992" w:type="dxa"/>
            <w:shd w:val="clear" w:color="000000" w:fill="FFFFFF"/>
            <w:noWrap/>
            <w:vAlign w:val="bottom"/>
            <w:hideMark/>
          </w:tcPr>
          <w:p w14:paraId="737A806A" w14:textId="77777777" w:rsidR="00E157DD" w:rsidRPr="000977D1" w:rsidRDefault="00E157DD" w:rsidP="00A61D6F">
            <w:pPr>
              <w:pStyle w:val="Tabletext"/>
              <w:jc w:val="right"/>
              <w:rPr>
                <w:rFonts w:cs="Segoe UI"/>
                <w:sz w:val="16"/>
                <w:szCs w:val="16"/>
              </w:rPr>
            </w:pPr>
            <w:r w:rsidRPr="000977D1">
              <w:rPr>
                <w:rFonts w:cs="Segoe UI"/>
                <w:sz w:val="16"/>
                <w:szCs w:val="16"/>
              </w:rPr>
              <w:t>0</w:t>
            </w:r>
          </w:p>
        </w:tc>
        <w:tc>
          <w:tcPr>
            <w:tcW w:w="851" w:type="dxa"/>
            <w:shd w:val="clear" w:color="000000" w:fill="FFFFFF"/>
            <w:noWrap/>
            <w:vAlign w:val="bottom"/>
            <w:hideMark/>
          </w:tcPr>
          <w:p w14:paraId="3D9D64A9" w14:textId="77777777" w:rsidR="00E157DD" w:rsidRPr="000977D1" w:rsidRDefault="00E157DD" w:rsidP="00A61D6F">
            <w:pPr>
              <w:pStyle w:val="Tabletext"/>
              <w:jc w:val="right"/>
              <w:rPr>
                <w:rFonts w:cs="Segoe UI"/>
                <w:sz w:val="16"/>
                <w:szCs w:val="16"/>
              </w:rPr>
            </w:pPr>
            <w:r w:rsidRPr="000977D1">
              <w:rPr>
                <w:rFonts w:cs="Segoe UI"/>
                <w:sz w:val="16"/>
                <w:szCs w:val="16"/>
              </w:rPr>
              <w:t>0</w:t>
            </w:r>
          </w:p>
        </w:tc>
        <w:tc>
          <w:tcPr>
            <w:tcW w:w="850" w:type="dxa"/>
            <w:shd w:val="clear" w:color="000000" w:fill="FFFFFF"/>
            <w:noWrap/>
            <w:vAlign w:val="bottom"/>
            <w:hideMark/>
          </w:tcPr>
          <w:p w14:paraId="5A2B6E80" w14:textId="77777777" w:rsidR="00E157DD" w:rsidRPr="000977D1" w:rsidRDefault="00E157DD" w:rsidP="00A61D6F">
            <w:pPr>
              <w:pStyle w:val="Tabletext"/>
              <w:jc w:val="right"/>
              <w:rPr>
                <w:rFonts w:cs="Segoe UI"/>
                <w:sz w:val="16"/>
                <w:szCs w:val="16"/>
              </w:rPr>
            </w:pPr>
            <w:r w:rsidRPr="000977D1">
              <w:rPr>
                <w:rFonts w:cs="Segoe UI"/>
                <w:sz w:val="16"/>
                <w:szCs w:val="16"/>
              </w:rPr>
              <w:t>0</w:t>
            </w:r>
          </w:p>
        </w:tc>
        <w:tc>
          <w:tcPr>
            <w:tcW w:w="851" w:type="dxa"/>
            <w:shd w:val="clear" w:color="000000" w:fill="FFFFFF"/>
            <w:noWrap/>
            <w:vAlign w:val="bottom"/>
            <w:hideMark/>
          </w:tcPr>
          <w:p w14:paraId="4F3B0CCD" w14:textId="77777777" w:rsidR="00E157DD" w:rsidRPr="000977D1" w:rsidRDefault="00E157DD" w:rsidP="00A61D6F">
            <w:pPr>
              <w:pStyle w:val="Tabletext"/>
              <w:jc w:val="right"/>
              <w:rPr>
                <w:rFonts w:cs="Segoe UI"/>
                <w:sz w:val="16"/>
                <w:szCs w:val="16"/>
              </w:rPr>
            </w:pPr>
            <w:r w:rsidRPr="000977D1">
              <w:rPr>
                <w:rFonts w:cs="Segoe UI"/>
                <w:sz w:val="16"/>
                <w:szCs w:val="16"/>
              </w:rPr>
              <w:t>0</w:t>
            </w:r>
          </w:p>
        </w:tc>
        <w:tc>
          <w:tcPr>
            <w:tcW w:w="992" w:type="dxa"/>
            <w:shd w:val="clear" w:color="000000" w:fill="FFFFFF"/>
            <w:noWrap/>
            <w:vAlign w:val="bottom"/>
            <w:hideMark/>
          </w:tcPr>
          <w:p w14:paraId="2766E852" w14:textId="77777777" w:rsidR="00E157DD" w:rsidRPr="000977D1" w:rsidRDefault="00E157DD" w:rsidP="00A61D6F">
            <w:pPr>
              <w:pStyle w:val="Tabletext"/>
              <w:jc w:val="right"/>
              <w:rPr>
                <w:rFonts w:cs="Segoe UI"/>
                <w:sz w:val="16"/>
                <w:szCs w:val="16"/>
              </w:rPr>
            </w:pPr>
            <w:r w:rsidRPr="000977D1">
              <w:rPr>
                <w:rFonts w:cs="Segoe UI"/>
                <w:sz w:val="16"/>
                <w:szCs w:val="16"/>
              </w:rPr>
              <w:t>0</w:t>
            </w:r>
          </w:p>
        </w:tc>
        <w:tc>
          <w:tcPr>
            <w:tcW w:w="992" w:type="dxa"/>
            <w:shd w:val="clear" w:color="000000" w:fill="FFFFFF"/>
            <w:noWrap/>
            <w:vAlign w:val="bottom"/>
            <w:hideMark/>
          </w:tcPr>
          <w:p w14:paraId="31EB4F15" w14:textId="77777777" w:rsidR="00E157DD" w:rsidRPr="000977D1" w:rsidRDefault="00E157DD" w:rsidP="00A61D6F">
            <w:pPr>
              <w:pStyle w:val="Tabletext"/>
              <w:jc w:val="right"/>
              <w:rPr>
                <w:rFonts w:cs="Segoe UI"/>
                <w:sz w:val="16"/>
                <w:szCs w:val="16"/>
              </w:rPr>
            </w:pPr>
            <w:r w:rsidRPr="000977D1">
              <w:rPr>
                <w:rFonts w:cs="Segoe UI"/>
                <w:sz w:val="16"/>
                <w:szCs w:val="16"/>
              </w:rPr>
              <w:t>0</w:t>
            </w:r>
          </w:p>
        </w:tc>
        <w:tc>
          <w:tcPr>
            <w:tcW w:w="851" w:type="dxa"/>
            <w:shd w:val="clear" w:color="000000" w:fill="FFFFFF"/>
            <w:noWrap/>
            <w:vAlign w:val="bottom"/>
            <w:hideMark/>
          </w:tcPr>
          <w:p w14:paraId="2B45A26F" w14:textId="77777777" w:rsidR="00E157DD" w:rsidRPr="000977D1" w:rsidRDefault="00E157DD" w:rsidP="00A61D6F">
            <w:pPr>
              <w:pStyle w:val="Tabletext"/>
              <w:jc w:val="right"/>
              <w:rPr>
                <w:rFonts w:cs="Segoe UI"/>
                <w:sz w:val="16"/>
                <w:szCs w:val="16"/>
              </w:rPr>
            </w:pPr>
            <w:r w:rsidRPr="000977D1">
              <w:rPr>
                <w:rFonts w:cs="Segoe UI"/>
                <w:sz w:val="16"/>
                <w:szCs w:val="16"/>
              </w:rPr>
              <w:t>-1</w:t>
            </w:r>
          </w:p>
        </w:tc>
        <w:tc>
          <w:tcPr>
            <w:tcW w:w="992" w:type="dxa"/>
            <w:shd w:val="clear" w:color="000000" w:fill="FFFFFF"/>
            <w:noWrap/>
            <w:vAlign w:val="bottom"/>
            <w:hideMark/>
          </w:tcPr>
          <w:p w14:paraId="297552F1" w14:textId="77777777" w:rsidR="00E157DD" w:rsidRPr="000977D1" w:rsidRDefault="00E157DD" w:rsidP="00A61D6F">
            <w:pPr>
              <w:pStyle w:val="Tabletext"/>
              <w:jc w:val="right"/>
              <w:rPr>
                <w:rFonts w:cs="Segoe UI"/>
                <w:sz w:val="16"/>
                <w:szCs w:val="16"/>
              </w:rPr>
            </w:pPr>
            <w:r w:rsidRPr="000977D1">
              <w:rPr>
                <w:rFonts w:cs="Segoe UI"/>
                <w:sz w:val="16"/>
                <w:szCs w:val="16"/>
              </w:rPr>
              <w:t>1</w:t>
            </w:r>
          </w:p>
        </w:tc>
      </w:tr>
      <w:tr w:rsidR="00E157DD" w:rsidRPr="000977D1" w14:paraId="6F5A12B3" w14:textId="77777777" w:rsidTr="00A161F3">
        <w:trPr>
          <w:cantSplit/>
        </w:trPr>
        <w:tc>
          <w:tcPr>
            <w:tcW w:w="1843" w:type="dxa"/>
            <w:shd w:val="clear" w:color="000000" w:fill="FFFFFF"/>
            <w:noWrap/>
            <w:vAlign w:val="bottom"/>
            <w:hideMark/>
          </w:tcPr>
          <w:p w14:paraId="19146C8E" w14:textId="77777777" w:rsidR="00E157DD" w:rsidRPr="000977D1" w:rsidRDefault="00E157DD" w:rsidP="00A61D6F">
            <w:pPr>
              <w:pStyle w:val="Tabletext"/>
              <w:rPr>
                <w:rFonts w:cs="Segoe UI"/>
                <w:sz w:val="16"/>
                <w:szCs w:val="16"/>
              </w:rPr>
            </w:pPr>
            <w:r w:rsidRPr="000977D1">
              <w:rPr>
                <w:rFonts w:cs="Segoe UI"/>
                <w:sz w:val="16"/>
                <w:szCs w:val="16"/>
              </w:rPr>
              <w:t>Professional, Scientific and Technical Services</w:t>
            </w:r>
          </w:p>
        </w:tc>
        <w:tc>
          <w:tcPr>
            <w:tcW w:w="987" w:type="dxa"/>
            <w:shd w:val="clear" w:color="000000" w:fill="FFFFFF"/>
            <w:noWrap/>
            <w:vAlign w:val="bottom"/>
            <w:hideMark/>
          </w:tcPr>
          <w:p w14:paraId="3F9541B4" w14:textId="77777777" w:rsidR="00E157DD" w:rsidRPr="000977D1" w:rsidRDefault="00E157DD" w:rsidP="00A61D6F">
            <w:pPr>
              <w:pStyle w:val="Tabletext"/>
              <w:jc w:val="right"/>
              <w:rPr>
                <w:rFonts w:cs="Segoe UI"/>
                <w:sz w:val="16"/>
                <w:szCs w:val="16"/>
              </w:rPr>
            </w:pPr>
            <w:r w:rsidRPr="000977D1">
              <w:rPr>
                <w:rFonts w:cs="Segoe UI"/>
                <w:sz w:val="16"/>
                <w:szCs w:val="16"/>
              </w:rPr>
              <w:t>0</w:t>
            </w:r>
          </w:p>
        </w:tc>
        <w:tc>
          <w:tcPr>
            <w:tcW w:w="992" w:type="dxa"/>
            <w:shd w:val="clear" w:color="000000" w:fill="FFFFFF"/>
            <w:noWrap/>
            <w:vAlign w:val="bottom"/>
            <w:hideMark/>
          </w:tcPr>
          <w:p w14:paraId="5C06601E" w14:textId="77777777" w:rsidR="00E157DD" w:rsidRPr="000977D1" w:rsidRDefault="00E157DD" w:rsidP="00A61D6F">
            <w:pPr>
              <w:pStyle w:val="Tabletext"/>
              <w:jc w:val="right"/>
              <w:rPr>
                <w:rFonts w:cs="Segoe UI"/>
                <w:sz w:val="16"/>
                <w:szCs w:val="16"/>
              </w:rPr>
            </w:pPr>
            <w:r w:rsidRPr="000977D1">
              <w:rPr>
                <w:rFonts w:cs="Segoe UI"/>
                <w:sz w:val="16"/>
                <w:szCs w:val="16"/>
              </w:rPr>
              <w:t>-49</w:t>
            </w:r>
          </w:p>
        </w:tc>
        <w:tc>
          <w:tcPr>
            <w:tcW w:w="851" w:type="dxa"/>
            <w:shd w:val="clear" w:color="000000" w:fill="FFFFFF"/>
            <w:noWrap/>
            <w:vAlign w:val="bottom"/>
            <w:hideMark/>
          </w:tcPr>
          <w:p w14:paraId="7BA254E8" w14:textId="77777777" w:rsidR="00E157DD" w:rsidRPr="000977D1" w:rsidRDefault="00E157DD" w:rsidP="00A61D6F">
            <w:pPr>
              <w:pStyle w:val="Tabletext"/>
              <w:jc w:val="right"/>
              <w:rPr>
                <w:rFonts w:cs="Segoe UI"/>
                <w:sz w:val="16"/>
                <w:szCs w:val="16"/>
              </w:rPr>
            </w:pPr>
            <w:r w:rsidRPr="000977D1">
              <w:rPr>
                <w:rFonts w:cs="Segoe UI"/>
                <w:sz w:val="16"/>
                <w:szCs w:val="16"/>
              </w:rPr>
              <w:t>-52</w:t>
            </w:r>
          </w:p>
        </w:tc>
        <w:tc>
          <w:tcPr>
            <w:tcW w:w="850" w:type="dxa"/>
            <w:shd w:val="clear" w:color="000000" w:fill="FFFFFF"/>
            <w:noWrap/>
            <w:vAlign w:val="bottom"/>
            <w:hideMark/>
          </w:tcPr>
          <w:p w14:paraId="1DA04BB5" w14:textId="77777777" w:rsidR="00E157DD" w:rsidRPr="000977D1" w:rsidRDefault="00E157DD" w:rsidP="00A61D6F">
            <w:pPr>
              <w:pStyle w:val="Tabletext"/>
              <w:jc w:val="right"/>
              <w:rPr>
                <w:rFonts w:cs="Segoe UI"/>
                <w:sz w:val="16"/>
                <w:szCs w:val="16"/>
              </w:rPr>
            </w:pPr>
            <w:r w:rsidRPr="000977D1">
              <w:rPr>
                <w:rFonts w:cs="Segoe UI"/>
                <w:sz w:val="16"/>
                <w:szCs w:val="16"/>
              </w:rPr>
              <w:t>-57</w:t>
            </w:r>
          </w:p>
        </w:tc>
        <w:tc>
          <w:tcPr>
            <w:tcW w:w="851" w:type="dxa"/>
            <w:shd w:val="clear" w:color="000000" w:fill="FFFFFF"/>
            <w:noWrap/>
            <w:vAlign w:val="bottom"/>
            <w:hideMark/>
          </w:tcPr>
          <w:p w14:paraId="2985294F" w14:textId="77777777" w:rsidR="00E157DD" w:rsidRPr="000977D1" w:rsidRDefault="00E157DD" w:rsidP="00A61D6F">
            <w:pPr>
              <w:pStyle w:val="Tabletext"/>
              <w:jc w:val="right"/>
              <w:rPr>
                <w:rFonts w:cs="Segoe UI"/>
                <w:sz w:val="16"/>
                <w:szCs w:val="16"/>
              </w:rPr>
            </w:pPr>
            <w:r w:rsidRPr="000977D1">
              <w:rPr>
                <w:rFonts w:cs="Segoe UI"/>
                <w:sz w:val="16"/>
                <w:szCs w:val="16"/>
              </w:rPr>
              <w:t>-58</w:t>
            </w:r>
          </w:p>
        </w:tc>
        <w:tc>
          <w:tcPr>
            <w:tcW w:w="992" w:type="dxa"/>
            <w:shd w:val="clear" w:color="000000" w:fill="FFFFFF"/>
            <w:noWrap/>
            <w:vAlign w:val="bottom"/>
            <w:hideMark/>
          </w:tcPr>
          <w:p w14:paraId="748E8B45" w14:textId="77777777" w:rsidR="00E157DD" w:rsidRPr="000977D1" w:rsidRDefault="00E157DD" w:rsidP="00A61D6F">
            <w:pPr>
              <w:pStyle w:val="Tabletext"/>
              <w:jc w:val="right"/>
              <w:rPr>
                <w:rFonts w:cs="Segoe UI"/>
                <w:sz w:val="16"/>
                <w:szCs w:val="16"/>
              </w:rPr>
            </w:pPr>
            <w:r w:rsidRPr="000977D1">
              <w:rPr>
                <w:rFonts w:cs="Segoe UI"/>
                <w:sz w:val="16"/>
                <w:szCs w:val="16"/>
              </w:rPr>
              <w:t>-58</w:t>
            </w:r>
          </w:p>
        </w:tc>
        <w:tc>
          <w:tcPr>
            <w:tcW w:w="992" w:type="dxa"/>
            <w:shd w:val="clear" w:color="000000" w:fill="FFFFFF"/>
            <w:noWrap/>
            <w:vAlign w:val="bottom"/>
            <w:hideMark/>
          </w:tcPr>
          <w:p w14:paraId="1B81D286" w14:textId="77777777" w:rsidR="00E157DD" w:rsidRPr="000977D1" w:rsidRDefault="00E157DD" w:rsidP="00A61D6F">
            <w:pPr>
              <w:pStyle w:val="Tabletext"/>
              <w:jc w:val="right"/>
              <w:rPr>
                <w:rFonts w:cs="Segoe UI"/>
                <w:sz w:val="16"/>
                <w:szCs w:val="16"/>
              </w:rPr>
            </w:pPr>
            <w:r w:rsidRPr="000977D1">
              <w:rPr>
                <w:rFonts w:cs="Segoe UI"/>
                <w:sz w:val="16"/>
                <w:szCs w:val="16"/>
              </w:rPr>
              <w:t>-32</w:t>
            </w:r>
          </w:p>
        </w:tc>
        <w:tc>
          <w:tcPr>
            <w:tcW w:w="851" w:type="dxa"/>
            <w:shd w:val="clear" w:color="000000" w:fill="FFFFFF"/>
            <w:noWrap/>
            <w:vAlign w:val="bottom"/>
            <w:hideMark/>
          </w:tcPr>
          <w:p w14:paraId="5E762D47" w14:textId="77777777" w:rsidR="00E157DD" w:rsidRPr="000977D1" w:rsidRDefault="00E157DD" w:rsidP="00A61D6F">
            <w:pPr>
              <w:pStyle w:val="Tabletext"/>
              <w:jc w:val="right"/>
              <w:rPr>
                <w:rFonts w:cs="Segoe UI"/>
                <w:sz w:val="16"/>
                <w:szCs w:val="16"/>
              </w:rPr>
            </w:pPr>
            <w:r w:rsidRPr="000977D1">
              <w:rPr>
                <w:rFonts w:cs="Segoe UI"/>
                <w:sz w:val="16"/>
                <w:szCs w:val="16"/>
              </w:rPr>
              <w:t>27</w:t>
            </w:r>
          </w:p>
        </w:tc>
        <w:tc>
          <w:tcPr>
            <w:tcW w:w="992" w:type="dxa"/>
            <w:shd w:val="clear" w:color="000000" w:fill="FFFFFF"/>
            <w:noWrap/>
            <w:vAlign w:val="bottom"/>
            <w:hideMark/>
          </w:tcPr>
          <w:p w14:paraId="76B3EB62" w14:textId="77777777" w:rsidR="00E157DD" w:rsidRPr="000977D1" w:rsidRDefault="00E157DD" w:rsidP="00A61D6F">
            <w:pPr>
              <w:pStyle w:val="Tabletext"/>
              <w:jc w:val="right"/>
              <w:rPr>
                <w:rFonts w:cs="Segoe UI"/>
                <w:sz w:val="16"/>
                <w:szCs w:val="16"/>
              </w:rPr>
            </w:pPr>
            <w:r w:rsidRPr="000977D1">
              <w:rPr>
                <w:rFonts w:cs="Segoe UI"/>
                <w:sz w:val="16"/>
                <w:szCs w:val="16"/>
              </w:rPr>
              <w:t>-1,475</w:t>
            </w:r>
          </w:p>
        </w:tc>
      </w:tr>
      <w:tr w:rsidR="00E157DD" w:rsidRPr="000977D1" w14:paraId="4554F0E7" w14:textId="77777777" w:rsidTr="00A161F3">
        <w:trPr>
          <w:cantSplit/>
        </w:trPr>
        <w:tc>
          <w:tcPr>
            <w:tcW w:w="1843" w:type="dxa"/>
            <w:shd w:val="clear" w:color="000000" w:fill="FFFFFF"/>
            <w:noWrap/>
            <w:vAlign w:val="bottom"/>
            <w:hideMark/>
          </w:tcPr>
          <w:p w14:paraId="6D8C3FDB" w14:textId="77777777" w:rsidR="00E157DD" w:rsidRPr="000977D1" w:rsidRDefault="00E157DD" w:rsidP="00A61D6F">
            <w:pPr>
              <w:pStyle w:val="Tabletext"/>
              <w:rPr>
                <w:rFonts w:cs="Segoe UI"/>
                <w:sz w:val="16"/>
                <w:szCs w:val="16"/>
              </w:rPr>
            </w:pPr>
            <w:r w:rsidRPr="000977D1">
              <w:rPr>
                <w:rFonts w:cs="Segoe UI"/>
                <w:sz w:val="16"/>
                <w:szCs w:val="16"/>
              </w:rPr>
              <w:t>Education and Training</w:t>
            </w:r>
          </w:p>
        </w:tc>
        <w:tc>
          <w:tcPr>
            <w:tcW w:w="987" w:type="dxa"/>
            <w:shd w:val="clear" w:color="000000" w:fill="FFFFFF"/>
            <w:noWrap/>
            <w:vAlign w:val="bottom"/>
            <w:hideMark/>
          </w:tcPr>
          <w:p w14:paraId="387AA4E0" w14:textId="77777777" w:rsidR="00E157DD" w:rsidRPr="000977D1" w:rsidRDefault="00E157DD" w:rsidP="00A61D6F">
            <w:pPr>
              <w:pStyle w:val="Tabletext"/>
              <w:jc w:val="right"/>
              <w:rPr>
                <w:rFonts w:cs="Segoe UI"/>
                <w:sz w:val="16"/>
                <w:szCs w:val="16"/>
              </w:rPr>
            </w:pPr>
            <w:r w:rsidRPr="000977D1">
              <w:rPr>
                <w:rFonts w:cs="Segoe UI"/>
                <w:sz w:val="16"/>
                <w:szCs w:val="16"/>
              </w:rPr>
              <w:t>0</w:t>
            </w:r>
          </w:p>
        </w:tc>
        <w:tc>
          <w:tcPr>
            <w:tcW w:w="992" w:type="dxa"/>
            <w:shd w:val="clear" w:color="000000" w:fill="FFFFFF"/>
            <w:noWrap/>
            <w:vAlign w:val="bottom"/>
            <w:hideMark/>
          </w:tcPr>
          <w:p w14:paraId="54140A01" w14:textId="77777777" w:rsidR="00E157DD" w:rsidRPr="000977D1" w:rsidRDefault="00E157DD" w:rsidP="00A61D6F">
            <w:pPr>
              <w:pStyle w:val="Tabletext"/>
              <w:jc w:val="right"/>
              <w:rPr>
                <w:rFonts w:cs="Segoe UI"/>
                <w:sz w:val="16"/>
                <w:szCs w:val="16"/>
              </w:rPr>
            </w:pPr>
            <w:r w:rsidRPr="000977D1">
              <w:rPr>
                <w:rFonts w:cs="Segoe UI"/>
                <w:sz w:val="16"/>
                <w:szCs w:val="16"/>
              </w:rPr>
              <w:t>-1</w:t>
            </w:r>
          </w:p>
        </w:tc>
        <w:tc>
          <w:tcPr>
            <w:tcW w:w="851" w:type="dxa"/>
            <w:shd w:val="clear" w:color="000000" w:fill="FFFFFF"/>
            <w:noWrap/>
            <w:vAlign w:val="bottom"/>
            <w:hideMark/>
          </w:tcPr>
          <w:p w14:paraId="1FD0A008" w14:textId="77777777" w:rsidR="00E157DD" w:rsidRPr="000977D1" w:rsidRDefault="00E157DD" w:rsidP="00A61D6F">
            <w:pPr>
              <w:pStyle w:val="Tabletext"/>
              <w:jc w:val="right"/>
              <w:rPr>
                <w:rFonts w:cs="Segoe UI"/>
                <w:sz w:val="16"/>
                <w:szCs w:val="16"/>
              </w:rPr>
            </w:pPr>
            <w:r w:rsidRPr="000977D1">
              <w:rPr>
                <w:rFonts w:cs="Segoe UI"/>
                <w:sz w:val="16"/>
                <w:szCs w:val="16"/>
              </w:rPr>
              <w:t>-1</w:t>
            </w:r>
          </w:p>
        </w:tc>
        <w:tc>
          <w:tcPr>
            <w:tcW w:w="850" w:type="dxa"/>
            <w:shd w:val="clear" w:color="000000" w:fill="FFFFFF"/>
            <w:noWrap/>
            <w:vAlign w:val="bottom"/>
            <w:hideMark/>
          </w:tcPr>
          <w:p w14:paraId="21981A51" w14:textId="77777777" w:rsidR="00E157DD" w:rsidRPr="000977D1" w:rsidRDefault="00E157DD" w:rsidP="00A61D6F">
            <w:pPr>
              <w:pStyle w:val="Tabletext"/>
              <w:jc w:val="right"/>
              <w:rPr>
                <w:rFonts w:cs="Segoe UI"/>
                <w:sz w:val="16"/>
                <w:szCs w:val="16"/>
              </w:rPr>
            </w:pPr>
            <w:r w:rsidRPr="000977D1">
              <w:rPr>
                <w:rFonts w:cs="Segoe UI"/>
                <w:sz w:val="16"/>
                <w:szCs w:val="16"/>
              </w:rPr>
              <w:t>-2</w:t>
            </w:r>
          </w:p>
        </w:tc>
        <w:tc>
          <w:tcPr>
            <w:tcW w:w="851" w:type="dxa"/>
            <w:shd w:val="clear" w:color="000000" w:fill="FFFFFF"/>
            <w:noWrap/>
            <w:vAlign w:val="bottom"/>
            <w:hideMark/>
          </w:tcPr>
          <w:p w14:paraId="63364CDF" w14:textId="77777777" w:rsidR="00E157DD" w:rsidRPr="000977D1" w:rsidRDefault="00E157DD" w:rsidP="00A61D6F">
            <w:pPr>
              <w:pStyle w:val="Tabletext"/>
              <w:jc w:val="right"/>
              <w:rPr>
                <w:rFonts w:cs="Segoe UI"/>
                <w:sz w:val="16"/>
                <w:szCs w:val="16"/>
              </w:rPr>
            </w:pPr>
            <w:r w:rsidRPr="000977D1">
              <w:rPr>
                <w:rFonts w:cs="Segoe UI"/>
                <w:sz w:val="16"/>
                <w:szCs w:val="16"/>
              </w:rPr>
              <w:t>-2</w:t>
            </w:r>
          </w:p>
        </w:tc>
        <w:tc>
          <w:tcPr>
            <w:tcW w:w="992" w:type="dxa"/>
            <w:shd w:val="clear" w:color="000000" w:fill="FFFFFF"/>
            <w:noWrap/>
            <w:vAlign w:val="bottom"/>
            <w:hideMark/>
          </w:tcPr>
          <w:p w14:paraId="352FF0BD" w14:textId="77777777" w:rsidR="00E157DD" w:rsidRPr="000977D1" w:rsidRDefault="00E157DD" w:rsidP="00A61D6F">
            <w:pPr>
              <w:pStyle w:val="Tabletext"/>
              <w:jc w:val="right"/>
              <w:rPr>
                <w:rFonts w:cs="Segoe UI"/>
                <w:sz w:val="16"/>
                <w:szCs w:val="16"/>
              </w:rPr>
            </w:pPr>
            <w:r w:rsidRPr="000977D1">
              <w:rPr>
                <w:rFonts w:cs="Segoe UI"/>
                <w:sz w:val="16"/>
                <w:szCs w:val="16"/>
              </w:rPr>
              <w:t>-2</w:t>
            </w:r>
          </w:p>
        </w:tc>
        <w:tc>
          <w:tcPr>
            <w:tcW w:w="992" w:type="dxa"/>
            <w:shd w:val="clear" w:color="000000" w:fill="FFFFFF"/>
            <w:noWrap/>
            <w:vAlign w:val="bottom"/>
            <w:hideMark/>
          </w:tcPr>
          <w:p w14:paraId="0B334174" w14:textId="77777777" w:rsidR="00E157DD" w:rsidRPr="000977D1" w:rsidRDefault="00E157DD" w:rsidP="00A61D6F">
            <w:pPr>
              <w:pStyle w:val="Tabletext"/>
              <w:jc w:val="right"/>
              <w:rPr>
                <w:rFonts w:cs="Segoe UI"/>
                <w:sz w:val="16"/>
                <w:szCs w:val="16"/>
              </w:rPr>
            </w:pPr>
            <w:r w:rsidRPr="000977D1">
              <w:rPr>
                <w:rFonts w:cs="Segoe UI"/>
                <w:sz w:val="16"/>
                <w:szCs w:val="16"/>
              </w:rPr>
              <w:t>-2</w:t>
            </w:r>
          </w:p>
        </w:tc>
        <w:tc>
          <w:tcPr>
            <w:tcW w:w="851" w:type="dxa"/>
            <w:shd w:val="clear" w:color="000000" w:fill="FFFFFF"/>
            <w:noWrap/>
            <w:vAlign w:val="bottom"/>
            <w:hideMark/>
          </w:tcPr>
          <w:p w14:paraId="4862BADC" w14:textId="77777777" w:rsidR="00E157DD" w:rsidRPr="000977D1" w:rsidRDefault="00E157DD" w:rsidP="00A61D6F">
            <w:pPr>
              <w:pStyle w:val="Tabletext"/>
              <w:jc w:val="right"/>
              <w:rPr>
                <w:rFonts w:cs="Segoe UI"/>
                <w:sz w:val="16"/>
                <w:szCs w:val="16"/>
              </w:rPr>
            </w:pPr>
            <w:r w:rsidRPr="000977D1">
              <w:rPr>
                <w:rFonts w:cs="Segoe UI"/>
                <w:sz w:val="16"/>
                <w:szCs w:val="16"/>
              </w:rPr>
              <w:t>-5</w:t>
            </w:r>
          </w:p>
        </w:tc>
        <w:tc>
          <w:tcPr>
            <w:tcW w:w="992" w:type="dxa"/>
            <w:shd w:val="clear" w:color="000000" w:fill="FFFFFF"/>
            <w:noWrap/>
            <w:vAlign w:val="bottom"/>
            <w:hideMark/>
          </w:tcPr>
          <w:p w14:paraId="0EA75AD9" w14:textId="77777777" w:rsidR="00E157DD" w:rsidRPr="000977D1" w:rsidRDefault="00E157DD" w:rsidP="00A61D6F">
            <w:pPr>
              <w:pStyle w:val="Tabletext"/>
              <w:jc w:val="right"/>
              <w:rPr>
                <w:rFonts w:cs="Segoe UI"/>
                <w:sz w:val="16"/>
                <w:szCs w:val="16"/>
              </w:rPr>
            </w:pPr>
            <w:r w:rsidRPr="000977D1">
              <w:rPr>
                <w:rFonts w:cs="Segoe UI"/>
                <w:sz w:val="16"/>
                <w:szCs w:val="16"/>
              </w:rPr>
              <w:t>-15</w:t>
            </w:r>
          </w:p>
        </w:tc>
      </w:tr>
      <w:tr w:rsidR="00E157DD" w:rsidRPr="000977D1" w14:paraId="52F8A20B" w14:textId="77777777" w:rsidTr="00A161F3">
        <w:trPr>
          <w:cantSplit/>
        </w:trPr>
        <w:tc>
          <w:tcPr>
            <w:tcW w:w="1843" w:type="dxa"/>
            <w:shd w:val="clear" w:color="000000" w:fill="FFFFFF"/>
            <w:noWrap/>
            <w:vAlign w:val="bottom"/>
            <w:hideMark/>
          </w:tcPr>
          <w:p w14:paraId="66AA9EFD" w14:textId="77777777" w:rsidR="00E157DD" w:rsidRPr="000977D1" w:rsidRDefault="00E157DD" w:rsidP="00A61D6F">
            <w:pPr>
              <w:pStyle w:val="Tabletext"/>
              <w:rPr>
                <w:rFonts w:cs="Segoe UI"/>
                <w:sz w:val="16"/>
                <w:szCs w:val="16"/>
              </w:rPr>
            </w:pPr>
            <w:r w:rsidRPr="000977D1">
              <w:rPr>
                <w:rFonts w:cs="Segoe UI"/>
                <w:sz w:val="16"/>
                <w:szCs w:val="16"/>
              </w:rPr>
              <w:t>Arts and Recreation Services</w:t>
            </w:r>
          </w:p>
        </w:tc>
        <w:tc>
          <w:tcPr>
            <w:tcW w:w="987" w:type="dxa"/>
            <w:shd w:val="clear" w:color="000000" w:fill="FFFFFF"/>
            <w:noWrap/>
            <w:vAlign w:val="bottom"/>
            <w:hideMark/>
          </w:tcPr>
          <w:p w14:paraId="3AA23E48" w14:textId="77777777" w:rsidR="00E157DD" w:rsidRPr="000977D1" w:rsidRDefault="00E157DD" w:rsidP="00A61D6F">
            <w:pPr>
              <w:pStyle w:val="Tabletext"/>
              <w:jc w:val="right"/>
              <w:rPr>
                <w:rFonts w:cs="Segoe UI"/>
                <w:sz w:val="16"/>
                <w:szCs w:val="16"/>
              </w:rPr>
            </w:pPr>
            <w:r w:rsidRPr="000977D1">
              <w:rPr>
                <w:rFonts w:cs="Segoe UI"/>
                <w:sz w:val="16"/>
                <w:szCs w:val="16"/>
              </w:rPr>
              <w:t>0</w:t>
            </w:r>
          </w:p>
        </w:tc>
        <w:tc>
          <w:tcPr>
            <w:tcW w:w="992" w:type="dxa"/>
            <w:shd w:val="clear" w:color="000000" w:fill="FFFFFF"/>
            <w:noWrap/>
            <w:vAlign w:val="bottom"/>
            <w:hideMark/>
          </w:tcPr>
          <w:p w14:paraId="7D3C18FC" w14:textId="77777777" w:rsidR="00E157DD" w:rsidRPr="000977D1" w:rsidRDefault="00E157DD" w:rsidP="00A61D6F">
            <w:pPr>
              <w:pStyle w:val="Tabletext"/>
              <w:jc w:val="right"/>
              <w:rPr>
                <w:rFonts w:cs="Segoe UI"/>
                <w:sz w:val="16"/>
                <w:szCs w:val="16"/>
              </w:rPr>
            </w:pPr>
            <w:r w:rsidRPr="000977D1">
              <w:rPr>
                <w:rFonts w:cs="Segoe UI"/>
                <w:sz w:val="16"/>
                <w:szCs w:val="16"/>
              </w:rPr>
              <w:t>-5</w:t>
            </w:r>
          </w:p>
        </w:tc>
        <w:tc>
          <w:tcPr>
            <w:tcW w:w="851" w:type="dxa"/>
            <w:shd w:val="clear" w:color="000000" w:fill="FFFFFF"/>
            <w:noWrap/>
            <w:vAlign w:val="bottom"/>
            <w:hideMark/>
          </w:tcPr>
          <w:p w14:paraId="05976AAB" w14:textId="77777777" w:rsidR="00E157DD" w:rsidRPr="000977D1" w:rsidRDefault="00E157DD" w:rsidP="00A61D6F">
            <w:pPr>
              <w:pStyle w:val="Tabletext"/>
              <w:jc w:val="right"/>
              <w:rPr>
                <w:rFonts w:cs="Segoe UI"/>
                <w:sz w:val="16"/>
                <w:szCs w:val="16"/>
              </w:rPr>
            </w:pPr>
            <w:r w:rsidRPr="000977D1">
              <w:rPr>
                <w:rFonts w:cs="Segoe UI"/>
                <w:sz w:val="16"/>
                <w:szCs w:val="16"/>
              </w:rPr>
              <w:t>-5</w:t>
            </w:r>
          </w:p>
        </w:tc>
        <w:tc>
          <w:tcPr>
            <w:tcW w:w="850" w:type="dxa"/>
            <w:shd w:val="clear" w:color="000000" w:fill="FFFFFF"/>
            <w:noWrap/>
            <w:vAlign w:val="bottom"/>
            <w:hideMark/>
          </w:tcPr>
          <w:p w14:paraId="1CE3E3FC" w14:textId="77777777" w:rsidR="00E157DD" w:rsidRPr="000977D1" w:rsidRDefault="00E157DD" w:rsidP="00A61D6F">
            <w:pPr>
              <w:pStyle w:val="Tabletext"/>
              <w:jc w:val="right"/>
              <w:rPr>
                <w:rFonts w:cs="Segoe UI"/>
                <w:sz w:val="16"/>
                <w:szCs w:val="16"/>
              </w:rPr>
            </w:pPr>
            <w:r w:rsidRPr="000977D1">
              <w:rPr>
                <w:rFonts w:cs="Segoe UI"/>
                <w:sz w:val="16"/>
                <w:szCs w:val="16"/>
              </w:rPr>
              <w:t>-5</w:t>
            </w:r>
          </w:p>
        </w:tc>
        <w:tc>
          <w:tcPr>
            <w:tcW w:w="851" w:type="dxa"/>
            <w:shd w:val="clear" w:color="000000" w:fill="FFFFFF"/>
            <w:noWrap/>
            <w:vAlign w:val="bottom"/>
            <w:hideMark/>
          </w:tcPr>
          <w:p w14:paraId="6DAE076C" w14:textId="77777777" w:rsidR="00E157DD" w:rsidRPr="000977D1" w:rsidRDefault="00E157DD" w:rsidP="00A61D6F">
            <w:pPr>
              <w:pStyle w:val="Tabletext"/>
              <w:jc w:val="right"/>
              <w:rPr>
                <w:rFonts w:cs="Segoe UI"/>
                <w:sz w:val="16"/>
                <w:szCs w:val="16"/>
              </w:rPr>
            </w:pPr>
            <w:r w:rsidRPr="000977D1">
              <w:rPr>
                <w:rFonts w:cs="Segoe UI"/>
                <w:sz w:val="16"/>
                <w:szCs w:val="16"/>
              </w:rPr>
              <w:t>-6</w:t>
            </w:r>
          </w:p>
        </w:tc>
        <w:tc>
          <w:tcPr>
            <w:tcW w:w="992" w:type="dxa"/>
            <w:shd w:val="clear" w:color="000000" w:fill="FFFFFF"/>
            <w:noWrap/>
            <w:vAlign w:val="bottom"/>
            <w:hideMark/>
          </w:tcPr>
          <w:p w14:paraId="485FA203" w14:textId="77777777" w:rsidR="00E157DD" w:rsidRPr="000977D1" w:rsidRDefault="00E157DD" w:rsidP="00A61D6F">
            <w:pPr>
              <w:pStyle w:val="Tabletext"/>
              <w:jc w:val="right"/>
              <w:rPr>
                <w:rFonts w:cs="Segoe UI"/>
                <w:sz w:val="16"/>
                <w:szCs w:val="16"/>
              </w:rPr>
            </w:pPr>
            <w:r w:rsidRPr="000977D1">
              <w:rPr>
                <w:rFonts w:cs="Segoe UI"/>
                <w:sz w:val="16"/>
                <w:szCs w:val="16"/>
              </w:rPr>
              <w:t>-6</w:t>
            </w:r>
          </w:p>
        </w:tc>
        <w:tc>
          <w:tcPr>
            <w:tcW w:w="992" w:type="dxa"/>
            <w:shd w:val="clear" w:color="000000" w:fill="FFFFFF"/>
            <w:noWrap/>
            <w:vAlign w:val="bottom"/>
            <w:hideMark/>
          </w:tcPr>
          <w:p w14:paraId="17D71699" w14:textId="77777777" w:rsidR="00E157DD" w:rsidRPr="000977D1" w:rsidRDefault="00E157DD" w:rsidP="00A61D6F">
            <w:pPr>
              <w:pStyle w:val="Tabletext"/>
              <w:jc w:val="right"/>
              <w:rPr>
                <w:rFonts w:cs="Segoe UI"/>
                <w:sz w:val="16"/>
                <w:szCs w:val="16"/>
              </w:rPr>
            </w:pPr>
            <w:r w:rsidRPr="000977D1">
              <w:rPr>
                <w:rFonts w:cs="Segoe UI"/>
                <w:sz w:val="16"/>
                <w:szCs w:val="16"/>
              </w:rPr>
              <w:t>2</w:t>
            </w:r>
          </w:p>
        </w:tc>
        <w:tc>
          <w:tcPr>
            <w:tcW w:w="851" w:type="dxa"/>
            <w:shd w:val="clear" w:color="000000" w:fill="FFFFFF"/>
            <w:noWrap/>
            <w:vAlign w:val="bottom"/>
            <w:hideMark/>
          </w:tcPr>
          <w:p w14:paraId="318AA654" w14:textId="77777777" w:rsidR="00E157DD" w:rsidRPr="000977D1" w:rsidRDefault="00E157DD" w:rsidP="00A61D6F">
            <w:pPr>
              <w:pStyle w:val="Tabletext"/>
              <w:jc w:val="right"/>
              <w:rPr>
                <w:rFonts w:cs="Segoe UI"/>
                <w:sz w:val="16"/>
                <w:szCs w:val="16"/>
              </w:rPr>
            </w:pPr>
            <w:r w:rsidRPr="000977D1">
              <w:rPr>
                <w:rFonts w:cs="Segoe UI"/>
                <w:sz w:val="16"/>
                <w:szCs w:val="16"/>
              </w:rPr>
              <w:t>-4</w:t>
            </w:r>
          </w:p>
        </w:tc>
        <w:tc>
          <w:tcPr>
            <w:tcW w:w="992" w:type="dxa"/>
            <w:shd w:val="clear" w:color="000000" w:fill="FFFFFF"/>
            <w:noWrap/>
            <w:vAlign w:val="bottom"/>
            <w:hideMark/>
          </w:tcPr>
          <w:p w14:paraId="2F1BA794" w14:textId="77777777" w:rsidR="00E157DD" w:rsidRPr="000977D1" w:rsidRDefault="00E157DD" w:rsidP="00A61D6F">
            <w:pPr>
              <w:pStyle w:val="Tabletext"/>
              <w:jc w:val="right"/>
              <w:rPr>
                <w:rFonts w:cs="Segoe UI"/>
                <w:sz w:val="16"/>
                <w:szCs w:val="16"/>
              </w:rPr>
            </w:pPr>
            <w:r w:rsidRPr="000977D1">
              <w:rPr>
                <w:rFonts w:cs="Segoe UI"/>
                <w:sz w:val="16"/>
                <w:szCs w:val="16"/>
              </w:rPr>
              <w:t>81</w:t>
            </w:r>
          </w:p>
        </w:tc>
      </w:tr>
      <w:tr w:rsidR="00E157DD" w:rsidRPr="000977D1" w14:paraId="2E0401A3" w14:textId="77777777" w:rsidTr="00A161F3">
        <w:trPr>
          <w:cantSplit/>
        </w:trPr>
        <w:tc>
          <w:tcPr>
            <w:tcW w:w="1843" w:type="dxa"/>
            <w:shd w:val="clear" w:color="000000" w:fill="FFFFFF"/>
            <w:noWrap/>
            <w:vAlign w:val="bottom"/>
            <w:hideMark/>
          </w:tcPr>
          <w:p w14:paraId="276D7290" w14:textId="77777777" w:rsidR="00E157DD" w:rsidRPr="000977D1" w:rsidRDefault="00E157DD" w:rsidP="00A61D6F">
            <w:pPr>
              <w:pStyle w:val="Tabletext"/>
              <w:rPr>
                <w:rFonts w:cs="Segoe UI"/>
                <w:b/>
                <w:bCs/>
                <w:sz w:val="16"/>
                <w:szCs w:val="16"/>
              </w:rPr>
            </w:pPr>
            <w:r w:rsidRPr="000977D1">
              <w:rPr>
                <w:rFonts w:cs="Segoe UI"/>
                <w:b/>
                <w:bCs/>
                <w:sz w:val="16"/>
                <w:szCs w:val="16"/>
              </w:rPr>
              <w:t>Total</w:t>
            </w:r>
          </w:p>
        </w:tc>
        <w:tc>
          <w:tcPr>
            <w:tcW w:w="987" w:type="dxa"/>
            <w:shd w:val="clear" w:color="000000" w:fill="FFFFFF"/>
            <w:noWrap/>
            <w:vAlign w:val="bottom"/>
            <w:hideMark/>
          </w:tcPr>
          <w:p w14:paraId="2CD0CDBD" w14:textId="77777777" w:rsidR="00E157DD" w:rsidRPr="000977D1" w:rsidRDefault="00E157DD" w:rsidP="00A61D6F">
            <w:pPr>
              <w:pStyle w:val="Tabletext"/>
              <w:jc w:val="right"/>
              <w:rPr>
                <w:rFonts w:cs="Segoe UI"/>
                <w:b/>
                <w:bCs/>
                <w:sz w:val="16"/>
                <w:szCs w:val="16"/>
              </w:rPr>
            </w:pPr>
            <w:r w:rsidRPr="000977D1">
              <w:rPr>
                <w:rFonts w:cs="Segoe UI"/>
                <w:b/>
                <w:bCs/>
                <w:sz w:val="16"/>
                <w:szCs w:val="16"/>
              </w:rPr>
              <w:t>0</w:t>
            </w:r>
          </w:p>
        </w:tc>
        <w:tc>
          <w:tcPr>
            <w:tcW w:w="992" w:type="dxa"/>
            <w:shd w:val="clear" w:color="000000" w:fill="FFFFFF"/>
            <w:noWrap/>
            <w:vAlign w:val="bottom"/>
            <w:hideMark/>
          </w:tcPr>
          <w:p w14:paraId="617193D0" w14:textId="77777777" w:rsidR="00E157DD" w:rsidRPr="000977D1" w:rsidRDefault="00E157DD" w:rsidP="00A61D6F">
            <w:pPr>
              <w:pStyle w:val="Tabletext"/>
              <w:jc w:val="right"/>
              <w:rPr>
                <w:rFonts w:cs="Segoe UI"/>
                <w:b/>
                <w:bCs/>
                <w:sz w:val="16"/>
                <w:szCs w:val="16"/>
              </w:rPr>
            </w:pPr>
            <w:r w:rsidRPr="000977D1">
              <w:rPr>
                <w:rFonts w:cs="Segoe UI"/>
                <w:b/>
                <w:bCs/>
                <w:sz w:val="16"/>
                <w:szCs w:val="16"/>
              </w:rPr>
              <w:t>-111</w:t>
            </w:r>
          </w:p>
        </w:tc>
        <w:tc>
          <w:tcPr>
            <w:tcW w:w="851" w:type="dxa"/>
            <w:shd w:val="clear" w:color="000000" w:fill="FFFFFF"/>
            <w:noWrap/>
            <w:vAlign w:val="bottom"/>
            <w:hideMark/>
          </w:tcPr>
          <w:p w14:paraId="5D408FB1" w14:textId="77777777" w:rsidR="00E157DD" w:rsidRPr="000977D1" w:rsidRDefault="00E157DD" w:rsidP="00A61D6F">
            <w:pPr>
              <w:pStyle w:val="Tabletext"/>
              <w:jc w:val="right"/>
              <w:rPr>
                <w:rFonts w:cs="Segoe UI"/>
                <w:b/>
                <w:bCs/>
                <w:sz w:val="16"/>
                <w:szCs w:val="16"/>
              </w:rPr>
            </w:pPr>
            <w:r w:rsidRPr="000977D1">
              <w:rPr>
                <w:rFonts w:cs="Segoe UI"/>
                <w:b/>
                <w:bCs/>
                <w:sz w:val="16"/>
                <w:szCs w:val="16"/>
              </w:rPr>
              <w:t>-117</w:t>
            </w:r>
          </w:p>
        </w:tc>
        <w:tc>
          <w:tcPr>
            <w:tcW w:w="850" w:type="dxa"/>
            <w:shd w:val="clear" w:color="000000" w:fill="FFFFFF"/>
            <w:noWrap/>
            <w:vAlign w:val="bottom"/>
            <w:hideMark/>
          </w:tcPr>
          <w:p w14:paraId="10D5602E" w14:textId="77777777" w:rsidR="00E157DD" w:rsidRPr="000977D1" w:rsidRDefault="00E157DD" w:rsidP="00A61D6F">
            <w:pPr>
              <w:pStyle w:val="Tabletext"/>
              <w:jc w:val="right"/>
              <w:rPr>
                <w:rFonts w:cs="Segoe UI"/>
                <w:b/>
                <w:bCs/>
                <w:sz w:val="16"/>
                <w:szCs w:val="16"/>
              </w:rPr>
            </w:pPr>
            <w:r w:rsidRPr="000977D1">
              <w:rPr>
                <w:rFonts w:cs="Segoe UI"/>
                <w:b/>
                <w:bCs/>
                <w:sz w:val="16"/>
                <w:szCs w:val="16"/>
              </w:rPr>
              <w:t>-124</w:t>
            </w:r>
          </w:p>
        </w:tc>
        <w:tc>
          <w:tcPr>
            <w:tcW w:w="851" w:type="dxa"/>
            <w:shd w:val="clear" w:color="000000" w:fill="FFFFFF"/>
            <w:noWrap/>
            <w:vAlign w:val="bottom"/>
            <w:hideMark/>
          </w:tcPr>
          <w:p w14:paraId="64D7873F" w14:textId="77777777" w:rsidR="00E157DD" w:rsidRPr="000977D1" w:rsidRDefault="00E157DD" w:rsidP="00A61D6F">
            <w:pPr>
              <w:pStyle w:val="Tabletext"/>
              <w:jc w:val="right"/>
              <w:rPr>
                <w:rFonts w:cs="Segoe UI"/>
                <w:b/>
                <w:bCs/>
                <w:sz w:val="16"/>
                <w:szCs w:val="16"/>
              </w:rPr>
            </w:pPr>
            <w:r w:rsidRPr="000977D1">
              <w:rPr>
                <w:rFonts w:cs="Segoe UI"/>
                <w:b/>
                <w:bCs/>
                <w:sz w:val="16"/>
                <w:szCs w:val="16"/>
              </w:rPr>
              <w:t>-123</w:t>
            </w:r>
          </w:p>
        </w:tc>
        <w:tc>
          <w:tcPr>
            <w:tcW w:w="992" w:type="dxa"/>
            <w:shd w:val="clear" w:color="000000" w:fill="FFFFFF"/>
            <w:noWrap/>
            <w:vAlign w:val="bottom"/>
            <w:hideMark/>
          </w:tcPr>
          <w:p w14:paraId="3B6C611E" w14:textId="77777777" w:rsidR="00E157DD" w:rsidRPr="000977D1" w:rsidRDefault="00E157DD" w:rsidP="00A61D6F">
            <w:pPr>
              <w:pStyle w:val="Tabletext"/>
              <w:jc w:val="right"/>
              <w:rPr>
                <w:rFonts w:cs="Segoe UI"/>
                <w:b/>
                <w:bCs/>
                <w:sz w:val="16"/>
                <w:szCs w:val="16"/>
              </w:rPr>
            </w:pPr>
            <w:r w:rsidRPr="000977D1">
              <w:rPr>
                <w:rFonts w:cs="Segoe UI"/>
                <w:b/>
                <w:bCs/>
                <w:sz w:val="16"/>
                <w:szCs w:val="16"/>
              </w:rPr>
              <w:t>-122</w:t>
            </w:r>
          </w:p>
        </w:tc>
        <w:tc>
          <w:tcPr>
            <w:tcW w:w="992" w:type="dxa"/>
            <w:shd w:val="clear" w:color="000000" w:fill="FFFFFF"/>
            <w:noWrap/>
            <w:vAlign w:val="bottom"/>
            <w:hideMark/>
          </w:tcPr>
          <w:p w14:paraId="47D67E96" w14:textId="77777777" w:rsidR="00E157DD" w:rsidRPr="000977D1" w:rsidRDefault="00E157DD" w:rsidP="00A61D6F">
            <w:pPr>
              <w:pStyle w:val="Tabletext"/>
              <w:jc w:val="right"/>
              <w:rPr>
                <w:rFonts w:cs="Segoe UI"/>
                <w:b/>
                <w:bCs/>
                <w:sz w:val="16"/>
                <w:szCs w:val="16"/>
              </w:rPr>
            </w:pPr>
            <w:r w:rsidRPr="000977D1">
              <w:rPr>
                <w:rFonts w:cs="Segoe UI"/>
                <w:b/>
                <w:bCs/>
                <w:sz w:val="16"/>
                <w:szCs w:val="16"/>
              </w:rPr>
              <w:t>-148</w:t>
            </w:r>
          </w:p>
        </w:tc>
        <w:tc>
          <w:tcPr>
            <w:tcW w:w="851" w:type="dxa"/>
            <w:shd w:val="clear" w:color="000000" w:fill="FFFFFF"/>
            <w:noWrap/>
            <w:vAlign w:val="bottom"/>
            <w:hideMark/>
          </w:tcPr>
          <w:p w14:paraId="0AC30D4C" w14:textId="77777777" w:rsidR="00E157DD" w:rsidRPr="000977D1" w:rsidRDefault="00E157DD" w:rsidP="00A61D6F">
            <w:pPr>
              <w:pStyle w:val="Tabletext"/>
              <w:jc w:val="right"/>
              <w:rPr>
                <w:rFonts w:cs="Segoe UI"/>
                <w:b/>
                <w:bCs/>
                <w:sz w:val="16"/>
                <w:szCs w:val="16"/>
              </w:rPr>
            </w:pPr>
            <w:r w:rsidRPr="000977D1">
              <w:rPr>
                <w:rFonts w:cs="Segoe UI"/>
                <w:b/>
                <w:bCs/>
                <w:sz w:val="16"/>
                <w:szCs w:val="16"/>
              </w:rPr>
              <w:t>-259</w:t>
            </w:r>
          </w:p>
        </w:tc>
        <w:tc>
          <w:tcPr>
            <w:tcW w:w="992" w:type="dxa"/>
            <w:shd w:val="clear" w:color="000000" w:fill="FFFFFF"/>
            <w:noWrap/>
            <w:vAlign w:val="bottom"/>
            <w:hideMark/>
          </w:tcPr>
          <w:p w14:paraId="77E1D70D" w14:textId="77777777" w:rsidR="00E157DD" w:rsidRPr="000977D1" w:rsidRDefault="00E157DD" w:rsidP="00A61D6F">
            <w:pPr>
              <w:pStyle w:val="Tabletext"/>
              <w:jc w:val="right"/>
              <w:rPr>
                <w:rFonts w:cs="Segoe UI"/>
                <w:b/>
                <w:bCs/>
                <w:sz w:val="16"/>
                <w:szCs w:val="16"/>
              </w:rPr>
            </w:pPr>
            <w:r w:rsidRPr="000977D1">
              <w:rPr>
                <w:rFonts w:cs="Segoe UI"/>
                <w:b/>
                <w:bCs/>
                <w:sz w:val="16"/>
                <w:szCs w:val="16"/>
              </w:rPr>
              <w:t>-1,434</w:t>
            </w:r>
          </w:p>
        </w:tc>
      </w:tr>
    </w:tbl>
    <w:p w14:paraId="0A53FC58" w14:textId="44333B2D" w:rsidR="007170EB" w:rsidRDefault="00271956" w:rsidP="00271956">
      <w:r w:rsidRPr="000745E5">
        <w:t>Source: ABS cat. 5204, 5209; BCAR calculations</w:t>
      </w:r>
    </w:p>
    <w:p w14:paraId="7C7214E5" w14:textId="77777777" w:rsidR="007170EB" w:rsidRDefault="007170EB">
      <w:pPr>
        <w:spacing w:after="160" w:line="259" w:lineRule="auto"/>
      </w:pPr>
      <w:r>
        <w:br w:type="page"/>
      </w:r>
    </w:p>
    <w:p w14:paraId="0327C5AB" w14:textId="50C0F4F1" w:rsidR="00626639" w:rsidRDefault="00E33C50" w:rsidP="00626639">
      <w:pPr>
        <w:pStyle w:val="Heading2"/>
      </w:pPr>
      <w:bookmarkStart w:id="6" w:name="_Toc54081700"/>
      <w:r>
        <w:lastRenderedPageBreak/>
        <w:t>Appendix A</w:t>
      </w:r>
      <w:r w:rsidR="00F52169">
        <w:t>—</w:t>
      </w:r>
      <w:r w:rsidR="00626639">
        <w:t xml:space="preserve">Detailed </w:t>
      </w:r>
      <w:r>
        <w:t xml:space="preserve">explanatory </w:t>
      </w:r>
      <w:r w:rsidR="00626639">
        <w:t>notes</w:t>
      </w:r>
      <w:bookmarkEnd w:id="6"/>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Caption w:val="Detailed explanatory notes"/>
        <w:tblDescription w:val="Detailed explanatory notes&#10;&#10;This table provides the detailed explanatory notes of tables and figures shown in the BCAR workbook: Cultural and creative activity in Australia, 2008-09 to 2017-18"/>
      </w:tblPr>
      <w:tblGrid>
        <w:gridCol w:w="2835"/>
        <w:gridCol w:w="6379"/>
      </w:tblGrid>
      <w:tr w:rsidR="004A413A" w14:paraId="3B3F7C0D" w14:textId="77777777" w:rsidTr="00DE46CD">
        <w:trPr>
          <w:cantSplit/>
          <w:tblHeader/>
        </w:trPr>
        <w:tc>
          <w:tcPr>
            <w:tcW w:w="2835" w:type="dxa"/>
            <w:tcBorders>
              <w:top w:val="nil"/>
              <w:left w:val="nil"/>
              <w:bottom w:val="thickThinLargeGap" w:sz="24" w:space="0" w:color="auto"/>
              <w:right w:val="nil"/>
            </w:tcBorders>
            <w:shd w:val="clear" w:color="auto" w:fill="0066AB"/>
          </w:tcPr>
          <w:p w14:paraId="5DC47EBA" w14:textId="72FCC22A" w:rsidR="004A413A" w:rsidRDefault="004A413A" w:rsidP="001E411F">
            <w:pPr>
              <w:pStyle w:val="Tablerowcolumnheading"/>
            </w:pPr>
            <w:r>
              <w:t xml:space="preserve">Table/ </w:t>
            </w:r>
            <w:r w:rsidR="00626639">
              <w:t>f</w:t>
            </w:r>
            <w:r>
              <w:t>igure</w:t>
            </w:r>
            <w:r w:rsidR="009371AE">
              <w:t> </w:t>
            </w:r>
            <w:r w:rsidR="00626639">
              <w:t>n</w:t>
            </w:r>
            <w:r>
              <w:t>ame</w:t>
            </w:r>
          </w:p>
        </w:tc>
        <w:tc>
          <w:tcPr>
            <w:tcW w:w="6379" w:type="dxa"/>
            <w:tcBorders>
              <w:top w:val="nil"/>
              <w:left w:val="nil"/>
              <w:bottom w:val="thickThinLargeGap" w:sz="24" w:space="0" w:color="auto"/>
              <w:right w:val="nil"/>
            </w:tcBorders>
            <w:shd w:val="clear" w:color="auto" w:fill="0066AB"/>
            <w:hideMark/>
          </w:tcPr>
          <w:p w14:paraId="563E9DFB" w14:textId="77777777" w:rsidR="004A413A" w:rsidRDefault="004A413A" w:rsidP="001E411F">
            <w:pPr>
              <w:pStyle w:val="Tablerowcolumnheading"/>
            </w:pPr>
            <w:r>
              <w:t>Explanatory notes</w:t>
            </w:r>
          </w:p>
        </w:tc>
      </w:tr>
      <w:tr w:rsidR="00F37141" w14:paraId="3D68BAF9" w14:textId="77777777" w:rsidTr="00DE46CD">
        <w:trPr>
          <w:cantSplit/>
        </w:trPr>
        <w:tc>
          <w:tcPr>
            <w:tcW w:w="2835" w:type="dxa"/>
            <w:tcBorders>
              <w:top w:val="thickThinLargeGap" w:sz="24" w:space="0" w:color="auto"/>
              <w:left w:val="nil"/>
              <w:bottom w:val="single" w:sz="4" w:space="0" w:color="auto"/>
              <w:right w:val="nil"/>
            </w:tcBorders>
          </w:tcPr>
          <w:p w14:paraId="0D86DEB6" w14:textId="3F44D285" w:rsidR="00F37141" w:rsidRPr="00431AE8" w:rsidRDefault="00F37141" w:rsidP="0074404B">
            <w:pPr>
              <w:pStyle w:val="Tabletext"/>
              <w:ind w:right="38"/>
            </w:pPr>
            <w:r>
              <w:t>Table</w:t>
            </w:r>
            <w:r w:rsidR="009371AE">
              <w:t> </w:t>
            </w:r>
            <w:r>
              <w:t xml:space="preserve">1. </w:t>
            </w:r>
            <w:r w:rsidRPr="00B72201">
              <w:t xml:space="preserve">Cultural and creative activity </w:t>
            </w:r>
            <w:r w:rsidR="00A61D6F">
              <w:t>2008–09</w:t>
            </w:r>
            <w:r w:rsidR="00686989">
              <w:t xml:space="preserve"> </w:t>
            </w:r>
            <w:r w:rsidRPr="00B72201">
              <w:t xml:space="preserve">and </w:t>
            </w:r>
            <w:r w:rsidR="00686989">
              <w:t>2017–18</w:t>
            </w:r>
          </w:p>
        </w:tc>
        <w:tc>
          <w:tcPr>
            <w:tcW w:w="6379" w:type="dxa"/>
            <w:tcBorders>
              <w:top w:val="thickThinLargeGap" w:sz="24" w:space="0" w:color="auto"/>
              <w:left w:val="nil"/>
              <w:bottom w:val="single" w:sz="4" w:space="0" w:color="auto"/>
              <w:right w:val="nil"/>
            </w:tcBorders>
          </w:tcPr>
          <w:p w14:paraId="327724B8" w14:textId="31125EBD" w:rsidR="00F37141" w:rsidRDefault="00F37141" w:rsidP="00667FCB">
            <w:pPr>
              <w:pStyle w:val="Listparagraphbullets"/>
              <w:spacing w:after="0"/>
              <w:ind w:left="284" w:hanging="284"/>
              <w:rPr>
                <w:lang w:eastAsia="en-AU"/>
              </w:rPr>
            </w:pPr>
            <w:r>
              <w:rPr>
                <w:lang w:eastAsia="en-AU"/>
              </w:rPr>
              <w:t>C</w:t>
            </w:r>
            <w:r w:rsidRPr="00486116">
              <w:rPr>
                <w:lang w:eastAsia="en-AU"/>
              </w:rPr>
              <w:t>ultural and creative activity in Australia grew to $115.2</w:t>
            </w:r>
            <w:r>
              <w:rPr>
                <w:lang w:eastAsia="en-AU"/>
              </w:rPr>
              <w:t xml:space="preserve"> billion in </w:t>
            </w:r>
            <w:r w:rsidR="00686989">
              <w:rPr>
                <w:lang w:eastAsia="en-AU"/>
              </w:rPr>
              <w:t>2017–18</w:t>
            </w:r>
            <w:r w:rsidRPr="00486116">
              <w:rPr>
                <w:lang w:eastAsia="en-AU"/>
              </w:rPr>
              <w:t>, an increase of $29.2</w:t>
            </w:r>
            <w:r>
              <w:rPr>
                <w:lang w:eastAsia="en-AU"/>
              </w:rPr>
              <w:t> billion</w:t>
            </w:r>
            <w:r w:rsidRPr="00486116">
              <w:rPr>
                <w:lang w:eastAsia="en-AU"/>
              </w:rPr>
              <w:t xml:space="preserve"> or 34.0</w:t>
            </w:r>
            <w:r w:rsidR="00667FCB">
              <w:rPr>
                <w:lang w:eastAsia="en-AU"/>
              </w:rPr>
              <w:t> per cent over the last 10 </w:t>
            </w:r>
            <w:r>
              <w:rPr>
                <w:lang w:eastAsia="en-AU"/>
              </w:rPr>
              <w:t>years</w:t>
            </w:r>
            <w:r w:rsidR="00A61D6F">
              <w:rPr>
                <w:lang w:eastAsia="en-AU"/>
              </w:rPr>
              <w:t>.</w:t>
            </w:r>
          </w:p>
          <w:p w14:paraId="1FC883D5" w14:textId="4896A292" w:rsidR="00F37141" w:rsidRPr="00486116" w:rsidRDefault="00F37141" w:rsidP="00667FCB">
            <w:pPr>
              <w:pStyle w:val="Listparagraphbullets"/>
              <w:spacing w:after="0"/>
              <w:ind w:left="284" w:hanging="284"/>
              <w:rPr>
                <w:lang w:eastAsia="en-AU"/>
              </w:rPr>
            </w:pPr>
            <w:r w:rsidRPr="00486116">
              <w:rPr>
                <w:lang w:eastAsia="en-AU"/>
              </w:rPr>
              <w:t>As a share of GDP, cultural and creative activity declined by 0.6</w:t>
            </w:r>
            <w:r w:rsidR="00D67568">
              <w:rPr>
                <w:lang w:eastAsia="en-AU"/>
              </w:rPr>
              <w:t> </w:t>
            </w:r>
            <w:r w:rsidRPr="00486116">
              <w:rPr>
                <w:lang w:eastAsia="en-AU"/>
              </w:rPr>
              <w:t>percentage po</w:t>
            </w:r>
            <w:r>
              <w:rPr>
                <w:lang w:eastAsia="en-AU"/>
              </w:rPr>
              <w:t xml:space="preserve">ints, from 6.9 per cent in </w:t>
            </w:r>
            <w:r w:rsidR="00686989">
              <w:rPr>
                <w:lang w:eastAsia="en-AU"/>
              </w:rPr>
              <w:t xml:space="preserve">2008–09 </w:t>
            </w:r>
            <w:r w:rsidRPr="00486116">
              <w:rPr>
                <w:lang w:eastAsia="en-AU"/>
              </w:rPr>
              <w:t>to 6.</w:t>
            </w:r>
            <w:r w:rsidR="00A9632B">
              <w:rPr>
                <w:lang w:eastAsia="en-AU"/>
              </w:rPr>
              <w:t>3</w:t>
            </w:r>
            <w:r>
              <w:rPr>
                <w:lang w:eastAsia="en-AU"/>
              </w:rPr>
              <w:t> per cent</w:t>
            </w:r>
            <w:r w:rsidRPr="00486116">
              <w:rPr>
                <w:lang w:eastAsia="en-AU"/>
              </w:rPr>
              <w:t xml:space="preserve"> in </w:t>
            </w:r>
            <w:r w:rsidR="00686989">
              <w:rPr>
                <w:lang w:eastAsia="en-AU"/>
              </w:rPr>
              <w:t>2017–18</w:t>
            </w:r>
            <w:r w:rsidRPr="00486116">
              <w:rPr>
                <w:lang w:eastAsia="en-AU"/>
              </w:rPr>
              <w:t>.</w:t>
            </w:r>
          </w:p>
          <w:p w14:paraId="6A7645D0" w14:textId="77777777" w:rsidR="00F37141" w:rsidRDefault="00F37141" w:rsidP="00667FCB">
            <w:pPr>
              <w:pStyle w:val="Listparagraphbullets"/>
              <w:spacing w:after="0"/>
              <w:ind w:left="284" w:hanging="284"/>
              <w:rPr>
                <w:lang w:eastAsia="en-AU"/>
              </w:rPr>
            </w:pPr>
            <w:r w:rsidRPr="00486116">
              <w:rPr>
                <w:lang w:eastAsia="en-AU"/>
              </w:rPr>
              <w:t>Examining the breakdown of cultural and creative activity</w:t>
            </w:r>
            <w:r>
              <w:rPr>
                <w:lang w:eastAsia="en-AU"/>
              </w:rPr>
              <w:t>:</w:t>
            </w:r>
          </w:p>
          <w:p w14:paraId="5459B7A6" w14:textId="0E067461" w:rsidR="00A9632B" w:rsidRDefault="00F37141" w:rsidP="00667FCB">
            <w:pPr>
              <w:pStyle w:val="Listparagraphbulletssecondlevel"/>
              <w:spacing w:after="0"/>
              <w:ind w:left="568" w:hanging="284"/>
              <w:rPr>
                <w:lang w:eastAsia="en-AU"/>
              </w:rPr>
            </w:pPr>
            <w:r>
              <w:rPr>
                <w:lang w:eastAsia="en-AU"/>
              </w:rPr>
              <w:t>C</w:t>
            </w:r>
            <w:r w:rsidRPr="00486116">
              <w:rPr>
                <w:lang w:eastAsia="en-AU"/>
              </w:rPr>
              <w:t>ultural activity grew from $51.4</w:t>
            </w:r>
            <w:r>
              <w:rPr>
                <w:lang w:eastAsia="en-AU"/>
              </w:rPr>
              <w:t> billion</w:t>
            </w:r>
            <w:r w:rsidRPr="00486116">
              <w:rPr>
                <w:lang w:eastAsia="en-AU"/>
              </w:rPr>
              <w:t xml:space="preserve"> in </w:t>
            </w:r>
            <w:r w:rsidR="00686989">
              <w:rPr>
                <w:lang w:eastAsia="en-AU"/>
              </w:rPr>
              <w:t xml:space="preserve">2008–09 </w:t>
            </w:r>
            <w:r w:rsidRPr="00486116">
              <w:rPr>
                <w:lang w:eastAsia="en-AU"/>
              </w:rPr>
              <w:t>to $65.3</w:t>
            </w:r>
            <w:r>
              <w:rPr>
                <w:lang w:eastAsia="en-AU"/>
              </w:rPr>
              <w:t> billion</w:t>
            </w:r>
            <w:r w:rsidRPr="00486116">
              <w:rPr>
                <w:lang w:eastAsia="en-AU"/>
              </w:rPr>
              <w:t xml:space="preserve"> in </w:t>
            </w:r>
            <w:r w:rsidR="00686989">
              <w:rPr>
                <w:lang w:eastAsia="en-AU"/>
              </w:rPr>
              <w:t>2017–18</w:t>
            </w:r>
            <w:r w:rsidRPr="00486116">
              <w:rPr>
                <w:lang w:eastAsia="en-AU"/>
              </w:rPr>
              <w:t>, while its share of GDP declined from 4.1</w:t>
            </w:r>
            <w:r>
              <w:rPr>
                <w:lang w:eastAsia="en-AU"/>
              </w:rPr>
              <w:t> per cent</w:t>
            </w:r>
            <w:r w:rsidRPr="00486116">
              <w:rPr>
                <w:lang w:eastAsia="en-AU"/>
              </w:rPr>
              <w:t xml:space="preserve"> to 3.6</w:t>
            </w:r>
            <w:r>
              <w:rPr>
                <w:lang w:eastAsia="en-AU"/>
              </w:rPr>
              <w:t> per cent</w:t>
            </w:r>
            <w:r w:rsidRPr="00486116">
              <w:rPr>
                <w:lang w:eastAsia="en-AU"/>
              </w:rPr>
              <w:t xml:space="preserve"> over this period. </w:t>
            </w:r>
          </w:p>
          <w:p w14:paraId="5CDDA0A5" w14:textId="5292F3AD" w:rsidR="00F37141" w:rsidRPr="00A9632B" w:rsidRDefault="00F37141" w:rsidP="00667FCB">
            <w:pPr>
              <w:pStyle w:val="Listparagraphbulletssecondlevel"/>
              <w:spacing w:after="0"/>
              <w:ind w:left="568" w:hanging="284"/>
              <w:rPr>
                <w:lang w:eastAsia="en-AU"/>
              </w:rPr>
            </w:pPr>
            <w:r w:rsidRPr="00A9632B">
              <w:rPr>
                <w:lang w:eastAsia="en-AU"/>
              </w:rPr>
              <w:t xml:space="preserve">Creative activity increased from $75.2 billion in </w:t>
            </w:r>
            <w:r w:rsidR="00686989">
              <w:rPr>
                <w:lang w:eastAsia="en-AU"/>
              </w:rPr>
              <w:t xml:space="preserve">2008–09 </w:t>
            </w:r>
            <w:r w:rsidRPr="00A9632B">
              <w:rPr>
                <w:lang w:eastAsia="en-AU"/>
              </w:rPr>
              <w:t xml:space="preserve">to $102.7 billion in </w:t>
            </w:r>
            <w:r w:rsidR="00686989">
              <w:rPr>
                <w:lang w:eastAsia="en-AU"/>
              </w:rPr>
              <w:t>2017–18</w:t>
            </w:r>
            <w:r w:rsidRPr="00A9632B">
              <w:rPr>
                <w:lang w:eastAsia="en-AU"/>
              </w:rPr>
              <w:t>, while its share of GDP declined from 6.0 per cent to 5.6 per cent over this period.</w:t>
            </w:r>
          </w:p>
        </w:tc>
      </w:tr>
      <w:tr w:rsidR="00F37141" w14:paraId="7C783045" w14:textId="77777777" w:rsidTr="00DE46CD">
        <w:trPr>
          <w:cantSplit/>
        </w:trPr>
        <w:tc>
          <w:tcPr>
            <w:tcW w:w="2835" w:type="dxa"/>
            <w:tcBorders>
              <w:top w:val="single" w:sz="4" w:space="0" w:color="auto"/>
              <w:left w:val="nil"/>
              <w:bottom w:val="single" w:sz="4" w:space="0" w:color="auto"/>
              <w:right w:val="nil"/>
            </w:tcBorders>
            <w:shd w:val="clear" w:color="auto" w:fill="E4E4E4"/>
          </w:tcPr>
          <w:p w14:paraId="75D9C4E9" w14:textId="19D82D7E" w:rsidR="00F37141" w:rsidRPr="00431AE8" w:rsidRDefault="00F37141" w:rsidP="00A61D6F">
            <w:pPr>
              <w:pStyle w:val="Tabletext"/>
            </w:pPr>
            <w:r>
              <w:t>Figure</w:t>
            </w:r>
            <w:r w:rsidR="009371AE">
              <w:t> </w:t>
            </w:r>
            <w:r>
              <w:t xml:space="preserve">1. </w:t>
            </w:r>
            <w:r w:rsidRPr="00C91791">
              <w:t xml:space="preserve">Cultural and creative activity, </w:t>
            </w:r>
            <w:r w:rsidR="00686989">
              <w:t>2017–18</w:t>
            </w:r>
          </w:p>
        </w:tc>
        <w:tc>
          <w:tcPr>
            <w:tcW w:w="6379" w:type="dxa"/>
            <w:tcBorders>
              <w:top w:val="single" w:sz="4" w:space="0" w:color="auto"/>
              <w:left w:val="nil"/>
              <w:bottom w:val="single" w:sz="4" w:space="0" w:color="auto"/>
              <w:right w:val="nil"/>
            </w:tcBorders>
            <w:shd w:val="clear" w:color="auto" w:fill="E4E4E4"/>
          </w:tcPr>
          <w:p w14:paraId="042B1B89" w14:textId="77777777" w:rsidR="00F37141" w:rsidRPr="00486116" w:rsidRDefault="00F37141" w:rsidP="00667FCB">
            <w:pPr>
              <w:pStyle w:val="Listparagraphbullets"/>
              <w:spacing w:after="0"/>
              <w:ind w:left="284" w:hanging="284"/>
              <w:rPr>
                <w:lang w:eastAsia="en-AU"/>
              </w:rPr>
            </w:pPr>
            <w:r w:rsidRPr="00486116">
              <w:rPr>
                <w:lang w:eastAsia="en-AU"/>
              </w:rPr>
              <w:t>Cultural and creative activity can be measured separately or as both cultural and creative activity.</w:t>
            </w:r>
          </w:p>
          <w:p w14:paraId="04CC0DFF" w14:textId="6C468428" w:rsidR="00F37141" w:rsidRDefault="00F37141" w:rsidP="00667FCB">
            <w:pPr>
              <w:pStyle w:val="Listparagraphbullets"/>
              <w:spacing w:after="0"/>
              <w:ind w:left="284" w:hanging="284"/>
              <w:rPr>
                <w:lang w:eastAsia="en-AU"/>
              </w:rPr>
            </w:pPr>
            <w:r w:rsidRPr="00486116">
              <w:rPr>
                <w:lang w:eastAsia="en-AU"/>
              </w:rPr>
              <w:t>Cultural activity contributed $65.3</w:t>
            </w:r>
            <w:r>
              <w:rPr>
                <w:lang w:eastAsia="en-AU"/>
              </w:rPr>
              <w:t> billion</w:t>
            </w:r>
            <w:r w:rsidRPr="00486116">
              <w:rPr>
                <w:lang w:eastAsia="en-AU"/>
              </w:rPr>
              <w:t xml:space="preserve"> or 3.6</w:t>
            </w:r>
            <w:r>
              <w:rPr>
                <w:lang w:eastAsia="en-AU"/>
              </w:rPr>
              <w:t> per cent</w:t>
            </w:r>
            <w:r w:rsidRPr="00486116">
              <w:rPr>
                <w:lang w:eastAsia="en-AU"/>
              </w:rPr>
              <w:t xml:space="preserve"> to GDP in </w:t>
            </w:r>
            <w:r w:rsidR="00686989">
              <w:rPr>
                <w:lang w:eastAsia="en-AU"/>
              </w:rPr>
              <w:t>2017–18</w:t>
            </w:r>
            <w:r w:rsidRPr="00486116">
              <w:rPr>
                <w:lang w:eastAsia="en-AU"/>
              </w:rPr>
              <w:t>, while creative activity contributed $102.7</w:t>
            </w:r>
            <w:r>
              <w:rPr>
                <w:lang w:eastAsia="en-AU"/>
              </w:rPr>
              <w:t> billion</w:t>
            </w:r>
            <w:r w:rsidRPr="00486116">
              <w:rPr>
                <w:lang w:eastAsia="en-AU"/>
              </w:rPr>
              <w:t xml:space="preserve"> or 5.6</w:t>
            </w:r>
            <w:r>
              <w:rPr>
                <w:lang w:eastAsia="en-AU"/>
              </w:rPr>
              <w:t> per cent</w:t>
            </w:r>
            <w:r w:rsidRPr="00486116">
              <w:rPr>
                <w:lang w:eastAsia="en-AU"/>
              </w:rPr>
              <w:t xml:space="preserve"> to GDP in </w:t>
            </w:r>
            <w:r w:rsidR="00686989">
              <w:rPr>
                <w:lang w:eastAsia="en-AU"/>
              </w:rPr>
              <w:t>2017–18</w:t>
            </w:r>
            <w:r w:rsidRPr="00486116">
              <w:rPr>
                <w:lang w:eastAsia="en-AU"/>
              </w:rPr>
              <w:t xml:space="preserve">. </w:t>
            </w:r>
          </w:p>
          <w:p w14:paraId="2023120D" w14:textId="498FD801" w:rsidR="00F37141" w:rsidRPr="00486116" w:rsidRDefault="00F37141" w:rsidP="00667FCB">
            <w:pPr>
              <w:pStyle w:val="Listparagraphbulletssecondlevel"/>
              <w:spacing w:after="0"/>
              <w:ind w:left="568" w:hanging="284"/>
              <w:rPr>
                <w:lang w:eastAsia="en-AU"/>
              </w:rPr>
            </w:pPr>
            <w:r w:rsidRPr="00486116">
              <w:rPr>
                <w:lang w:eastAsia="en-AU"/>
              </w:rPr>
              <w:t>There is considerable overlap of industries and occupations common with these segments. Activity identified as both cultural and creative accounted for $52.8</w:t>
            </w:r>
            <w:r>
              <w:rPr>
                <w:lang w:eastAsia="en-AU"/>
              </w:rPr>
              <w:t> billion</w:t>
            </w:r>
            <w:r w:rsidRPr="00486116">
              <w:rPr>
                <w:lang w:eastAsia="en-AU"/>
              </w:rPr>
              <w:t xml:space="preserve"> or </w:t>
            </w:r>
            <w:r w:rsidR="00BE3308">
              <w:rPr>
                <w:lang w:eastAsia="en-AU"/>
              </w:rPr>
              <w:t>2.9</w:t>
            </w:r>
            <w:r>
              <w:rPr>
                <w:lang w:eastAsia="en-AU"/>
              </w:rPr>
              <w:t> per cent</w:t>
            </w:r>
            <w:r w:rsidRPr="00486116">
              <w:rPr>
                <w:lang w:eastAsia="en-AU"/>
              </w:rPr>
              <w:t xml:space="preserve"> to GDP. This common activity is counted only once in the total for cultural and creative activity.</w:t>
            </w:r>
          </w:p>
        </w:tc>
      </w:tr>
      <w:tr w:rsidR="00F37141" w14:paraId="769F6E97" w14:textId="77777777" w:rsidTr="00DE46CD">
        <w:trPr>
          <w:cantSplit/>
        </w:trPr>
        <w:tc>
          <w:tcPr>
            <w:tcW w:w="2835" w:type="dxa"/>
            <w:tcBorders>
              <w:top w:val="single" w:sz="4" w:space="0" w:color="auto"/>
              <w:left w:val="nil"/>
              <w:bottom w:val="single" w:sz="4" w:space="0" w:color="auto"/>
              <w:right w:val="nil"/>
            </w:tcBorders>
          </w:tcPr>
          <w:p w14:paraId="29E0C612" w14:textId="508F53BD" w:rsidR="00F37141" w:rsidRPr="00431AE8" w:rsidRDefault="00F37141" w:rsidP="00A61D6F">
            <w:pPr>
              <w:pStyle w:val="Tabletext"/>
            </w:pPr>
            <w:r>
              <w:t>Figure</w:t>
            </w:r>
            <w:r w:rsidR="009371AE">
              <w:t> </w:t>
            </w:r>
            <w:r>
              <w:t xml:space="preserve">2. </w:t>
            </w:r>
            <w:r w:rsidRPr="00941602">
              <w:t xml:space="preserve">Cultural and creative industries, Gross Value Added (GVA) by domain </w:t>
            </w:r>
            <w:r w:rsidR="00686989">
              <w:t>2017–18</w:t>
            </w:r>
          </w:p>
        </w:tc>
        <w:tc>
          <w:tcPr>
            <w:tcW w:w="6379" w:type="dxa"/>
            <w:tcBorders>
              <w:top w:val="single" w:sz="4" w:space="0" w:color="auto"/>
              <w:left w:val="nil"/>
              <w:bottom w:val="single" w:sz="4" w:space="0" w:color="auto"/>
              <w:right w:val="nil"/>
            </w:tcBorders>
          </w:tcPr>
          <w:p w14:paraId="4B8634AB" w14:textId="121056D3" w:rsidR="00F37141" w:rsidRPr="00486116" w:rsidRDefault="00F37141" w:rsidP="00667FCB">
            <w:pPr>
              <w:pStyle w:val="Listparagraphbullets"/>
              <w:spacing w:after="0"/>
              <w:ind w:left="284" w:hanging="284"/>
              <w:rPr>
                <w:lang w:eastAsia="en-AU"/>
              </w:rPr>
            </w:pPr>
            <w:r w:rsidRPr="00486116">
              <w:rPr>
                <w:lang w:eastAsia="en-AU"/>
              </w:rPr>
              <w:t>The value of cultural and creative activity in industries considered to be cultural or creative was $88.1</w:t>
            </w:r>
            <w:r>
              <w:rPr>
                <w:lang w:eastAsia="en-AU"/>
              </w:rPr>
              <w:t> billion</w:t>
            </w:r>
            <w:r w:rsidRPr="00486116">
              <w:rPr>
                <w:lang w:eastAsia="en-AU"/>
              </w:rPr>
              <w:t xml:space="preserve"> in </w:t>
            </w:r>
            <w:r w:rsidR="00686989">
              <w:rPr>
                <w:lang w:eastAsia="en-AU"/>
              </w:rPr>
              <w:t>2017–18</w:t>
            </w:r>
            <w:r w:rsidRPr="00486116">
              <w:rPr>
                <w:lang w:eastAsia="en-AU"/>
              </w:rPr>
              <w:t>. The largest components were design at $44.1</w:t>
            </w:r>
            <w:r>
              <w:rPr>
                <w:lang w:eastAsia="en-AU"/>
              </w:rPr>
              <w:t> billion</w:t>
            </w:r>
            <w:r w:rsidRPr="00486116">
              <w:rPr>
                <w:lang w:eastAsia="en-AU"/>
              </w:rPr>
              <w:t>, fashion at $14.9</w:t>
            </w:r>
            <w:r>
              <w:rPr>
                <w:lang w:eastAsia="en-AU"/>
              </w:rPr>
              <w:t> billion</w:t>
            </w:r>
            <w:r w:rsidRPr="00486116">
              <w:rPr>
                <w:lang w:eastAsia="en-AU"/>
              </w:rPr>
              <w:t>, and broadcasting, electronic or digital media, and film at $9.7</w:t>
            </w:r>
            <w:r>
              <w:rPr>
                <w:lang w:eastAsia="en-AU"/>
              </w:rPr>
              <w:t> billion.</w:t>
            </w:r>
          </w:p>
        </w:tc>
      </w:tr>
      <w:tr w:rsidR="00F37141" w14:paraId="7EA1CE6A" w14:textId="77777777" w:rsidTr="00DE46CD">
        <w:trPr>
          <w:cantSplit/>
        </w:trPr>
        <w:tc>
          <w:tcPr>
            <w:tcW w:w="2835" w:type="dxa"/>
            <w:tcBorders>
              <w:top w:val="single" w:sz="4" w:space="0" w:color="auto"/>
              <w:left w:val="nil"/>
              <w:bottom w:val="single" w:sz="4" w:space="0" w:color="auto"/>
              <w:right w:val="nil"/>
            </w:tcBorders>
            <w:shd w:val="clear" w:color="auto" w:fill="E4E4E4"/>
          </w:tcPr>
          <w:p w14:paraId="5D629B54" w14:textId="5B0F7799" w:rsidR="00F37141" w:rsidRPr="00431AE8" w:rsidRDefault="00F37141" w:rsidP="00A61D6F">
            <w:pPr>
              <w:pStyle w:val="Tabletext"/>
            </w:pPr>
            <w:r>
              <w:t>Figure</w:t>
            </w:r>
            <w:r w:rsidR="009371AE">
              <w:t> </w:t>
            </w:r>
            <w:r>
              <w:t xml:space="preserve">3. </w:t>
            </w:r>
            <w:r w:rsidRPr="00941602">
              <w:t xml:space="preserve">Cultural and creative activity, </w:t>
            </w:r>
            <w:r w:rsidR="00686989">
              <w:t xml:space="preserve">2008–09 </w:t>
            </w:r>
            <w:r w:rsidRPr="00941602">
              <w:t xml:space="preserve">to </w:t>
            </w:r>
            <w:r w:rsidR="00686989">
              <w:t>2017–18</w:t>
            </w:r>
          </w:p>
        </w:tc>
        <w:tc>
          <w:tcPr>
            <w:tcW w:w="6379" w:type="dxa"/>
            <w:tcBorders>
              <w:top w:val="single" w:sz="4" w:space="0" w:color="auto"/>
              <w:left w:val="nil"/>
              <w:bottom w:val="single" w:sz="4" w:space="0" w:color="auto"/>
              <w:right w:val="nil"/>
            </w:tcBorders>
            <w:shd w:val="clear" w:color="auto" w:fill="E4E4E4"/>
          </w:tcPr>
          <w:p w14:paraId="2AEDC4C0" w14:textId="7AC80DD7" w:rsidR="00F37141" w:rsidRPr="00486116" w:rsidRDefault="00F37141" w:rsidP="00667FCB">
            <w:pPr>
              <w:pStyle w:val="Listparagraphbullets"/>
              <w:spacing w:after="0"/>
              <w:ind w:left="284" w:hanging="284"/>
              <w:rPr>
                <w:lang w:eastAsia="en-AU"/>
              </w:rPr>
            </w:pPr>
            <w:r w:rsidRPr="00486116">
              <w:rPr>
                <w:lang w:eastAsia="en-AU"/>
              </w:rPr>
              <w:t>Cultural and creative activity increased by $29.2</w:t>
            </w:r>
            <w:r>
              <w:rPr>
                <w:lang w:eastAsia="en-AU"/>
              </w:rPr>
              <w:t> billion</w:t>
            </w:r>
            <w:r w:rsidRPr="00486116">
              <w:rPr>
                <w:lang w:eastAsia="en-AU"/>
              </w:rPr>
              <w:t xml:space="preserve"> or 34.0</w:t>
            </w:r>
            <w:r>
              <w:rPr>
                <w:lang w:eastAsia="en-AU"/>
              </w:rPr>
              <w:t> per cent</w:t>
            </w:r>
            <w:r w:rsidRPr="00486116">
              <w:rPr>
                <w:lang w:eastAsia="en-AU"/>
              </w:rPr>
              <w:t xml:space="preserve"> from $86.0</w:t>
            </w:r>
            <w:r>
              <w:rPr>
                <w:lang w:eastAsia="en-AU"/>
              </w:rPr>
              <w:t> billion</w:t>
            </w:r>
            <w:r w:rsidRPr="00486116">
              <w:rPr>
                <w:lang w:eastAsia="en-AU"/>
              </w:rPr>
              <w:t xml:space="preserve"> in </w:t>
            </w:r>
            <w:r w:rsidR="00686989">
              <w:rPr>
                <w:lang w:eastAsia="en-AU"/>
              </w:rPr>
              <w:t xml:space="preserve">2008–09 </w:t>
            </w:r>
            <w:r w:rsidRPr="00486116">
              <w:rPr>
                <w:lang w:eastAsia="en-AU"/>
              </w:rPr>
              <w:t>to $115.2</w:t>
            </w:r>
            <w:r>
              <w:rPr>
                <w:lang w:eastAsia="en-AU"/>
              </w:rPr>
              <w:t> billion</w:t>
            </w:r>
            <w:r w:rsidRPr="00486116">
              <w:rPr>
                <w:lang w:eastAsia="en-AU"/>
              </w:rPr>
              <w:t xml:space="preserve"> in </w:t>
            </w:r>
            <w:r w:rsidR="00686989">
              <w:rPr>
                <w:lang w:eastAsia="en-AU"/>
              </w:rPr>
              <w:t>2017–18</w:t>
            </w:r>
            <w:r w:rsidRPr="00486116">
              <w:rPr>
                <w:lang w:eastAsia="en-AU"/>
              </w:rPr>
              <w:t>. This growth was driven mainly by an increase of $22.3</w:t>
            </w:r>
            <w:r>
              <w:rPr>
                <w:lang w:eastAsia="en-AU"/>
              </w:rPr>
              <w:t> billion</w:t>
            </w:r>
            <w:r w:rsidRPr="00486116">
              <w:rPr>
                <w:lang w:eastAsia="en-AU"/>
              </w:rPr>
              <w:t xml:space="preserve"> in GVA from cultural and creative industries—primarily from activities within professional, scientific and technical services.</w:t>
            </w:r>
          </w:p>
        </w:tc>
      </w:tr>
      <w:tr w:rsidR="00F37141" w14:paraId="528A976E" w14:textId="77777777" w:rsidTr="00DE46CD">
        <w:trPr>
          <w:cantSplit/>
        </w:trPr>
        <w:tc>
          <w:tcPr>
            <w:tcW w:w="2835" w:type="dxa"/>
            <w:tcBorders>
              <w:top w:val="single" w:sz="4" w:space="0" w:color="auto"/>
              <w:left w:val="nil"/>
              <w:bottom w:val="single" w:sz="4" w:space="0" w:color="auto"/>
              <w:right w:val="nil"/>
            </w:tcBorders>
            <w:shd w:val="clear" w:color="auto" w:fill="FFFFFF" w:themeFill="background1"/>
          </w:tcPr>
          <w:p w14:paraId="2078C274" w14:textId="7D502C22" w:rsidR="00F37141" w:rsidRPr="00431AE8" w:rsidRDefault="00F37141" w:rsidP="00A61D6F">
            <w:pPr>
              <w:pStyle w:val="Tabletext"/>
            </w:pPr>
            <w:r>
              <w:lastRenderedPageBreak/>
              <w:t>Table</w:t>
            </w:r>
            <w:r w:rsidR="009371AE">
              <w:t> </w:t>
            </w:r>
            <w:r>
              <w:t xml:space="preserve">2. </w:t>
            </w:r>
            <w:r w:rsidRPr="00FB606F">
              <w:t xml:space="preserve">Cultural and creative activity, share of GDP, </w:t>
            </w:r>
            <w:r w:rsidR="00686989">
              <w:t xml:space="preserve">2008–09 </w:t>
            </w:r>
            <w:r w:rsidRPr="00FB606F">
              <w:t xml:space="preserve">to </w:t>
            </w:r>
            <w:r w:rsidR="00686989">
              <w:t>2017–18</w:t>
            </w:r>
          </w:p>
        </w:tc>
        <w:tc>
          <w:tcPr>
            <w:tcW w:w="6379" w:type="dxa"/>
            <w:tcBorders>
              <w:top w:val="single" w:sz="4" w:space="0" w:color="auto"/>
              <w:left w:val="nil"/>
              <w:bottom w:val="single" w:sz="4" w:space="0" w:color="auto"/>
              <w:right w:val="nil"/>
            </w:tcBorders>
            <w:shd w:val="clear" w:color="auto" w:fill="FFFFFF" w:themeFill="background1"/>
          </w:tcPr>
          <w:p w14:paraId="44BD10B9" w14:textId="77777777" w:rsidR="00F37141" w:rsidRPr="00486116" w:rsidRDefault="00F37141" w:rsidP="00667FCB">
            <w:pPr>
              <w:pStyle w:val="Listparagraphbullets"/>
              <w:spacing w:after="0"/>
              <w:ind w:left="284" w:hanging="284"/>
              <w:rPr>
                <w:lang w:eastAsia="en-AU"/>
              </w:rPr>
            </w:pPr>
            <w:r w:rsidRPr="00486116">
              <w:rPr>
                <w:lang w:eastAsia="en-AU"/>
              </w:rPr>
              <w:t xml:space="preserve">Cultural and creative activity, on a satellite accounts basis, consists of four components: </w:t>
            </w:r>
          </w:p>
          <w:p w14:paraId="24375B2E" w14:textId="0574A2C9" w:rsidR="00F37141" w:rsidRPr="00667FCB" w:rsidRDefault="00831ED0" w:rsidP="00667FCB">
            <w:pPr>
              <w:pStyle w:val="Listparagraphbulletssecondlevel"/>
              <w:spacing w:after="0"/>
              <w:ind w:left="567" w:hanging="284"/>
            </w:pPr>
            <w:r>
              <w:rPr>
                <w:lang w:eastAsia="en-AU"/>
              </w:rPr>
              <w:t>Gr</w:t>
            </w:r>
            <w:r w:rsidRPr="00667FCB">
              <w:t>oss value added (</w:t>
            </w:r>
            <w:r w:rsidR="00F37141" w:rsidRPr="00667FCB">
              <w:t>GVA</w:t>
            </w:r>
            <w:r w:rsidRPr="00667FCB">
              <w:t>)</w:t>
            </w:r>
            <w:r w:rsidR="00F37141" w:rsidRPr="00667FCB">
              <w:t xml:space="preserve"> from cultural and creative industries increased by $22.3 billion or 34.0 per cent, from $65.8 billion in </w:t>
            </w:r>
            <w:r w:rsidR="00686989" w:rsidRPr="00667FCB">
              <w:t xml:space="preserve">2008–09 </w:t>
            </w:r>
            <w:r w:rsidR="00F37141" w:rsidRPr="00667FCB">
              <w:t xml:space="preserve">to $88.1 billion in </w:t>
            </w:r>
            <w:r w:rsidR="00686989" w:rsidRPr="00667FCB">
              <w:t>2017–18</w:t>
            </w:r>
            <w:r w:rsidR="00F37141" w:rsidRPr="00667FCB">
              <w:t>. Net taxes on products attributable</w:t>
            </w:r>
            <w:r w:rsidR="009371AE" w:rsidRPr="00667FCB">
              <w:t> </w:t>
            </w:r>
            <w:r w:rsidR="00F37141" w:rsidRPr="00667FCB">
              <w:t>to cultural and creative industries increased over the period by 5.0 per cent or $248 million.</w:t>
            </w:r>
          </w:p>
          <w:p w14:paraId="7AB1C29B" w14:textId="655FAA4D" w:rsidR="00F37141" w:rsidRPr="00667FCB" w:rsidRDefault="00F37141" w:rsidP="00667FCB">
            <w:pPr>
              <w:pStyle w:val="Listparagraphbulletssecondlevel"/>
              <w:spacing w:after="0"/>
              <w:ind w:left="567" w:hanging="284"/>
            </w:pPr>
            <w:r w:rsidRPr="00667FCB">
              <w:t xml:space="preserve">Compensation of </w:t>
            </w:r>
            <w:r w:rsidR="00B851D7" w:rsidRPr="00667FCB">
              <w:t>e</w:t>
            </w:r>
            <w:r w:rsidRPr="00667FCB">
              <w:t xml:space="preserve">mployees (COE) received by individuals working in cultural and creative occupations that are outside industries identified as cultural and creative was $21.9 billion in </w:t>
            </w:r>
            <w:r w:rsidR="00686989" w:rsidRPr="00667FCB">
              <w:t>2017–18</w:t>
            </w:r>
            <w:r w:rsidRPr="00667FCB">
              <w:t>. This grew by $6.6 billion or 43.7 per cent</w:t>
            </w:r>
            <w:r w:rsidR="001B6A30" w:rsidRPr="00667FCB">
              <w:t xml:space="preserve"> over the period.</w:t>
            </w:r>
          </w:p>
          <w:p w14:paraId="0E032710" w14:textId="499F807A" w:rsidR="00DF140B" w:rsidRPr="00667FCB" w:rsidRDefault="00F37141" w:rsidP="00667FCB">
            <w:pPr>
              <w:pStyle w:val="Listparagraphbulletssecondlevel"/>
              <w:spacing w:after="0"/>
              <w:ind w:left="567" w:hanging="284"/>
            </w:pPr>
            <w:r w:rsidRPr="00667FCB">
              <w:t xml:space="preserve">The value of volunteer services to arts and heritage organisations was $1.0 billion in </w:t>
            </w:r>
            <w:r w:rsidR="00686989" w:rsidRPr="00667FCB">
              <w:t>2017–18</w:t>
            </w:r>
            <w:r w:rsidRPr="00667FCB">
              <w:t xml:space="preserve">, $257 million more than in </w:t>
            </w:r>
            <w:r w:rsidR="00F52169" w:rsidRPr="00667FCB">
              <w:t>2008–09.</w:t>
            </w:r>
          </w:p>
          <w:p w14:paraId="53C89F0D" w14:textId="22C8407A" w:rsidR="00F37141" w:rsidRPr="00DF140B" w:rsidRDefault="00F37141" w:rsidP="00667FCB">
            <w:pPr>
              <w:pStyle w:val="Listparagraphbulletssecondlevel"/>
              <w:spacing w:after="0"/>
              <w:ind w:left="567" w:hanging="284"/>
              <w:rPr>
                <w:lang w:eastAsia="en-AU"/>
              </w:rPr>
            </w:pPr>
            <w:r w:rsidRPr="00667FCB">
              <w:t>Non</w:t>
            </w:r>
            <w:r w:rsidRPr="00667FCB">
              <w:noBreakHyphen/>
              <w:t>market output of marke</w:t>
            </w:r>
            <w:r w:rsidRPr="00DF140B">
              <w:rPr>
                <w:lang w:eastAsia="en-AU"/>
              </w:rPr>
              <w:t xml:space="preserve">t producers in cultural and creative industries was $91 million in </w:t>
            </w:r>
            <w:r w:rsidR="00686989">
              <w:rPr>
                <w:lang w:eastAsia="en-AU"/>
              </w:rPr>
              <w:t>2017–18</w:t>
            </w:r>
            <w:r w:rsidRPr="00DF140B">
              <w:rPr>
                <w:lang w:eastAsia="en-AU"/>
              </w:rPr>
              <w:t xml:space="preserve">, an increase of $23 million compared to </w:t>
            </w:r>
            <w:r w:rsidR="00F52169">
              <w:rPr>
                <w:lang w:eastAsia="en-AU"/>
              </w:rPr>
              <w:t>2008–09.</w:t>
            </w:r>
          </w:p>
        </w:tc>
      </w:tr>
      <w:tr w:rsidR="00F37141" w:rsidRPr="00941602" w14:paraId="03095126"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29E02B68" w14:textId="7588F2D8" w:rsidR="00F37141" w:rsidRPr="00FB606F" w:rsidRDefault="00F37141" w:rsidP="00A61D6F">
            <w:pPr>
              <w:pStyle w:val="Tabletext"/>
            </w:pPr>
            <w:r>
              <w:t>Figure</w:t>
            </w:r>
            <w:r w:rsidR="009371AE">
              <w:t> </w:t>
            </w:r>
            <w:r>
              <w:t xml:space="preserve">4. </w:t>
            </w:r>
            <w:r w:rsidRPr="004A413A">
              <w:rPr>
                <w:bCs/>
              </w:rPr>
              <w:t>Cultural and creative activity relative to nominal GDP</w:t>
            </w:r>
          </w:p>
        </w:tc>
        <w:tc>
          <w:tcPr>
            <w:tcW w:w="6379" w:type="dxa"/>
            <w:tcBorders>
              <w:top w:val="single" w:sz="4" w:space="0" w:color="auto"/>
              <w:left w:val="nil"/>
              <w:bottom w:val="single" w:sz="4" w:space="0" w:color="auto"/>
              <w:right w:val="nil"/>
            </w:tcBorders>
            <w:shd w:val="clear" w:color="auto" w:fill="E9E6E7" w:themeFill="text1" w:themeFillTint="1A"/>
          </w:tcPr>
          <w:p w14:paraId="129E1478" w14:textId="77777777" w:rsidR="00F37141" w:rsidRPr="00667FCB" w:rsidRDefault="00F37141" w:rsidP="00667FCB">
            <w:pPr>
              <w:pStyle w:val="Listparagraphbullets"/>
              <w:spacing w:after="0"/>
              <w:ind w:left="284" w:hanging="284"/>
            </w:pPr>
            <w:r w:rsidRPr="00667FCB">
              <w:t>While cultural and creative activity is growing in absolute terms, the increase is slightly slower than the pace of the Australian economy overall. The Australian economy has been supported by activities that are almost entirely outside cultural and creative activity, such as mining related activity over the period.</w:t>
            </w:r>
          </w:p>
          <w:p w14:paraId="5583EE33" w14:textId="7696EB69" w:rsidR="00F37141" w:rsidRPr="00667FCB" w:rsidRDefault="00F37141" w:rsidP="00667FCB">
            <w:pPr>
              <w:pStyle w:val="Listparagraphbullets"/>
              <w:spacing w:after="0"/>
              <w:ind w:left="284" w:hanging="284"/>
            </w:pPr>
            <w:r w:rsidRPr="00667FCB">
              <w:t xml:space="preserve">The dotted line at 100, represents the base year index of </w:t>
            </w:r>
            <w:r w:rsidR="00F52169" w:rsidRPr="00667FCB">
              <w:t>2008–09.</w:t>
            </w:r>
            <w:r w:rsidRPr="00667FCB">
              <w:t xml:space="preserve"> The area above the line represents growth whereas the area below the line represents a contraction since </w:t>
            </w:r>
            <w:r w:rsidR="00F52169" w:rsidRPr="00667FCB">
              <w:t>2008–09.</w:t>
            </w:r>
            <w:r w:rsidRPr="00667FCB">
              <w:t xml:space="preserve"> Similarly, the dashed line represents GDP growth for the entire Australian economy relative to the base year. </w:t>
            </w:r>
          </w:p>
          <w:p w14:paraId="2152DD87" w14:textId="68842CFD" w:rsidR="00F37141" w:rsidRPr="00667FCB" w:rsidRDefault="00F37141" w:rsidP="00667FCB">
            <w:pPr>
              <w:pStyle w:val="Listparagraphbullets"/>
              <w:spacing w:after="0"/>
              <w:ind w:left="284" w:hanging="284"/>
            </w:pPr>
            <w:r w:rsidRPr="00667FCB">
              <w:t xml:space="preserve">Cultural and creative activity grew faster than the overall economy in </w:t>
            </w:r>
            <w:r w:rsidR="00A61D6F" w:rsidRPr="00667FCB">
              <w:t>2009–10</w:t>
            </w:r>
            <w:r w:rsidRPr="00667FCB">
              <w:t xml:space="preserve"> but then slowed after 2011</w:t>
            </w:r>
            <w:r w:rsidR="00A61D6F" w:rsidRPr="00667FCB">
              <w:t>–</w:t>
            </w:r>
            <w:r w:rsidRPr="00667FCB">
              <w:t>12. This slowdown reflects the contraction in manufacturing which is explored further in the working paper.</w:t>
            </w:r>
          </w:p>
        </w:tc>
      </w:tr>
      <w:tr w:rsidR="00F37141" w:rsidRPr="00941602" w14:paraId="59A355C6" w14:textId="77777777" w:rsidTr="00DE46CD">
        <w:trPr>
          <w:cantSplit/>
        </w:trPr>
        <w:tc>
          <w:tcPr>
            <w:tcW w:w="2835" w:type="dxa"/>
            <w:tcBorders>
              <w:top w:val="single" w:sz="4" w:space="0" w:color="auto"/>
              <w:left w:val="nil"/>
              <w:bottom w:val="single" w:sz="4" w:space="0" w:color="auto"/>
              <w:right w:val="nil"/>
            </w:tcBorders>
            <w:shd w:val="clear" w:color="auto" w:fill="auto"/>
          </w:tcPr>
          <w:p w14:paraId="177ACEC3" w14:textId="194EDB8F" w:rsidR="00F37141" w:rsidRPr="00FB606F" w:rsidRDefault="00F37141" w:rsidP="00A61D6F">
            <w:pPr>
              <w:pStyle w:val="Tabletext"/>
            </w:pPr>
            <w:r>
              <w:t>Figure</w:t>
            </w:r>
            <w:r w:rsidR="009371AE">
              <w:t> </w:t>
            </w:r>
            <w:r>
              <w:t xml:space="preserve">5. </w:t>
            </w:r>
            <w:r w:rsidRPr="004A413A">
              <w:t xml:space="preserve">Cultural and creative activity, share of GDP, </w:t>
            </w:r>
            <w:r w:rsidR="00686989">
              <w:t xml:space="preserve">2008–09 </w:t>
            </w:r>
            <w:r w:rsidRPr="004A413A">
              <w:t xml:space="preserve">to </w:t>
            </w:r>
            <w:r w:rsidR="00686989">
              <w:t>2017–18</w:t>
            </w:r>
          </w:p>
        </w:tc>
        <w:tc>
          <w:tcPr>
            <w:tcW w:w="6379" w:type="dxa"/>
            <w:tcBorders>
              <w:top w:val="single" w:sz="4" w:space="0" w:color="auto"/>
              <w:left w:val="nil"/>
              <w:bottom w:val="single" w:sz="4" w:space="0" w:color="auto"/>
              <w:right w:val="nil"/>
            </w:tcBorders>
            <w:shd w:val="clear" w:color="auto" w:fill="auto"/>
          </w:tcPr>
          <w:p w14:paraId="7F4D758B" w14:textId="040D6B3F" w:rsidR="00F37141" w:rsidRPr="00667FCB" w:rsidRDefault="00F37141" w:rsidP="00667FCB">
            <w:pPr>
              <w:pStyle w:val="Listparagraphbullets"/>
              <w:spacing w:after="0"/>
              <w:ind w:left="284" w:hanging="284"/>
            </w:pPr>
            <w:r w:rsidRPr="00667FCB">
              <w:t xml:space="preserve">Cultural and creative activity as a share of GDP declined by 0.6 per cent over the period, from 6.9 per cent in </w:t>
            </w:r>
            <w:r w:rsidR="00686989" w:rsidRPr="00667FCB">
              <w:t xml:space="preserve">2008–09 </w:t>
            </w:r>
            <w:r w:rsidRPr="00667FCB">
              <w:t xml:space="preserve">to 6.3 per cent in </w:t>
            </w:r>
            <w:r w:rsidR="00686989" w:rsidRPr="00667FCB">
              <w:t>2017–18</w:t>
            </w:r>
            <w:r w:rsidRPr="00667FCB">
              <w:t>.</w:t>
            </w:r>
          </w:p>
        </w:tc>
      </w:tr>
      <w:tr w:rsidR="00F37141" w:rsidRPr="00216C82" w14:paraId="3B27104D"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6A1E6591" w14:textId="27030416" w:rsidR="00F37141" w:rsidRDefault="00F37141" w:rsidP="00A61D6F">
            <w:pPr>
              <w:pStyle w:val="Tabletext"/>
            </w:pPr>
            <w:r>
              <w:t>Table</w:t>
            </w:r>
            <w:r w:rsidR="009371AE">
              <w:t> </w:t>
            </w:r>
            <w:r>
              <w:t xml:space="preserve">3. </w:t>
            </w:r>
            <w:r w:rsidRPr="004A413A">
              <w:rPr>
                <w:bCs/>
              </w:rPr>
              <w:t xml:space="preserve">Cultural and creative activity, GVA by industry division,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7EE3C880" w14:textId="77777777" w:rsidR="00F37141" w:rsidRPr="00667FCB" w:rsidRDefault="00F37141" w:rsidP="00667FCB">
            <w:pPr>
              <w:pStyle w:val="Listparagraphbullets"/>
              <w:spacing w:after="0"/>
              <w:ind w:left="284" w:hanging="284"/>
            </w:pPr>
            <w:r w:rsidRPr="00667FCB">
              <w:t>Cultural and creative activity increased significantly in absolute terms within the industry division of professional, scientific and technical services with an increase of $17.7 billion or 65.6 per cent over the period; followed by retail trade at $3.8 billion or 39.0 per cent.</w:t>
            </w:r>
          </w:p>
          <w:p w14:paraId="2B2B674F" w14:textId="5DE4346D" w:rsidR="00F37141" w:rsidRPr="00667FCB" w:rsidRDefault="00F37141" w:rsidP="00667FCB">
            <w:pPr>
              <w:pStyle w:val="Listparagraphbullets"/>
              <w:spacing w:after="0"/>
              <w:ind w:left="284" w:hanging="284"/>
            </w:pPr>
            <w:r w:rsidRPr="00667FCB">
              <w:t>Cultural and creative activity within manufacturing was the only industry division to record an absolute decline in GVA over the period.</w:t>
            </w:r>
          </w:p>
        </w:tc>
      </w:tr>
      <w:tr w:rsidR="00F37141" w:rsidRPr="00216C82" w14:paraId="6B581F03" w14:textId="77777777" w:rsidTr="00DE46CD">
        <w:trPr>
          <w:cantSplit/>
        </w:trPr>
        <w:tc>
          <w:tcPr>
            <w:tcW w:w="2835" w:type="dxa"/>
            <w:tcBorders>
              <w:top w:val="single" w:sz="4" w:space="0" w:color="auto"/>
              <w:left w:val="nil"/>
              <w:bottom w:val="single" w:sz="4" w:space="0" w:color="auto"/>
              <w:right w:val="nil"/>
            </w:tcBorders>
            <w:shd w:val="clear" w:color="auto" w:fill="auto"/>
          </w:tcPr>
          <w:p w14:paraId="64A92234" w14:textId="22483F89" w:rsidR="00F37141" w:rsidRDefault="00F37141" w:rsidP="00A61D6F">
            <w:pPr>
              <w:pStyle w:val="Tabletext"/>
            </w:pPr>
            <w:r w:rsidRPr="004A413A">
              <w:rPr>
                <w:bCs/>
              </w:rPr>
              <w:lastRenderedPageBreak/>
              <w:t>Figure</w:t>
            </w:r>
            <w:r w:rsidR="009371AE">
              <w:rPr>
                <w:bCs/>
              </w:rPr>
              <w:t> </w:t>
            </w:r>
            <w:r w:rsidR="008D6440">
              <w:rPr>
                <w:bCs/>
              </w:rPr>
              <w:t>6</w:t>
            </w:r>
            <w:r w:rsidRPr="004A413A">
              <w:rPr>
                <w:bCs/>
              </w:rPr>
              <w:t xml:space="preserve">. GVA change by division, cultural and creative industries,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477B96E1" w14:textId="3C2CD77B" w:rsidR="00F37141" w:rsidRPr="00730B1E" w:rsidRDefault="00F37141" w:rsidP="00667FCB">
            <w:pPr>
              <w:pStyle w:val="Listparagraphbullets"/>
              <w:spacing w:after="0"/>
              <w:ind w:left="284" w:hanging="284"/>
              <w:rPr>
                <w:lang w:eastAsia="en-AU"/>
              </w:rPr>
            </w:pPr>
            <w:r w:rsidRPr="00F33197">
              <w:rPr>
                <w:lang w:eastAsia="en-AU"/>
              </w:rPr>
              <w:t>See notes above.</w:t>
            </w:r>
          </w:p>
        </w:tc>
      </w:tr>
      <w:tr w:rsidR="00F37141" w:rsidRPr="00216C82" w14:paraId="2975B343"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2EAA97CC" w14:textId="68D3DB6D" w:rsidR="00F37141" w:rsidRDefault="00F37141" w:rsidP="0074404B">
            <w:pPr>
              <w:pStyle w:val="Tabletext"/>
              <w:ind w:right="180"/>
            </w:pPr>
            <w:r w:rsidRPr="004A413A">
              <w:rPr>
                <w:bCs/>
              </w:rPr>
              <w:t>Figure</w:t>
            </w:r>
            <w:r w:rsidR="009371AE">
              <w:rPr>
                <w:bCs/>
              </w:rPr>
              <w:t> </w:t>
            </w:r>
            <w:r w:rsidRPr="004A413A">
              <w:rPr>
                <w:bCs/>
              </w:rPr>
              <w:t>7. GVA change of cultural and creative industries in</w:t>
            </w:r>
            <w:r>
              <w:rPr>
                <w:bCs/>
              </w:rPr>
              <w:t xml:space="preserve"> manufacturing, </w:t>
            </w:r>
            <w:r w:rsidR="00A61D6F">
              <w:rPr>
                <w:bCs/>
              </w:rPr>
              <w:t>2008–09</w:t>
            </w:r>
            <w:r w:rsidR="00686989">
              <w:rPr>
                <w:bCs/>
              </w:rPr>
              <w:t xml:space="preserve"> </w:t>
            </w:r>
            <w:r>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25BFEFBE" w14:textId="7D90FFE8" w:rsidR="00F37141" w:rsidRDefault="00F37141" w:rsidP="00667FCB">
            <w:pPr>
              <w:pStyle w:val="Listparagraphbullets"/>
              <w:spacing w:after="0"/>
              <w:ind w:left="284" w:hanging="284"/>
              <w:rPr>
                <w:lang w:eastAsia="en-AU"/>
              </w:rPr>
            </w:pPr>
            <w:r w:rsidRPr="00486116">
              <w:rPr>
                <w:lang w:eastAsia="en-AU"/>
              </w:rPr>
              <w:t xml:space="preserve">Five out of six cultural and creative industries within the manufacturing industry division experienced a decline from </w:t>
            </w:r>
            <w:r w:rsidR="00686989">
              <w:rPr>
                <w:lang w:eastAsia="en-AU"/>
              </w:rPr>
              <w:t xml:space="preserve">2008–09 </w:t>
            </w:r>
            <w:r w:rsidRPr="00486116">
              <w:rPr>
                <w:lang w:eastAsia="en-AU"/>
              </w:rPr>
              <w:t xml:space="preserve">to </w:t>
            </w:r>
            <w:r w:rsidR="00686989">
              <w:rPr>
                <w:lang w:eastAsia="en-AU"/>
              </w:rPr>
              <w:t>2017–18</w:t>
            </w:r>
            <w:r w:rsidRPr="00486116">
              <w:rPr>
                <w:lang w:eastAsia="en-AU"/>
              </w:rPr>
              <w:t>.</w:t>
            </w:r>
          </w:p>
          <w:p w14:paraId="618E418D" w14:textId="2C5BEEB8" w:rsidR="00F37141" w:rsidRPr="00F33197" w:rsidRDefault="00F37141" w:rsidP="00667FCB">
            <w:pPr>
              <w:pStyle w:val="Listparagraphbullets"/>
              <w:spacing w:after="0"/>
              <w:ind w:left="284" w:hanging="284"/>
              <w:rPr>
                <w:i/>
                <w:lang w:eastAsia="en-AU"/>
              </w:rPr>
            </w:pPr>
            <w:r w:rsidRPr="00486116">
              <w:rPr>
                <w:lang w:eastAsia="en-AU"/>
              </w:rPr>
              <w:t>Printing fell by $1.2</w:t>
            </w:r>
            <w:r>
              <w:rPr>
                <w:lang w:eastAsia="en-AU"/>
              </w:rPr>
              <w:t> billion</w:t>
            </w:r>
            <w:r w:rsidRPr="00486116">
              <w:rPr>
                <w:lang w:eastAsia="en-AU"/>
              </w:rPr>
              <w:t xml:space="preserve"> or 30.5</w:t>
            </w:r>
            <w:r>
              <w:rPr>
                <w:lang w:eastAsia="en-AU"/>
              </w:rPr>
              <w:t> per cent, while</w:t>
            </w:r>
            <w:r w:rsidRPr="00486116">
              <w:rPr>
                <w:lang w:eastAsia="en-AU"/>
              </w:rPr>
              <w:t xml:space="preserve"> clothing manufacturing fell by $761</w:t>
            </w:r>
            <w:r>
              <w:rPr>
                <w:lang w:eastAsia="en-AU"/>
              </w:rPr>
              <w:t> million</w:t>
            </w:r>
            <w:r w:rsidRPr="00486116">
              <w:rPr>
                <w:lang w:eastAsia="en-AU"/>
              </w:rPr>
              <w:t xml:space="preserve"> or 51.7</w:t>
            </w:r>
            <w:r>
              <w:rPr>
                <w:lang w:eastAsia="en-AU"/>
              </w:rPr>
              <w:t> per cent</w:t>
            </w:r>
            <w:r w:rsidRPr="00486116">
              <w:rPr>
                <w:lang w:eastAsia="en-AU"/>
              </w:rPr>
              <w:t xml:space="preserve"> over the period.</w:t>
            </w:r>
          </w:p>
        </w:tc>
      </w:tr>
      <w:tr w:rsidR="00F37141" w:rsidRPr="00216C82" w14:paraId="399546B5" w14:textId="77777777" w:rsidTr="00DE46CD">
        <w:trPr>
          <w:cantSplit/>
        </w:trPr>
        <w:tc>
          <w:tcPr>
            <w:tcW w:w="2835" w:type="dxa"/>
            <w:tcBorders>
              <w:top w:val="single" w:sz="4" w:space="0" w:color="auto"/>
              <w:left w:val="nil"/>
              <w:bottom w:val="single" w:sz="4" w:space="0" w:color="auto"/>
              <w:right w:val="nil"/>
            </w:tcBorders>
            <w:shd w:val="clear" w:color="auto" w:fill="auto"/>
          </w:tcPr>
          <w:p w14:paraId="236AE08B" w14:textId="62CCA384" w:rsidR="00F37141" w:rsidRPr="004A413A" w:rsidRDefault="00F37141" w:rsidP="00A61D6F">
            <w:pPr>
              <w:pStyle w:val="Tabletext"/>
              <w:rPr>
                <w:bCs/>
              </w:rPr>
            </w:pPr>
            <w:r w:rsidRPr="004A413A">
              <w:rPr>
                <w:bCs/>
              </w:rPr>
              <w:t>Figure</w:t>
            </w:r>
            <w:r w:rsidR="009371AE">
              <w:rPr>
                <w:bCs/>
              </w:rPr>
              <w:t> </w:t>
            </w:r>
            <w:r w:rsidRPr="004A413A">
              <w:rPr>
                <w:bCs/>
              </w:rPr>
              <w:t>8. Industry division’s GVA relative to GDP</w:t>
            </w:r>
          </w:p>
        </w:tc>
        <w:tc>
          <w:tcPr>
            <w:tcW w:w="6379" w:type="dxa"/>
            <w:tcBorders>
              <w:top w:val="single" w:sz="4" w:space="0" w:color="auto"/>
              <w:left w:val="nil"/>
              <w:bottom w:val="single" w:sz="4" w:space="0" w:color="auto"/>
              <w:right w:val="nil"/>
            </w:tcBorders>
            <w:shd w:val="clear" w:color="auto" w:fill="auto"/>
          </w:tcPr>
          <w:p w14:paraId="0993C16A" w14:textId="390F6584" w:rsidR="00F37141" w:rsidRDefault="00F37141" w:rsidP="00667FCB">
            <w:pPr>
              <w:pStyle w:val="Listparagraphbullets"/>
              <w:spacing w:after="0"/>
              <w:ind w:left="284" w:hanging="284"/>
              <w:rPr>
                <w:lang w:eastAsia="en-AU"/>
              </w:rPr>
            </w:pPr>
            <w:r w:rsidRPr="00486116">
              <w:rPr>
                <w:lang w:eastAsia="en-AU"/>
              </w:rPr>
              <w:t xml:space="preserve">When each industry division’s growth is compared with the pace of the economy as a whole, only two industry divisions outpaced the rest of the economy by the end of the </w:t>
            </w:r>
            <w:r>
              <w:rPr>
                <w:lang w:eastAsia="en-AU"/>
              </w:rPr>
              <w:t xml:space="preserve">10-year </w:t>
            </w:r>
            <w:r w:rsidR="00667FCB">
              <w:rPr>
                <w:lang w:eastAsia="en-AU"/>
              </w:rPr>
              <w:t>period.</w:t>
            </w:r>
          </w:p>
          <w:p w14:paraId="046FC319" w14:textId="48B1BE1D" w:rsidR="00F37141" w:rsidRPr="00486116" w:rsidRDefault="00F37141" w:rsidP="00667FCB">
            <w:pPr>
              <w:pStyle w:val="Listparagraphbullets"/>
              <w:spacing w:after="0"/>
              <w:ind w:left="284" w:hanging="284"/>
              <w:rPr>
                <w:lang w:eastAsia="en-AU"/>
              </w:rPr>
            </w:pPr>
            <w:r w:rsidRPr="00486116">
              <w:rPr>
                <w:lang w:eastAsia="en-AU"/>
              </w:rPr>
              <w:t xml:space="preserve">Cultural and creative activity in professional, scientific and technical services outpaced the economy by 18.9 percentage points and cultural and creative activity in education and training outpaced the economy by 16.6 percentage points in </w:t>
            </w:r>
            <w:r w:rsidR="00686989">
              <w:rPr>
                <w:lang w:eastAsia="en-AU"/>
              </w:rPr>
              <w:t>2017–18</w:t>
            </w:r>
            <w:r w:rsidRPr="00486116">
              <w:rPr>
                <w:lang w:eastAsia="en-AU"/>
              </w:rPr>
              <w:t>.</w:t>
            </w:r>
          </w:p>
          <w:p w14:paraId="46AB6D84" w14:textId="4D74B67F" w:rsidR="00F37141" w:rsidRPr="00486116" w:rsidRDefault="00F37141" w:rsidP="00667FCB">
            <w:pPr>
              <w:pStyle w:val="Listparagraphbullets"/>
              <w:spacing w:after="0"/>
              <w:ind w:left="284" w:hanging="284"/>
              <w:rPr>
                <w:lang w:eastAsia="en-AU"/>
              </w:rPr>
            </w:pPr>
            <w:r>
              <w:rPr>
                <w:lang w:eastAsia="en-AU"/>
              </w:rPr>
              <w:t>T</w:t>
            </w:r>
            <w:r w:rsidRPr="00486116">
              <w:rPr>
                <w:lang w:eastAsia="en-AU"/>
              </w:rPr>
              <w:t xml:space="preserve">he dotted line at 100, represents the base year index of </w:t>
            </w:r>
            <w:r w:rsidR="00F52169">
              <w:rPr>
                <w:lang w:eastAsia="en-AU"/>
              </w:rPr>
              <w:t>2008–09.</w:t>
            </w:r>
            <w:r w:rsidRPr="00486116">
              <w:rPr>
                <w:lang w:eastAsia="en-AU"/>
              </w:rPr>
              <w:t xml:space="preserve"> As noted earlier, the area above the line represents growth whereas the area below the line represents a contraction since </w:t>
            </w:r>
            <w:r w:rsidR="00F52169">
              <w:rPr>
                <w:lang w:eastAsia="en-AU"/>
              </w:rPr>
              <w:t>2008–09.</w:t>
            </w:r>
            <w:r w:rsidRPr="00486116">
              <w:rPr>
                <w:lang w:eastAsia="en-AU"/>
              </w:rPr>
              <w:t xml:space="preserve"> </w:t>
            </w:r>
            <w:r>
              <w:rPr>
                <w:lang w:eastAsia="en-AU"/>
              </w:rPr>
              <w:t>I</w:t>
            </w:r>
            <w:r w:rsidRPr="00486116">
              <w:rPr>
                <w:lang w:eastAsia="en-AU"/>
              </w:rPr>
              <w:t>f an industry division grew but did not outpace the economy as a whole, as did five out of the eight industry divisions (see Figure</w:t>
            </w:r>
            <w:r w:rsidR="009371AE">
              <w:rPr>
                <w:lang w:eastAsia="en-AU"/>
              </w:rPr>
              <w:t> </w:t>
            </w:r>
            <w:r w:rsidRPr="00486116">
              <w:rPr>
                <w:lang w:eastAsia="en-AU"/>
              </w:rPr>
              <w:t>8 – right hand panel), then their growth would be between the base year line and the dashed nominal GDP line.</w:t>
            </w:r>
          </w:p>
        </w:tc>
      </w:tr>
      <w:tr w:rsidR="00F37141" w:rsidRPr="00216C82" w14:paraId="1296BF1A"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2EC65ADB" w14:textId="7664F519" w:rsidR="00F37141" w:rsidRPr="004A413A" w:rsidRDefault="00F37141" w:rsidP="00A61D6F">
            <w:pPr>
              <w:pStyle w:val="Tabletext"/>
              <w:rPr>
                <w:bCs/>
              </w:rPr>
            </w:pPr>
            <w:r w:rsidRPr="004A413A">
              <w:rPr>
                <w:bCs/>
              </w:rPr>
              <w:lastRenderedPageBreak/>
              <w:t>Table</w:t>
            </w:r>
            <w:r w:rsidR="009371AE">
              <w:rPr>
                <w:bCs/>
              </w:rPr>
              <w:t> </w:t>
            </w:r>
            <w:r w:rsidRPr="004A413A">
              <w:rPr>
                <w:bCs/>
              </w:rPr>
              <w:t xml:space="preserve">4. Cultural activity, share of GDP,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715FE92F" w14:textId="35E31FE3" w:rsidR="00F37141" w:rsidRPr="00486116" w:rsidRDefault="00F37141" w:rsidP="00667FCB">
            <w:pPr>
              <w:pStyle w:val="Listparagraphbullets"/>
              <w:spacing w:after="0"/>
              <w:ind w:left="284" w:hanging="284"/>
              <w:rPr>
                <w:lang w:eastAsia="en-AU"/>
              </w:rPr>
            </w:pPr>
            <w:r w:rsidRPr="00486116">
              <w:rPr>
                <w:lang w:eastAsia="en-AU"/>
              </w:rPr>
              <w:t>Cultural activity increased by $13.9</w:t>
            </w:r>
            <w:r>
              <w:rPr>
                <w:lang w:eastAsia="en-AU"/>
              </w:rPr>
              <w:t> billion</w:t>
            </w:r>
            <w:r w:rsidRPr="00486116">
              <w:rPr>
                <w:lang w:eastAsia="en-AU"/>
              </w:rPr>
              <w:t xml:space="preserve"> or 27.0</w:t>
            </w:r>
            <w:r>
              <w:rPr>
                <w:lang w:eastAsia="en-AU"/>
              </w:rPr>
              <w:t> per cent</w:t>
            </w:r>
            <w:r w:rsidRPr="00486116">
              <w:rPr>
                <w:lang w:eastAsia="en-AU"/>
              </w:rPr>
              <w:t xml:space="preserve"> from $51.4</w:t>
            </w:r>
            <w:r>
              <w:rPr>
                <w:lang w:eastAsia="en-AU"/>
              </w:rPr>
              <w:t> billion</w:t>
            </w:r>
            <w:r w:rsidRPr="00486116">
              <w:rPr>
                <w:lang w:eastAsia="en-AU"/>
              </w:rPr>
              <w:t xml:space="preserve"> in </w:t>
            </w:r>
            <w:r w:rsidR="00686989">
              <w:rPr>
                <w:lang w:eastAsia="en-AU"/>
              </w:rPr>
              <w:t xml:space="preserve">2008–09 </w:t>
            </w:r>
            <w:r w:rsidRPr="00486116">
              <w:rPr>
                <w:lang w:eastAsia="en-AU"/>
              </w:rPr>
              <w:t>to $65.3</w:t>
            </w:r>
            <w:r>
              <w:rPr>
                <w:lang w:eastAsia="en-AU"/>
              </w:rPr>
              <w:t> billion</w:t>
            </w:r>
            <w:r w:rsidRPr="00486116">
              <w:rPr>
                <w:lang w:eastAsia="en-AU"/>
              </w:rPr>
              <w:t xml:space="preserve"> in </w:t>
            </w:r>
            <w:r w:rsidR="00686989">
              <w:rPr>
                <w:lang w:eastAsia="en-AU"/>
              </w:rPr>
              <w:t>2017–18</w:t>
            </w:r>
            <w:r w:rsidRPr="00486116">
              <w:rPr>
                <w:lang w:eastAsia="en-AU"/>
              </w:rPr>
              <w:t>.</w:t>
            </w:r>
          </w:p>
          <w:p w14:paraId="2B31F2DF" w14:textId="77777777" w:rsidR="005D774F" w:rsidRPr="005D774F" w:rsidRDefault="00F37141" w:rsidP="00667FCB">
            <w:pPr>
              <w:pStyle w:val="Listparagraphbulletssecondlevel"/>
              <w:spacing w:after="0"/>
              <w:ind w:left="567" w:hanging="284"/>
              <w:rPr>
                <w:lang w:eastAsia="en-AU"/>
              </w:rPr>
            </w:pPr>
            <w:r w:rsidRPr="00486116">
              <w:rPr>
                <w:lang w:eastAsia="en-AU"/>
              </w:rPr>
              <w:t>GVA for cultural industries increased by $7.6</w:t>
            </w:r>
            <w:r>
              <w:rPr>
                <w:lang w:eastAsia="en-AU"/>
              </w:rPr>
              <w:t> billion</w:t>
            </w:r>
            <w:r w:rsidRPr="00486116">
              <w:rPr>
                <w:lang w:eastAsia="en-AU"/>
              </w:rPr>
              <w:t xml:space="preserve"> or 21.5</w:t>
            </w:r>
            <w:r>
              <w:rPr>
                <w:lang w:eastAsia="en-AU"/>
              </w:rPr>
              <w:t> per cent</w:t>
            </w:r>
            <w:r w:rsidRPr="00486116">
              <w:rPr>
                <w:lang w:eastAsia="en-AU"/>
              </w:rPr>
              <w:t xml:space="preserve"> from $35.2</w:t>
            </w:r>
            <w:r>
              <w:rPr>
                <w:lang w:eastAsia="en-AU"/>
              </w:rPr>
              <w:t> billion</w:t>
            </w:r>
            <w:r w:rsidRPr="00486116">
              <w:rPr>
                <w:lang w:eastAsia="en-AU"/>
              </w:rPr>
              <w:t xml:space="preserve"> in </w:t>
            </w:r>
            <w:r w:rsidR="00686989">
              <w:rPr>
                <w:lang w:eastAsia="en-AU"/>
              </w:rPr>
              <w:t xml:space="preserve">2008–09 </w:t>
            </w:r>
            <w:r w:rsidRPr="00486116">
              <w:rPr>
                <w:lang w:eastAsia="en-AU"/>
              </w:rPr>
              <w:t>to $42.8</w:t>
            </w:r>
            <w:r>
              <w:rPr>
                <w:lang w:eastAsia="en-AU"/>
              </w:rPr>
              <w:t> billion</w:t>
            </w:r>
            <w:r w:rsidRPr="00486116">
              <w:rPr>
                <w:lang w:eastAsia="en-AU"/>
              </w:rPr>
              <w:t xml:space="preserve"> in </w:t>
            </w:r>
            <w:r w:rsidR="00686989">
              <w:rPr>
                <w:lang w:eastAsia="en-AU"/>
              </w:rPr>
              <w:t>2017–18</w:t>
            </w:r>
            <w:r w:rsidRPr="00486116">
              <w:rPr>
                <w:lang w:eastAsia="en-AU"/>
              </w:rPr>
              <w:t>.</w:t>
            </w:r>
            <w:r w:rsidR="005D774F">
              <w:rPr>
                <w:lang w:eastAsia="en-AU"/>
              </w:rPr>
              <w:t xml:space="preserve"> </w:t>
            </w:r>
            <w:r w:rsidRPr="005D774F">
              <w:rPr>
                <w:lang w:eastAsia="en-AU"/>
              </w:rPr>
              <w:t>Net taxes on products attributable</w:t>
            </w:r>
            <w:r w:rsidR="009371AE" w:rsidRPr="005D774F">
              <w:rPr>
                <w:lang w:eastAsia="en-AU"/>
              </w:rPr>
              <w:t> </w:t>
            </w:r>
            <w:r w:rsidRPr="005D774F">
              <w:rPr>
                <w:lang w:eastAsia="en-AU"/>
              </w:rPr>
              <w:t xml:space="preserve">to cultural industries increased by $723 million or 16.0 per cent from </w:t>
            </w:r>
            <w:r w:rsidR="00686989" w:rsidRPr="005D774F">
              <w:rPr>
                <w:lang w:eastAsia="en-AU"/>
              </w:rPr>
              <w:t xml:space="preserve">2008–09 </w:t>
            </w:r>
            <w:r w:rsidRPr="005D774F">
              <w:rPr>
                <w:lang w:eastAsia="en-AU"/>
              </w:rPr>
              <w:t xml:space="preserve">to </w:t>
            </w:r>
            <w:r w:rsidR="00686989" w:rsidRPr="005D774F">
              <w:rPr>
                <w:lang w:eastAsia="en-AU"/>
              </w:rPr>
              <w:t>2017–18</w:t>
            </w:r>
            <w:r w:rsidRPr="005D774F">
              <w:rPr>
                <w:lang w:eastAsia="en-AU"/>
              </w:rPr>
              <w:t xml:space="preserve">. </w:t>
            </w:r>
          </w:p>
          <w:p w14:paraId="27B41D7F" w14:textId="77777777" w:rsidR="005D774F" w:rsidRPr="005D774F" w:rsidRDefault="00F37141" w:rsidP="00667FCB">
            <w:pPr>
              <w:pStyle w:val="Listparagraphbulletssecondlevel"/>
              <w:spacing w:after="0"/>
              <w:ind w:left="567" w:hanging="284"/>
              <w:rPr>
                <w:lang w:eastAsia="en-AU"/>
              </w:rPr>
            </w:pPr>
            <w:r w:rsidRPr="005D774F">
              <w:rPr>
                <w:lang w:eastAsia="en-AU"/>
              </w:rPr>
              <w:t xml:space="preserve">COE received by individuals working in cultural occupations that are outside industries identified as cultural was $17.2 billion in </w:t>
            </w:r>
            <w:r w:rsidR="00686989" w:rsidRPr="005D774F">
              <w:rPr>
                <w:lang w:eastAsia="en-AU"/>
              </w:rPr>
              <w:t>2017–18</w:t>
            </w:r>
            <w:r w:rsidRPr="005D774F">
              <w:rPr>
                <w:lang w:eastAsia="en-AU"/>
              </w:rPr>
              <w:t xml:space="preserve">. This has grown by $5.6 billion over the period. </w:t>
            </w:r>
          </w:p>
          <w:p w14:paraId="56141063" w14:textId="77777777" w:rsidR="005D774F" w:rsidRPr="005D774F" w:rsidRDefault="00F37141" w:rsidP="00667FCB">
            <w:pPr>
              <w:pStyle w:val="Listparagraphbulletssecondlevel"/>
              <w:spacing w:after="0"/>
              <w:ind w:left="567" w:hanging="284"/>
              <w:rPr>
                <w:lang w:eastAsia="en-AU"/>
              </w:rPr>
            </w:pPr>
            <w:r w:rsidRPr="005D774F">
              <w:rPr>
                <w:lang w:eastAsia="en-AU"/>
              </w:rPr>
              <w:t xml:space="preserve">The value of volunteer services to arts and heritage organisations was $1.0 billion in </w:t>
            </w:r>
            <w:r w:rsidR="00686989" w:rsidRPr="005D774F">
              <w:rPr>
                <w:lang w:eastAsia="en-AU"/>
              </w:rPr>
              <w:t>2017–18</w:t>
            </w:r>
            <w:r w:rsidRPr="005D774F">
              <w:rPr>
                <w:lang w:eastAsia="en-AU"/>
              </w:rPr>
              <w:t xml:space="preserve">, $257 million more than in </w:t>
            </w:r>
            <w:r w:rsidR="00F52169" w:rsidRPr="005D774F">
              <w:rPr>
                <w:lang w:eastAsia="en-AU"/>
              </w:rPr>
              <w:t>2008–09.</w:t>
            </w:r>
            <w:r w:rsidRPr="005D774F">
              <w:rPr>
                <w:lang w:eastAsia="en-AU"/>
              </w:rPr>
              <w:t xml:space="preserve"> This value is identical to the total cultural and creative value of volunteer services due to the cultural and creative overlap of arts and heritage organisations.</w:t>
            </w:r>
          </w:p>
          <w:p w14:paraId="11BCC9CF" w14:textId="3CDBC4A7" w:rsidR="00F37141" w:rsidRPr="005D774F" w:rsidRDefault="00F37141" w:rsidP="00667FCB">
            <w:pPr>
              <w:pStyle w:val="Listparagraphbulletssecondlevel"/>
              <w:spacing w:after="0"/>
              <w:ind w:left="567" w:hanging="284"/>
              <w:rPr>
                <w:lang w:eastAsia="en-AU"/>
              </w:rPr>
            </w:pPr>
            <w:r w:rsidRPr="005D774F">
              <w:rPr>
                <w:lang w:eastAsia="en-AU"/>
              </w:rPr>
              <w:t>Non</w:t>
            </w:r>
            <w:r w:rsidRPr="005D774F">
              <w:rPr>
                <w:lang w:eastAsia="en-AU"/>
              </w:rPr>
              <w:noBreakHyphen/>
              <w:t xml:space="preserve">market output of market producers in cultural industries was $57 million in </w:t>
            </w:r>
            <w:r w:rsidR="00686989" w:rsidRPr="005D774F">
              <w:rPr>
                <w:lang w:eastAsia="en-AU"/>
              </w:rPr>
              <w:t>2017–18</w:t>
            </w:r>
            <w:r w:rsidRPr="005D774F">
              <w:rPr>
                <w:lang w:eastAsia="en-AU"/>
              </w:rPr>
              <w:t xml:space="preserve">, with an increase of $2 million compared to </w:t>
            </w:r>
            <w:r w:rsidR="00F52169" w:rsidRPr="005D774F">
              <w:rPr>
                <w:lang w:eastAsia="en-AU"/>
              </w:rPr>
              <w:t>2008–09.</w:t>
            </w:r>
          </w:p>
        </w:tc>
      </w:tr>
      <w:tr w:rsidR="00F37141" w:rsidRPr="00216C82" w14:paraId="01EC1464" w14:textId="77777777" w:rsidTr="00DE46CD">
        <w:trPr>
          <w:cantSplit/>
        </w:trPr>
        <w:tc>
          <w:tcPr>
            <w:tcW w:w="2835" w:type="dxa"/>
            <w:tcBorders>
              <w:top w:val="single" w:sz="4" w:space="0" w:color="auto"/>
              <w:left w:val="nil"/>
              <w:bottom w:val="single" w:sz="4" w:space="0" w:color="auto"/>
              <w:right w:val="nil"/>
            </w:tcBorders>
            <w:shd w:val="clear" w:color="auto" w:fill="auto"/>
          </w:tcPr>
          <w:p w14:paraId="3C2E0510" w14:textId="79555D5A" w:rsidR="00F37141" w:rsidRPr="004A413A" w:rsidRDefault="00F37141" w:rsidP="00A61D6F">
            <w:pPr>
              <w:pStyle w:val="Tabletext"/>
              <w:rPr>
                <w:bCs/>
              </w:rPr>
            </w:pPr>
            <w:r w:rsidRPr="004A413A">
              <w:rPr>
                <w:bCs/>
              </w:rPr>
              <w:t>Figure</w:t>
            </w:r>
            <w:r w:rsidR="009371AE">
              <w:rPr>
                <w:bCs/>
              </w:rPr>
              <w:t> </w:t>
            </w:r>
            <w:r w:rsidRPr="004A413A">
              <w:rPr>
                <w:bCs/>
              </w:rPr>
              <w:t xml:space="preserve">9. GVA by domain, cultural industries, </w:t>
            </w:r>
            <w:r w:rsidR="00686989">
              <w:rPr>
                <w:bCs/>
              </w:rPr>
              <w:t>2017–18</w:t>
            </w:r>
            <w:r w:rsidRPr="004A413A">
              <w:rPr>
                <w:bCs/>
              </w:rPr>
              <w:t xml:space="preserve"> ($m)</w:t>
            </w:r>
          </w:p>
        </w:tc>
        <w:tc>
          <w:tcPr>
            <w:tcW w:w="6379" w:type="dxa"/>
            <w:tcBorders>
              <w:top w:val="single" w:sz="4" w:space="0" w:color="auto"/>
              <w:left w:val="nil"/>
              <w:bottom w:val="single" w:sz="4" w:space="0" w:color="auto"/>
              <w:right w:val="nil"/>
            </w:tcBorders>
            <w:shd w:val="clear" w:color="auto" w:fill="auto"/>
          </w:tcPr>
          <w:p w14:paraId="027FF524" w14:textId="109A46A6" w:rsidR="00F37141" w:rsidRPr="00486116" w:rsidRDefault="00F37141" w:rsidP="00667FCB">
            <w:pPr>
              <w:pStyle w:val="Listparagraphbullets"/>
              <w:spacing w:after="0"/>
              <w:ind w:left="284" w:hanging="284"/>
              <w:rPr>
                <w:lang w:eastAsia="en-AU"/>
              </w:rPr>
            </w:pPr>
            <w:r w:rsidRPr="00486116">
              <w:rPr>
                <w:lang w:eastAsia="en-AU"/>
              </w:rPr>
              <w:t>Cultural activity represents a smaller share of total GVA compared to creative activity and primarily consists of design at $13.8</w:t>
            </w:r>
            <w:r>
              <w:rPr>
                <w:lang w:eastAsia="en-AU"/>
              </w:rPr>
              <w:t> billion</w:t>
            </w:r>
            <w:r w:rsidRPr="00486116">
              <w:rPr>
                <w:lang w:eastAsia="en-AU"/>
              </w:rPr>
              <w:t>, broadcasting, electronic or digital media, and film at $9.7</w:t>
            </w:r>
            <w:r>
              <w:rPr>
                <w:lang w:eastAsia="en-AU"/>
              </w:rPr>
              <w:t> billion</w:t>
            </w:r>
            <w:r w:rsidRPr="00486116">
              <w:rPr>
                <w:lang w:eastAsia="en-AU"/>
              </w:rPr>
              <w:t>, and literature and print media at $9.4</w:t>
            </w:r>
            <w:r>
              <w:rPr>
                <w:lang w:eastAsia="en-AU"/>
              </w:rPr>
              <w:t> billion</w:t>
            </w:r>
            <w:r w:rsidRPr="00486116">
              <w:rPr>
                <w:lang w:eastAsia="en-AU"/>
              </w:rPr>
              <w:t xml:space="preserve"> in </w:t>
            </w:r>
            <w:r w:rsidR="00686989">
              <w:rPr>
                <w:lang w:eastAsia="en-AU"/>
              </w:rPr>
              <w:t>2017–18</w:t>
            </w:r>
            <w:r w:rsidRPr="00486116">
              <w:rPr>
                <w:lang w:eastAsia="en-AU"/>
              </w:rPr>
              <w:t>.</w:t>
            </w:r>
          </w:p>
        </w:tc>
      </w:tr>
      <w:tr w:rsidR="00F37141" w:rsidRPr="00216C82" w14:paraId="29DA06F1"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58D6E4D6" w14:textId="6C60D03D" w:rsidR="00F37141" w:rsidRPr="004A413A" w:rsidRDefault="00F37141" w:rsidP="00A61D6F">
            <w:pPr>
              <w:pStyle w:val="Tabletext"/>
              <w:rPr>
                <w:bCs/>
              </w:rPr>
            </w:pPr>
            <w:r w:rsidRPr="004A413A">
              <w:rPr>
                <w:bCs/>
              </w:rPr>
              <w:t>Figure</w:t>
            </w:r>
            <w:r w:rsidR="009371AE">
              <w:rPr>
                <w:bCs/>
              </w:rPr>
              <w:t> </w:t>
            </w:r>
            <w:r w:rsidRPr="004A413A">
              <w:rPr>
                <w:bCs/>
              </w:rPr>
              <w:t xml:space="preserve">10. Cultural activity, share of GDP,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4715C958" w14:textId="7CC388F2" w:rsidR="00F37141" w:rsidRPr="00486116" w:rsidRDefault="00F37141" w:rsidP="00667FCB">
            <w:pPr>
              <w:pStyle w:val="Listparagraphbullets"/>
              <w:spacing w:after="0"/>
              <w:ind w:left="284" w:hanging="284"/>
              <w:rPr>
                <w:lang w:eastAsia="en-AU"/>
              </w:rPr>
            </w:pPr>
            <w:r w:rsidRPr="00486116">
              <w:rPr>
                <w:lang w:eastAsia="en-AU"/>
              </w:rPr>
              <w:t xml:space="preserve">Cultural activity, </w:t>
            </w:r>
            <w:r>
              <w:rPr>
                <w:lang w:eastAsia="en-AU"/>
              </w:rPr>
              <w:t>as a share of GDP</w:t>
            </w:r>
            <w:r w:rsidRPr="00486116">
              <w:rPr>
                <w:lang w:eastAsia="en-AU"/>
              </w:rPr>
              <w:t>, declined by 0.6</w:t>
            </w:r>
            <w:r>
              <w:rPr>
                <w:lang w:eastAsia="en-AU"/>
              </w:rPr>
              <w:t> per cent</w:t>
            </w:r>
            <w:r w:rsidRPr="00486116">
              <w:rPr>
                <w:lang w:eastAsia="en-AU"/>
              </w:rPr>
              <w:t>, from 4.1</w:t>
            </w:r>
            <w:r>
              <w:rPr>
                <w:lang w:eastAsia="en-AU"/>
              </w:rPr>
              <w:t> per cent</w:t>
            </w:r>
            <w:r w:rsidRPr="00486116">
              <w:rPr>
                <w:lang w:eastAsia="en-AU"/>
              </w:rPr>
              <w:t xml:space="preserve"> in </w:t>
            </w:r>
            <w:r w:rsidR="00686989">
              <w:rPr>
                <w:lang w:eastAsia="en-AU"/>
              </w:rPr>
              <w:t xml:space="preserve">2008–09 </w:t>
            </w:r>
            <w:r w:rsidRPr="00486116">
              <w:rPr>
                <w:lang w:eastAsia="en-AU"/>
              </w:rPr>
              <w:t>to 3.6</w:t>
            </w:r>
            <w:r>
              <w:rPr>
                <w:lang w:eastAsia="en-AU"/>
              </w:rPr>
              <w:t> per cent</w:t>
            </w:r>
            <w:r w:rsidRPr="00486116">
              <w:rPr>
                <w:lang w:eastAsia="en-AU"/>
              </w:rPr>
              <w:t xml:space="preserve"> in </w:t>
            </w:r>
            <w:r w:rsidR="00686989">
              <w:rPr>
                <w:lang w:eastAsia="en-AU"/>
              </w:rPr>
              <w:t>2017–18</w:t>
            </w:r>
            <w:r w:rsidRPr="00486116">
              <w:rPr>
                <w:lang w:eastAsia="en-AU"/>
              </w:rPr>
              <w:t>.</w:t>
            </w:r>
          </w:p>
        </w:tc>
      </w:tr>
      <w:tr w:rsidR="00F37141" w:rsidRPr="00216C82" w14:paraId="1151585B" w14:textId="77777777" w:rsidTr="00DE46CD">
        <w:trPr>
          <w:cantSplit/>
        </w:trPr>
        <w:tc>
          <w:tcPr>
            <w:tcW w:w="2835" w:type="dxa"/>
            <w:tcBorders>
              <w:top w:val="single" w:sz="4" w:space="0" w:color="auto"/>
              <w:left w:val="nil"/>
              <w:bottom w:val="single" w:sz="4" w:space="0" w:color="auto"/>
              <w:right w:val="nil"/>
            </w:tcBorders>
            <w:shd w:val="clear" w:color="auto" w:fill="auto"/>
          </w:tcPr>
          <w:p w14:paraId="2C491A74" w14:textId="10FBF914" w:rsidR="00F37141" w:rsidRPr="004A413A" w:rsidRDefault="00F37141" w:rsidP="00A61D6F">
            <w:pPr>
              <w:pStyle w:val="Tabletext"/>
              <w:rPr>
                <w:bCs/>
              </w:rPr>
            </w:pPr>
            <w:r w:rsidRPr="004A413A">
              <w:rPr>
                <w:bCs/>
              </w:rPr>
              <w:lastRenderedPageBreak/>
              <w:t>Table</w:t>
            </w:r>
            <w:r w:rsidR="009371AE">
              <w:rPr>
                <w:bCs/>
              </w:rPr>
              <w:t> </w:t>
            </w:r>
            <w:r w:rsidRPr="004A413A">
              <w:rPr>
                <w:bCs/>
              </w:rPr>
              <w:t xml:space="preserve">5. Creative activity, share of GDP, </w:t>
            </w:r>
            <w:r w:rsidR="00C74B08" w:rsidRPr="00C74B08">
              <w:rPr>
                <w:bCs/>
              </w:rPr>
              <w:t>2008–09 to 2017–18</w:t>
            </w:r>
          </w:p>
        </w:tc>
        <w:tc>
          <w:tcPr>
            <w:tcW w:w="6379" w:type="dxa"/>
            <w:tcBorders>
              <w:top w:val="single" w:sz="4" w:space="0" w:color="auto"/>
              <w:left w:val="nil"/>
              <w:bottom w:val="single" w:sz="4" w:space="0" w:color="auto"/>
              <w:right w:val="nil"/>
            </w:tcBorders>
            <w:shd w:val="clear" w:color="auto" w:fill="auto"/>
          </w:tcPr>
          <w:p w14:paraId="4536EC67" w14:textId="1458F418" w:rsidR="00F37141" w:rsidRPr="00486116" w:rsidRDefault="00F37141" w:rsidP="00667FCB">
            <w:pPr>
              <w:pStyle w:val="Listparagraphbullets"/>
              <w:ind w:left="284" w:hanging="284"/>
              <w:rPr>
                <w:lang w:eastAsia="en-AU"/>
              </w:rPr>
            </w:pPr>
            <w:r w:rsidRPr="00486116">
              <w:rPr>
                <w:lang w:eastAsia="en-AU"/>
              </w:rPr>
              <w:t>Creative activity increased by $27.4</w:t>
            </w:r>
            <w:r>
              <w:rPr>
                <w:lang w:eastAsia="en-AU"/>
              </w:rPr>
              <w:t> billion</w:t>
            </w:r>
            <w:r w:rsidRPr="00486116">
              <w:rPr>
                <w:lang w:eastAsia="en-AU"/>
              </w:rPr>
              <w:t xml:space="preserve"> or 36.5</w:t>
            </w:r>
            <w:r>
              <w:rPr>
                <w:lang w:eastAsia="en-AU"/>
              </w:rPr>
              <w:t> per cent</w:t>
            </w:r>
            <w:r w:rsidRPr="00486116">
              <w:rPr>
                <w:lang w:eastAsia="en-AU"/>
              </w:rPr>
              <w:t xml:space="preserve"> from $75.2</w:t>
            </w:r>
            <w:r>
              <w:rPr>
                <w:lang w:eastAsia="en-AU"/>
              </w:rPr>
              <w:t> billion</w:t>
            </w:r>
            <w:r w:rsidRPr="00486116">
              <w:rPr>
                <w:lang w:eastAsia="en-AU"/>
              </w:rPr>
              <w:t xml:space="preserve"> in </w:t>
            </w:r>
            <w:r w:rsidR="00686989">
              <w:rPr>
                <w:lang w:eastAsia="en-AU"/>
              </w:rPr>
              <w:t xml:space="preserve">2008–09 </w:t>
            </w:r>
            <w:r w:rsidRPr="00486116">
              <w:rPr>
                <w:lang w:eastAsia="en-AU"/>
              </w:rPr>
              <w:t>to $102.7</w:t>
            </w:r>
            <w:r>
              <w:rPr>
                <w:lang w:eastAsia="en-AU"/>
              </w:rPr>
              <w:t> billion</w:t>
            </w:r>
            <w:r w:rsidRPr="00486116">
              <w:rPr>
                <w:lang w:eastAsia="en-AU"/>
              </w:rPr>
              <w:t xml:space="preserve"> in </w:t>
            </w:r>
            <w:r w:rsidR="00686989">
              <w:rPr>
                <w:lang w:eastAsia="en-AU"/>
              </w:rPr>
              <w:t>2017–18</w:t>
            </w:r>
            <w:r w:rsidRPr="00486116">
              <w:rPr>
                <w:lang w:eastAsia="en-AU"/>
              </w:rPr>
              <w:t>.</w:t>
            </w:r>
          </w:p>
          <w:p w14:paraId="363B9B13" w14:textId="39DE7C13" w:rsidR="00DF69FF" w:rsidRPr="00DF69FF" w:rsidRDefault="00F37141" w:rsidP="00667FCB">
            <w:pPr>
              <w:pStyle w:val="Listparagraphbulletssecondlevel"/>
              <w:spacing w:after="0"/>
              <w:ind w:left="568" w:hanging="284"/>
              <w:rPr>
                <w:lang w:eastAsia="en-AU"/>
              </w:rPr>
            </w:pPr>
            <w:r w:rsidRPr="00486116">
              <w:rPr>
                <w:lang w:eastAsia="en-AU"/>
              </w:rPr>
              <w:t>GVA for creative industries increased by $22.0</w:t>
            </w:r>
            <w:r>
              <w:rPr>
                <w:lang w:eastAsia="en-AU"/>
              </w:rPr>
              <w:t> billion</w:t>
            </w:r>
            <w:r w:rsidRPr="00486116">
              <w:rPr>
                <w:lang w:eastAsia="en-AU"/>
              </w:rPr>
              <w:t xml:space="preserve"> or 38.0</w:t>
            </w:r>
            <w:r>
              <w:rPr>
                <w:lang w:eastAsia="en-AU"/>
              </w:rPr>
              <w:t> per cent</w:t>
            </w:r>
            <w:r w:rsidRPr="00486116">
              <w:rPr>
                <w:lang w:eastAsia="en-AU"/>
              </w:rPr>
              <w:t xml:space="preserve"> from $57.9</w:t>
            </w:r>
            <w:r>
              <w:rPr>
                <w:lang w:eastAsia="en-AU"/>
              </w:rPr>
              <w:t> billion</w:t>
            </w:r>
            <w:r w:rsidRPr="00486116">
              <w:rPr>
                <w:lang w:eastAsia="en-AU"/>
              </w:rPr>
              <w:t xml:space="preserve"> in </w:t>
            </w:r>
            <w:r w:rsidR="00686989">
              <w:rPr>
                <w:lang w:eastAsia="en-AU"/>
              </w:rPr>
              <w:t xml:space="preserve">2008–09 </w:t>
            </w:r>
            <w:r w:rsidRPr="00486116">
              <w:rPr>
                <w:lang w:eastAsia="en-AU"/>
              </w:rPr>
              <w:t>to $79.9</w:t>
            </w:r>
            <w:r>
              <w:rPr>
                <w:lang w:eastAsia="en-AU"/>
              </w:rPr>
              <w:t> billion</w:t>
            </w:r>
            <w:r w:rsidRPr="00486116">
              <w:rPr>
                <w:lang w:eastAsia="en-AU"/>
              </w:rPr>
              <w:t xml:space="preserve"> in </w:t>
            </w:r>
            <w:r w:rsidR="00914F7B">
              <w:rPr>
                <w:lang w:eastAsia="en-AU"/>
              </w:rPr>
              <w:t>2017–18</w:t>
            </w:r>
            <w:r w:rsidRPr="00486116">
              <w:rPr>
                <w:lang w:eastAsia="en-AU"/>
              </w:rPr>
              <w:t>.</w:t>
            </w:r>
            <w:r w:rsidR="00DF69FF">
              <w:rPr>
                <w:lang w:eastAsia="en-AU"/>
              </w:rPr>
              <w:t xml:space="preserve"> </w:t>
            </w:r>
            <w:r w:rsidRPr="00DF69FF">
              <w:rPr>
                <w:lang w:eastAsia="en-AU"/>
              </w:rPr>
              <w:t>Net taxes on products attributable</w:t>
            </w:r>
            <w:r w:rsidR="009371AE" w:rsidRPr="00DF69FF">
              <w:rPr>
                <w:lang w:eastAsia="en-AU"/>
              </w:rPr>
              <w:t> </w:t>
            </w:r>
            <w:r w:rsidRPr="00DF69FF">
              <w:rPr>
                <w:lang w:eastAsia="en-AU"/>
              </w:rPr>
              <w:t xml:space="preserve">to creative industries </w:t>
            </w:r>
            <w:r w:rsidR="00F00276">
              <w:rPr>
                <w:lang w:eastAsia="en-AU"/>
              </w:rPr>
              <w:t>in</w:t>
            </w:r>
            <w:r w:rsidRPr="00DF69FF">
              <w:rPr>
                <w:lang w:eastAsia="en-AU"/>
              </w:rPr>
              <w:t xml:space="preserve">creased by $152 million or 3.4 per cent from </w:t>
            </w:r>
            <w:r w:rsidR="00686989" w:rsidRPr="00DF69FF">
              <w:rPr>
                <w:lang w:eastAsia="en-AU"/>
              </w:rPr>
              <w:t xml:space="preserve">2008–09 </w:t>
            </w:r>
            <w:r w:rsidRPr="00DF69FF">
              <w:rPr>
                <w:lang w:eastAsia="en-AU"/>
              </w:rPr>
              <w:t xml:space="preserve">to </w:t>
            </w:r>
            <w:r w:rsidR="00914F7B">
              <w:rPr>
                <w:lang w:eastAsia="en-AU"/>
              </w:rPr>
              <w:t>2017–18</w:t>
            </w:r>
            <w:r w:rsidRPr="00DF69FF">
              <w:rPr>
                <w:lang w:eastAsia="en-AU"/>
              </w:rPr>
              <w:t>.</w:t>
            </w:r>
          </w:p>
          <w:p w14:paraId="052F2FF3" w14:textId="77777777" w:rsidR="00DF69FF" w:rsidRPr="00DF69FF" w:rsidRDefault="00F37141" w:rsidP="00667FCB">
            <w:pPr>
              <w:pStyle w:val="Listparagraphbulletssecondlevel"/>
              <w:spacing w:after="0"/>
              <w:ind w:left="568" w:hanging="284"/>
              <w:rPr>
                <w:lang w:eastAsia="en-AU"/>
              </w:rPr>
            </w:pPr>
            <w:r w:rsidRPr="00DF69FF">
              <w:rPr>
                <w:lang w:eastAsia="en-AU"/>
              </w:rPr>
              <w:t xml:space="preserve">COE received by individuals working in creative occupations that are outside industries identified as creative was $18.1 billion in </w:t>
            </w:r>
            <w:r w:rsidR="00686989" w:rsidRPr="00DF69FF">
              <w:rPr>
                <w:lang w:eastAsia="en-AU"/>
              </w:rPr>
              <w:t>2017–18</w:t>
            </w:r>
            <w:r w:rsidRPr="00DF69FF">
              <w:rPr>
                <w:lang w:eastAsia="en-AU"/>
              </w:rPr>
              <w:t xml:space="preserve">. This has grown by 41.2 per cent during the period. </w:t>
            </w:r>
          </w:p>
          <w:p w14:paraId="5BB74C2A" w14:textId="77777777" w:rsidR="00DF69FF" w:rsidRPr="00DF69FF" w:rsidRDefault="00F37141" w:rsidP="00667FCB">
            <w:pPr>
              <w:pStyle w:val="Listparagraphbulletssecondlevel"/>
              <w:spacing w:after="0"/>
              <w:ind w:left="568" w:hanging="284"/>
              <w:rPr>
                <w:lang w:eastAsia="en-AU"/>
              </w:rPr>
            </w:pPr>
            <w:r w:rsidRPr="00DF69FF">
              <w:rPr>
                <w:lang w:eastAsia="en-AU"/>
              </w:rPr>
              <w:t xml:space="preserve">The value of volunteer services to arts and heritage organisations was $1.0 billion in </w:t>
            </w:r>
            <w:r w:rsidR="00686989" w:rsidRPr="00DF69FF">
              <w:rPr>
                <w:lang w:eastAsia="en-AU"/>
              </w:rPr>
              <w:t>2017–18</w:t>
            </w:r>
            <w:r w:rsidRPr="00DF69FF">
              <w:rPr>
                <w:lang w:eastAsia="en-AU"/>
              </w:rPr>
              <w:t xml:space="preserve">, $257 million more than $756 million in </w:t>
            </w:r>
            <w:r w:rsidR="00F52169" w:rsidRPr="00DF69FF">
              <w:rPr>
                <w:lang w:eastAsia="en-AU"/>
              </w:rPr>
              <w:t>2008–09.</w:t>
            </w:r>
            <w:r w:rsidRPr="00DF69FF">
              <w:rPr>
                <w:lang w:eastAsia="en-AU"/>
              </w:rPr>
              <w:t xml:space="preserve"> This value is identical to the total cultural and creative value of volunteer services due to the cultural and creative overlap of arts and heritage organisations.</w:t>
            </w:r>
          </w:p>
          <w:p w14:paraId="0B8891E3" w14:textId="59242BF5" w:rsidR="00F37141" w:rsidRPr="00DF69FF" w:rsidRDefault="00F37141" w:rsidP="00667FCB">
            <w:pPr>
              <w:pStyle w:val="Listparagraphbulletssecondlevel"/>
              <w:spacing w:after="0"/>
              <w:ind w:left="568" w:hanging="284"/>
              <w:rPr>
                <w:lang w:eastAsia="en-AU"/>
              </w:rPr>
            </w:pPr>
            <w:r w:rsidRPr="00DF69FF">
              <w:rPr>
                <w:lang w:eastAsia="en-AU"/>
              </w:rPr>
              <w:t>Non</w:t>
            </w:r>
            <w:r w:rsidRPr="00DF69FF">
              <w:rPr>
                <w:lang w:eastAsia="en-AU"/>
              </w:rPr>
              <w:noBreakHyphen/>
              <w:t xml:space="preserve">market output of market producers in the creative industries was $58 million in </w:t>
            </w:r>
            <w:r w:rsidR="00686989" w:rsidRPr="00DF69FF">
              <w:rPr>
                <w:lang w:eastAsia="en-AU"/>
              </w:rPr>
              <w:t>2017–18</w:t>
            </w:r>
            <w:r w:rsidRPr="00DF69FF">
              <w:rPr>
                <w:lang w:eastAsia="en-AU"/>
              </w:rPr>
              <w:t xml:space="preserve">, with an increase of $3 million compared to </w:t>
            </w:r>
            <w:r w:rsidR="00F52169" w:rsidRPr="00DF69FF">
              <w:rPr>
                <w:lang w:eastAsia="en-AU"/>
              </w:rPr>
              <w:t>2008–09.</w:t>
            </w:r>
          </w:p>
        </w:tc>
      </w:tr>
      <w:tr w:rsidR="00F37141" w:rsidRPr="00216C82" w14:paraId="119F0CDD"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78B758F2" w14:textId="59DE4C0D" w:rsidR="00F37141" w:rsidRPr="004A413A" w:rsidRDefault="00F37141" w:rsidP="00A61D6F">
            <w:pPr>
              <w:pStyle w:val="Tabletext"/>
              <w:rPr>
                <w:bCs/>
              </w:rPr>
            </w:pPr>
            <w:r w:rsidRPr="004A413A">
              <w:rPr>
                <w:bCs/>
              </w:rPr>
              <w:t>Figure</w:t>
            </w:r>
            <w:r w:rsidR="009371AE">
              <w:rPr>
                <w:bCs/>
              </w:rPr>
              <w:t> </w:t>
            </w:r>
            <w:r w:rsidRPr="004A413A">
              <w:rPr>
                <w:bCs/>
              </w:rPr>
              <w:t xml:space="preserve">11. GVA by domain, creative industries, </w:t>
            </w:r>
            <w:r w:rsidR="00686989">
              <w:rPr>
                <w:bCs/>
              </w:rPr>
              <w:t>2017–18</w:t>
            </w:r>
            <w:r w:rsidRPr="004A413A">
              <w:rPr>
                <w:bCs/>
              </w:rPr>
              <w:t xml:space="preserve"> ($m)</w:t>
            </w:r>
          </w:p>
        </w:tc>
        <w:tc>
          <w:tcPr>
            <w:tcW w:w="6379" w:type="dxa"/>
            <w:tcBorders>
              <w:top w:val="single" w:sz="4" w:space="0" w:color="auto"/>
              <w:left w:val="nil"/>
              <w:bottom w:val="single" w:sz="4" w:space="0" w:color="auto"/>
              <w:right w:val="nil"/>
            </w:tcBorders>
            <w:shd w:val="clear" w:color="auto" w:fill="E9E6E7" w:themeFill="text1" w:themeFillTint="1A"/>
          </w:tcPr>
          <w:p w14:paraId="399B3077" w14:textId="04BABF1E" w:rsidR="00F37141" w:rsidRPr="00486116" w:rsidRDefault="00F37141" w:rsidP="00667FCB">
            <w:pPr>
              <w:pStyle w:val="Listparagraphbullets"/>
              <w:spacing w:after="0"/>
              <w:ind w:left="284" w:hanging="284"/>
              <w:rPr>
                <w:lang w:eastAsia="en-AU"/>
              </w:rPr>
            </w:pPr>
            <w:r w:rsidRPr="00486116">
              <w:rPr>
                <w:lang w:eastAsia="en-AU"/>
              </w:rPr>
              <w:t>Creative activity represents a larger share of total GVA compared to cultural activity and displays a very similar structure to the overall combination of creative and cultural activity, being dominated by design at $44.1</w:t>
            </w:r>
            <w:r>
              <w:rPr>
                <w:lang w:eastAsia="en-AU"/>
              </w:rPr>
              <w:t> billion</w:t>
            </w:r>
            <w:r w:rsidRPr="00486116">
              <w:rPr>
                <w:lang w:eastAsia="en-AU"/>
              </w:rPr>
              <w:t>, fashion at $14.9</w:t>
            </w:r>
            <w:r>
              <w:rPr>
                <w:lang w:eastAsia="en-AU"/>
              </w:rPr>
              <w:t> billion</w:t>
            </w:r>
            <w:r w:rsidRPr="00486116">
              <w:rPr>
                <w:lang w:eastAsia="en-AU"/>
              </w:rPr>
              <w:t>, and broadcasting, electronic or digital media, and film at $9.5</w:t>
            </w:r>
            <w:r>
              <w:rPr>
                <w:lang w:eastAsia="en-AU"/>
              </w:rPr>
              <w:t> billion</w:t>
            </w:r>
            <w:r w:rsidRPr="00486116">
              <w:rPr>
                <w:lang w:eastAsia="en-AU"/>
              </w:rPr>
              <w:t xml:space="preserve"> in </w:t>
            </w:r>
            <w:r w:rsidR="00686989">
              <w:rPr>
                <w:lang w:eastAsia="en-AU"/>
              </w:rPr>
              <w:t>2017–18</w:t>
            </w:r>
            <w:r w:rsidRPr="00486116">
              <w:rPr>
                <w:lang w:eastAsia="en-AU"/>
              </w:rPr>
              <w:t>.</w:t>
            </w:r>
          </w:p>
        </w:tc>
      </w:tr>
      <w:tr w:rsidR="00F37141" w:rsidRPr="00216C82" w14:paraId="50F4C5AE" w14:textId="77777777" w:rsidTr="00DE46CD">
        <w:trPr>
          <w:cantSplit/>
        </w:trPr>
        <w:tc>
          <w:tcPr>
            <w:tcW w:w="2835" w:type="dxa"/>
            <w:tcBorders>
              <w:top w:val="single" w:sz="4" w:space="0" w:color="auto"/>
              <w:left w:val="nil"/>
              <w:bottom w:val="single" w:sz="4" w:space="0" w:color="auto"/>
              <w:right w:val="nil"/>
            </w:tcBorders>
            <w:shd w:val="clear" w:color="auto" w:fill="auto"/>
          </w:tcPr>
          <w:p w14:paraId="1DBD46A4" w14:textId="67CAD077" w:rsidR="00F37141" w:rsidRPr="004A413A" w:rsidRDefault="00F37141" w:rsidP="00A61D6F">
            <w:pPr>
              <w:pStyle w:val="Tabletext"/>
              <w:rPr>
                <w:bCs/>
              </w:rPr>
            </w:pPr>
            <w:r w:rsidRPr="004A413A">
              <w:rPr>
                <w:bCs/>
              </w:rPr>
              <w:t>Figure</w:t>
            </w:r>
            <w:r w:rsidR="009371AE">
              <w:rPr>
                <w:bCs/>
              </w:rPr>
              <w:t> </w:t>
            </w:r>
            <w:r w:rsidRPr="004A413A">
              <w:rPr>
                <w:bCs/>
              </w:rPr>
              <w:t xml:space="preserve">12. Creative activity, share of GDP,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014BB894" w14:textId="5FE3A9BC" w:rsidR="00F37141" w:rsidRPr="00486116" w:rsidRDefault="00F37141" w:rsidP="00667FCB">
            <w:pPr>
              <w:pStyle w:val="Listparagraphbullets"/>
              <w:spacing w:after="0"/>
              <w:ind w:left="284" w:hanging="284"/>
              <w:rPr>
                <w:lang w:eastAsia="en-AU"/>
              </w:rPr>
            </w:pPr>
            <w:r w:rsidRPr="00486116">
              <w:rPr>
                <w:lang w:eastAsia="en-AU"/>
              </w:rPr>
              <w:t xml:space="preserve">Creative activity </w:t>
            </w:r>
            <w:r>
              <w:rPr>
                <w:lang w:eastAsia="en-AU"/>
              </w:rPr>
              <w:t>as a share of GDP</w:t>
            </w:r>
            <w:r w:rsidRPr="00486116">
              <w:rPr>
                <w:lang w:eastAsia="en-AU"/>
              </w:rPr>
              <w:t xml:space="preserve"> declined by 0.4</w:t>
            </w:r>
            <w:r>
              <w:rPr>
                <w:lang w:eastAsia="en-AU"/>
              </w:rPr>
              <w:t> per cent</w:t>
            </w:r>
            <w:r w:rsidRPr="00486116">
              <w:rPr>
                <w:lang w:eastAsia="en-AU"/>
              </w:rPr>
              <w:t>, from 6.0</w:t>
            </w:r>
            <w:r w:rsidR="00F52169">
              <w:rPr>
                <w:lang w:eastAsia="en-AU"/>
              </w:rPr>
              <w:t> </w:t>
            </w:r>
            <w:r w:rsidRPr="00486116">
              <w:rPr>
                <w:lang w:eastAsia="en-AU"/>
              </w:rPr>
              <w:t xml:space="preserve">percent in </w:t>
            </w:r>
            <w:r w:rsidR="00686989">
              <w:rPr>
                <w:lang w:eastAsia="en-AU"/>
              </w:rPr>
              <w:t xml:space="preserve">2008–09 </w:t>
            </w:r>
            <w:r w:rsidRPr="00486116">
              <w:rPr>
                <w:lang w:eastAsia="en-AU"/>
              </w:rPr>
              <w:t>to 5.6</w:t>
            </w:r>
            <w:r>
              <w:rPr>
                <w:lang w:eastAsia="en-AU"/>
              </w:rPr>
              <w:t> per cent</w:t>
            </w:r>
            <w:r w:rsidRPr="00486116">
              <w:rPr>
                <w:lang w:eastAsia="en-AU"/>
              </w:rPr>
              <w:t xml:space="preserve"> in </w:t>
            </w:r>
            <w:r w:rsidR="00686989">
              <w:rPr>
                <w:lang w:eastAsia="en-AU"/>
              </w:rPr>
              <w:t>2017–18</w:t>
            </w:r>
            <w:r w:rsidRPr="00486116">
              <w:rPr>
                <w:lang w:eastAsia="en-AU"/>
              </w:rPr>
              <w:t>.</w:t>
            </w:r>
          </w:p>
        </w:tc>
      </w:tr>
      <w:tr w:rsidR="00F37141" w:rsidRPr="00216C82" w14:paraId="56FB17AF"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59507BBA" w14:textId="7CBD7857" w:rsidR="00F37141" w:rsidRPr="004A413A" w:rsidRDefault="00F37141" w:rsidP="00A61D6F">
            <w:pPr>
              <w:pStyle w:val="Tabletext"/>
              <w:rPr>
                <w:bCs/>
              </w:rPr>
            </w:pPr>
            <w:r w:rsidRPr="004A413A">
              <w:rPr>
                <w:bCs/>
              </w:rPr>
              <w:lastRenderedPageBreak/>
              <w:t>Figure</w:t>
            </w:r>
            <w:r w:rsidR="009371AE">
              <w:rPr>
                <w:bCs/>
              </w:rPr>
              <w:t> </w:t>
            </w:r>
            <w:r w:rsidR="0022305F">
              <w:rPr>
                <w:bCs/>
              </w:rPr>
              <w:t>13. Contribution of</w:t>
            </w:r>
            <w:r w:rsidRPr="004A413A">
              <w:rPr>
                <w:bCs/>
              </w:rPr>
              <w:t xml:space="preserve"> cultural and creative activity, GVA (by domain), net taxes on products and COE in other industries, </w:t>
            </w:r>
            <w:r w:rsidR="00686989">
              <w:rPr>
                <w:bCs/>
              </w:rPr>
              <w:t xml:space="preserve">2008–09 </w:t>
            </w:r>
            <w:r w:rsidRPr="004A413A">
              <w:rPr>
                <w:bCs/>
              </w:rPr>
              <w:t xml:space="preserve">and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5267782E" w14:textId="77777777" w:rsidR="00F37141" w:rsidRPr="00486116" w:rsidRDefault="00F37141" w:rsidP="00667FCB">
            <w:pPr>
              <w:pStyle w:val="Listparagraphbullets"/>
              <w:spacing w:after="0"/>
              <w:ind w:left="284" w:hanging="284"/>
              <w:rPr>
                <w:lang w:eastAsia="en-AU"/>
              </w:rPr>
            </w:pPr>
            <w:r w:rsidRPr="00486116">
              <w:rPr>
                <w:lang w:eastAsia="en-AU"/>
              </w:rPr>
              <w:t>Cultural and creative activity can be also analysed by domains which are grouped in terms of related industries.</w:t>
            </w:r>
          </w:p>
          <w:p w14:paraId="667A708C" w14:textId="6FD431D4" w:rsidR="00F37141" w:rsidRPr="00486116" w:rsidRDefault="00F37141" w:rsidP="00667FCB">
            <w:pPr>
              <w:pStyle w:val="Listparagraphbullets"/>
              <w:spacing w:after="0"/>
              <w:ind w:left="284" w:hanging="284"/>
              <w:rPr>
                <w:lang w:eastAsia="en-AU"/>
              </w:rPr>
            </w:pPr>
            <w:r w:rsidRPr="00486116">
              <w:rPr>
                <w:lang w:eastAsia="en-AU"/>
              </w:rPr>
              <w:t xml:space="preserve">The largest contribution to cultural and creative activity was design. This domain increased by 7.3 percentage points as a </w:t>
            </w:r>
            <w:r>
              <w:rPr>
                <w:lang w:eastAsia="en-AU"/>
              </w:rPr>
              <w:t>share of</w:t>
            </w:r>
            <w:r w:rsidRPr="00486116">
              <w:rPr>
                <w:lang w:eastAsia="en-AU"/>
              </w:rPr>
              <w:t xml:space="preserve"> total activity, from 31.0</w:t>
            </w:r>
            <w:r>
              <w:rPr>
                <w:lang w:eastAsia="en-AU"/>
              </w:rPr>
              <w:t> per cent</w:t>
            </w:r>
            <w:r w:rsidRPr="00486116">
              <w:rPr>
                <w:lang w:eastAsia="en-AU"/>
              </w:rPr>
              <w:t xml:space="preserve"> in </w:t>
            </w:r>
            <w:r w:rsidR="00686989">
              <w:rPr>
                <w:lang w:eastAsia="en-AU"/>
              </w:rPr>
              <w:t xml:space="preserve">2008–09 </w:t>
            </w:r>
            <w:r w:rsidRPr="00486116">
              <w:rPr>
                <w:lang w:eastAsia="en-AU"/>
              </w:rPr>
              <w:t>to 38.3</w:t>
            </w:r>
            <w:r>
              <w:rPr>
                <w:lang w:eastAsia="en-AU"/>
              </w:rPr>
              <w:t> per cent</w:t>
            </w:r>
            <w:r w:rsidRPr="00486116">
              <w:rPr>
                <w:lang w:eastAsia="en-AU"/>
              </w:rPr>
              <w:t xml:space="preserve"> in </w:t>
            </w:r>
            <w:r w:rsidR="00686989">
              <w:rPr>
                <w:lang w:eastAsia="en-AU"/>
              </w:rPr>
              <w:t>2017–18</w:t>
            </w:r>
            <w:r w:rsidRPr="00486116">
              <w:rPr>
                <w:lang w:eastAsia="en-AU"/>
              </w:rPr>
              <w:t xml:space="preserve">. Fashion, the second largest domain as a </w:t>
            </w:r>
            <w:r>
              <w:rPr>
                <w:lang w:eastAsia="en-AU"/>
              </w:rPr>
              <w:t>share of</w:t>
            </w:r>
            <w:r w:rsidRPr="00486116">
              <w:rPr>
                <w:lang w:eastAsia="en-AU"/>
              </w:rPr>
              <w:t xml:space="preserve"> cultural and creative activity declined by 0.9 percentage point</w:t>
            </w:r>
            <w:r w:rsidR="00635016">
              <w:rPr>
                <w:lang w:eastAsia="en-AU"/>
              </w:rPr>
              <w:t>s</w:t>
            </w:r>
            <w:r w:rsidRPr="00486116">
              <w:rPr>
                <w:lang w:eastAsia="en-AU"/>
              </w:rPr>
              <w:t>, from 13.8</w:t>
            </w:r>
            <w:r>
              <w:rPr>
                <w:lang w:eastAsia="en-AU"/>
              </w:rPr>
              <w:t> per cent</w:t>
            </w:r>
            <w:r w:rsidRPr="00486116">
              <w:rPr>
                <w:lang w:eastAsia="en-AU"/>
              </w:rPr>
              <w:t xml:space="preserve"> in </w:t>
            </w:r>
            <w:r w:rsidR="00686989">
              <w:rPr>
                <w:lang w:eastAsia="en-AU"/>
              </w:rPr>
              <w:t xml:space="preserve">2008–09 </w:t>
            </w:r>
            <w:r w:rsidRPr="00486116">
              <w:rPr>
                <w:lang w:eastAsia="en-AU"/>
              </w:rPr>
              <w:t>to 12.9</w:t>
            </w:r>
            <w:r>
              <w:rPr>
                <w:lang w:eastAsia="en-AU"/>
              </w:rPr>
              <w:t> per cent</w:t>
            </w:r>
            <w:r w:rsidRPr="00486116">
              <w:rPr>
                <w:lang w:eastAsia="en-AU"/>
              </w:rPr>
              <w:t xml:space="preserve"> in </w:t>
            </w:r>
            <w:r w:rsidR="00686989">
              <w:rPr>
                <w:lang w:eastAsia="en-AU"/>
              </w:rPr>
              <w:t>2017–18</w:t>
            </w:r>
            <w:r w:rsidRPr="00486116">
              <w:rPr>
                <w:lang w:eastAsia="en-AU"/>
              </w:rPr>
              <w:t xml:space="preserve">. The </w:t>
            </w:r>
            <w:r>
              <w:rPr>
                <w:lang w:eastAsia="en-AU"/>
              </w:rPr>
              <w:t>share of</w:t>
            </w:r>
            <w:r w:rsidRPr="00486116">
              <w:rPr>
                <w:lang w:eastAsia="en-AU"/>
              </w:rPr>
              <w:t xml:space="preserve"> broadcasting, electronic or digital media, and film has remained relatively flat, moving from 8.5</w:t>
            </w:r>
            <w:r>
              <w:rPr>
                <w:lang w:eastAsia="en-AU"/>
              </w:rPr>
              <w:t> per cent</w:t>
            </w:r>
            <w:r w:rsidRPr="00486116">
              <w:rPr>
                <w:lang w:eastAsia="en-AU"/>
              </w:rPr>
              <w:t xml:space="preserve"> in </w:t>
            </w:r>
            <w:r w:rsidR="00686989">
              <w:rPr>
                <w:lang w:eastAsia="en-AU"/>
              </w:rPr>
              <w:t xml:space="preserve">2008–09 </w:t>
            </w:r>
            <w:r w:rsidRPr="00486116">
              <w:rPr>
                <w:lang w:eastAsia="en-AU"/>
              </w:rPr>
              <w:t>to 8.4</w:t>
            </w:r>
            <w:r>
              <w:rPr>
                <w:lang w:eastAsia="en-AU"/>
              </w:rPr>
              <w:t> per cent</w:t>
            </w:r>
            <w:r w:rsidRPr="00486116">
              <w:rPr>
                <w:lang w:eastAsia="en-AU"/>
              </w:rPr>
              <w:t xml:space="preserve"> in </w:t>
            </w:r>
            <w:r w:rsidR="00686989">
              <w:rPr>
                <w:lang w:eastAsia="en-AU"/>
              </w:rPr>
              <w:t>2017–18</w:t>
            </w:r>
            <w:r w:rsidRPr="00486116">
              <w:rPr>
                <w:lang w:eastAsia="en-AU"/>
              </w:rPr>
              <w:t xml:space="preserve">. Literature and print media, the second largest domain in </w:t>
            </w:r>
            <w:r w:rsidR="00686989">
              <w:rPr>
                <w:lang w:eastAsia="en-AU"/>
              </w:rPr>
              <w:t xml:space="preserve">2008–09 </w:t>
            </w:r>
            <w:r w:rsidRPr="00486116">
              <w:rPr>
                <w:lang w:eastAsia="en-AU"/>
              </w:rPr>
              <w:t>at 14.9</w:t>
            </w:r>
            <w:r>
              <w:rPr>
                <w:lang w:eastAsia="en-AU"/>
              </w:rPr>
              <w:t> per cent</w:t>
            </w:r>
            <w:r w:rsidRPr="00486116">
              <w:rPr>
                <w:lang w:eastAsia="en-AU"/>
              </w:rPr>
              <w:t xml:space="preserve"> dropped to 8.3</w:t>
            </w:r>
            <w:r>
              <w:rPr>
                <w:lang w:eastAsia="en-AU"/>
              </w:rPr>
              <w:t> per cent</w:t>
            </w:r>
            <w:r w:rsidRPr="00486116">
              <w:rPr>
                <w:lang w:eastAsia="en-AU"/>
              </w:rPr>
              <w:t xml:space="preserve"> and became the fourth largest domain of cultural and creative activity in </w:t>
            </w:r>
            <w:r w:rsidR="00686989">
              <w:rPr>
                <w:lang w:eastAsia="en-AU"/>
              </w:rPr>
              <w:t>2017–18</w:t>
            </w:r>
            <w:r w:rsidRPr="00486116">
              <w:rPr>
                <w:lang w:eastAsia="en-AU"/>
              </w:rPr>
              <w:t>.</w:t>
            </w:r>
          </w:p>
          <w:p w14:paraId="7FA779DD" w14:textId="0208ECC7" w:rsidR="00F37141" w:rsidRPr="00486116" w:rsidRDefault="00F37141" w:rsidP="00667FCB">
            <w:pPr>
              <w:pStyle w:val="Listparagraphbullets"/>
              <w:spacing w:after="0"/>
              <w:ind w:left="284" w:hanging="284"/>
              <w:rPr>
                <w:lang w:eastAsia="en-AU"/>
              </w:rPr>
            </w:pPr>
            <w:r w:rsidRPr="00486116">
              <w:rPr>
                <w:lang w:eastAsia="en-AU"/>
              </w:rPr>
              <w:t>These four domains, in total, contributed 67.9</w:t>
            </w:r>
            <w:r>
              <w:rPr>
                <w:lang w:eastAsia="en-AU"/>
              </w:rPr>
              <w:t> per cent</w:t>
            </w:r>
            <w:r w:rsidRPr="00486116">
              <w:rPr>
                <w:lang w:eastAsia="en-AU"/>
              </w:rPr>
              <w:t xml:space="preserve"> of cultural and creative activity</w:t>
            </w:r>
            <w:r>
              <w:rPr>
                <w:lang w:eastAsia="en-AU"/>
              </w:rPr>
              <w:t>. A</w:t>
            </w:r>
            <w:r w:rsidRPr="00486116">
              <w:rPr>
                <w:lang w:eastAsia="en-AU"/>
              </w:rPr>
              <w:t>ll other domains had a much smaller impact at 8.6</w:t>
            </w:r>
            <w:r>
              <w:rPr>
                <w:lang w:eastAsia="en-AU"/>
              </w:rPr>
              <w:t> per cent</w:t>
            </w:r>
            <w:r w:rsidRPr="00486116">
              <w:rPr>
                <w:lang w:eastAsia="en-AU"/>
              </w:rPr>
              <w:t xml:space="preserve"> in </w:t>
            </w:r>
            <w:r w:rsidR="00686989">
              <w:rPr>
                <w:lang w:eastAsia="en-AU"/>
              </w:rPr>
              <w:t>2017–18</w:t>
            </w:r>
            <w:r w:rsidRPr="00486116">
              <w:rPr>
                <w:lang w:eastAsia="en-AU"/>
              </w:rPr>
              <w:t>. The remaining 23.5</w:t>
            </w:r>
            <w:r>
              <w:rPr>
                <w:lang w:eastAsia="en-AU"/>
              </w:rPr>
              <w:t> per cent</w:t>
            </w:r>
            <w:r w:rsidRPr="00486116">
              <w:rPr>
                <w:lang w:eastAsia="en-AU"/>
              </w:rPr>
              <w:t xml:space="preserve"> was made up of income received from creative and cultural workers in other industries (Imputed COE) and net taxes on products.</w:t>
            </w:r>
          </w:p>
        </w:tc>
      </w:tr>
      <w:tr w:rsidR="00F37141" w:rsidRPr="00216C82" w14:paraId="7B9F19A3" w14:textId="77777777" w:rsidTr="00DE46CD">
        <w:trPr>
          <w:cantSplit/>
        </w:trPr>
        <w:tc>
          <w:tcPr>
            <w:tcW w:w="2835" w:type="dxa"/>
            <w:tcBorders>
              <w:top w:val="single" w:sz="4" w:space="0" w:color="auto"/>
              <w:left w:val="nil"/>
              <w:bottom w:val="single" w:sz="4" w:space="0" w:color="auto"/>
              <w:right w:val="nil"/>
            </w:tcBorders>
            <w:shd w:val="clear" w:color="auto" w:fill="auto"/>
          </w:tcPr>
          <w:p w14:paraId="79C86CE9" w14:textId="1FB275E4" w:rsidR="00F37141" w:rsidRPr="004A413A" w:rsidRDefault="00F37141" w:rsidP="00A61D6F">
            <w:pPr>
              <w:pStyle w:val="Tabletext"/>
              <w:rPr>
                <w:bCs/>
              </w:rPr>
            </w:pPr>
            <w:r w:rsidRPr="004A413A">
              <w:rPr>
                <w:bCs/>
              </w:rPr>
              <w:t>Figure</w:t>
            </w:r>
            <w:r w:rsidR="009371AE">
              <w:rPr>
                <w:bCs/>
              </w:rPr>
              <w:t> </w:t>
            </w:r>
            <w:r w:rsidRPr="004A413A">
              <w:rPr>
                <w:bCs/>
              </w:rPr>
              <w:t xml:space="preserve">14. Nominal GVA growth by domain, cultural and creative industries,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04C7AF5C" w14:textId="637FEC3B" w:rsidR="00F37141" w:rsidRPr="00486116" w:rsidRDefault="00F37141" w:rsidP="00667FCB">
            <w:pPr>
              <w:pStyle w:val="Listparagraphbullets"/>
              <w:spacing w:after="0"/>
              <w:ind w:left="284" w:hanging="284"/>
              <w:rPr>
                <w:lang w:eastAsia="en-AU"/>
              </w:rPr>
            </w:pPr>
            <w:r w:rsidRPr="00486116">
              <w:rPr>
                <w:lang w:eastAsia="en-AU"/>
              </w:rPr>
              <w:t xml:space="preserve">Eleven of the twelve domains experienced growth from </w:t>
            </w:r>
            <w:r w:rsidR="00686989">
              <w:rPr>
                <w:lang w:eastAsia="en-AU"/>
              </w:rPr>
              <w:t xml:space="preserve">2008–09 </w:t>
            </w:r>
            <w:r w:rsidRPr="00486116">
              <w:rPr>
                <w:lang w:eastAsia="en-AU"/>
              </w:rPr>
              <w:t xml:space="preserve">to </w:t>
            </w:r>
            <w:r w:rsidR="00686989">
              <w:rPr>
                <w:lang w:eastAsia="en-AU"/>
              </w:rPr>
              <w:t>2017–18</w:t>
            </w:r>
            <w:r w:rsidRPr="00486116">
              <w:rPr>
                <w:lang w:eastAsia="en-AU"/>
              </w:rPr>
              <w:t>. Design had the strongest growth of 65.5</w:t>
            </w:r>
            <w:r>
              <w:rPr>
                <w:lang w:eastAsia="en-AU"/>
              </w:rPr>
              <w:t> per cent</w:t>
            </w:r>
            <w:r w:rsidRPr="00486116">
              <w:rPr>
                <w:lang w:eastAsia="en-AU"/>
              </w:rPr>
              <w:t xml:space="preserve"> or $17.5</w:t>
            </w:r>
            <w:r>
              <w:rPr>
                <w:lang w:eastAsia="en-AU"/>
              </w:rPr>
              <w:t> billion</w:t>
            </w:r>
            <w:r w:rsidRPr="00486116">
              <w:rPr>
                <w:lang w:eastAsia="en-AU"/>
              </w:rPr>
              <w:t>. The only domain to decline in absolute terms was literature and print media which decreased by 25.1</w:t>
            </w:r>
            <w:r>
              <w:rPr>
                <w:lang w:eastAsia="en-AU"/>
              </w:rPr>
              <w:t> per cent</w:t>
            </w:r>
            <w:r w:rsidRPr="00486116">
              <w:rPr>
                <w:lang w:eastAsia="en-AU"/>
              </w:rPr>
              <w:t xml:space="preserve"> or $3.2</w:t>
            </w:r>
            <w:r>
              <w:rPr>
                <w:lang w:eastAsia="en-AU"/>
              </w:rPr>
              <w:t> billion</w:t>
            </w:r>
            <w:r w:rsidRPr="00486116">
              <w:rPr>
                <w:lang w:eastAsia="en-AU"/>
              </w:rPr>
              <w:t>.</w:t>
            </w:r>
          </w:p>
        </w:tc>
      </w:tr>
      <w:tr w:rsidR="00F37141" w:rsidRPr="00216C82" w14:paraId="1406F574"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21A76B6B" w14:textId="18D55549" w:rsidR="00F37141" w:rsidRPr="004A413A" w:rsidRDefault="00F37141" w:rsidP="00A61D6F">
            <w:pPr>
              <w:pStyle w:val="Tabletext"/>
              <w:rPr>
                <w:bCs/>
              </w:rPr>
            </w:pPr>
            <w:r w:rsidRPr="004A413A">
              <w:rPr>
                <w:bCs/>
              </w:rPr>
              <w:t>Figure</w:t>
            </w:r>
            <w:r w:rsidR="009371AE">
              <w:rPr>
                <w:bCs/>
              </w:rPr>
              <w:t> </w:t>
            </w:r>
            <w:r w:rsidRPr="004A413A">
              <w:rPr>
                <w:bCs/>
              </w:rPr>
              <w:t>15. Domain’s GVA relative to GDP</w:t>
            </w:r>
          </w:p>
        </w:tc>
        <w:tc>
          <w:tcPr>
            <w:tcW w:w="6379" w:type="dxa"/>
            <w:tcBorders>
              <w:top w:val="single" w:sz="4" w:space="0" w:color="auto"/>
              <w:left w:val="nil"/>
              <w:bottom w:val="single" w:sz="4" w:space="0" w:color="auto"/>
              <w:right w:val="nil"/>
            </w:tcBorders>
            <w:shd w:val="clear" w:color="auto" w:fill="E9E6E7" w:themeFill="text1" w:themeFillTint="1A"/>
          </w:tcPr>
          <w:p w14:paraId="2ED09C3F" w14:textId="16D658B5" w:rsidR="00F37141" w:rsidRPr="00486116" w:rsidRDefault="00F37141" w:rsidP="00667FCB">
            <w:pPr>
              <w:pStyle w:val="Listparagraphbullets"/>
              <w:spacing w:after="0"/>
              <w:ind w:left="284" w:hanging="284"/>
              <w:rPr>
                <w:lang w:eastAsia="en-AU"/>
              </w:rPr>
            </w:pPr>
            <w:r w:rsidRPr="00486116">
              <w:rPr>
                <w:lang w:eastAsia="en-AU"/>
              </w:rPr>
              <w:t>Literature and print media contracted over the period; most cultural and creative domains grew, but did not keep pace with the economy as a whole; and design as well as supporting activities, outpaced the economy.</w:t>
            </w:r>
          </w:p>
        </w:tc>
      </w:tr>
      <w:tr w:rsidR="00F37141" w:rsidRPr="00216C82" w14:paraId="064E09CA" w14:textId="77777777" w:rsidTr="00DE46CD">
        <w:trPr>
          <w:cantSplit/>
        </w:trPr>
        <w:tc>
          <w:tcPr>
            <w:tcW w:w="2835" w:type="dxa"/>
            <w:tcBorders>
              <w:top w:val="single" w:sz="4" w:space="0" w:color="auto"/>
              <w:left w:val="nil"/>
              <w:bottom w:val="single" w:sz="4" w:space="0" w:color="auto"/>
              <w:right w:val="nil"/>
            </w:tcBorders>
            <w:shd w:val="clear" w:color="auto" w:fill="auto"/>
          </w:tcPr>
          <w:p w14:paraId="6A033170" w14:textId="53B09123" w:rsidR="00F37141" w:rsidRPr="004A413A" w:rsidRDefault="00F37141" w:rsidP="00A61D6F">
            <w:pPr>
              <w:pStyle w:val="Tabletext"/>
              <w:rPr>
                <w:bCs/>
              </w:rPr>
            </w:pPr>
            <w:r w:rsidRPr="004A413A">
              <w:rPr>
                <w:bCs/>
              </w:rPr>
              <w:t>Table</w:t>
            </w:r>
            <w:r w:rsidR="009371AE">
              <w:rPr>
                <w:bCs/>
              </w:rPr>
              <w:t> </w:t>
            </w:r>
            <w:r w:rsidRPr="004A413A">
              <w:rPr>
                <w:bCs/>
              </w:rPr>
              <w:t xml:space="preserve">6. Cultural and creative activity in museums,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178C8EC6" w14:textId="61DF3424" w:rsidR="00F37141" w:rsidRPr="00486116" w:rsidRDefault="00F37141" w:rsidP="00667FCB">
            <w:pPr>
              <w:pStyle w:val="Listparagraphbullets"/>
              <w:spacing w:after="0"/>
              <w:ind w:left="284" w:hanging="284"/>
              <w:rPr>
                <w:lang w:eastAsia="en-AU"/>
              </w:rPr>
            </w:pPr>
            <w:r w:rsidRPr="00486116">
              <w:rPr>
                <w:lang w:eastAsia="en-AU"/>
              </w:rPr>
              <w:t>GVA of cultural and creative activity in museums increased by $187</w:t>
            </w:r>
            <w:r>
              <w:rPr>
                <w:lang w:eastAsia="en-AU"/>
              </w:rPr>
              <w:t> million</w:t>
            </w:r>
            <w:r w:rsidRPr="00486116">
              <w:rPr>
                <w:lang w:eastAsia="en-AU"/>
              </w:rPr>
              <w:t xml:space="preserve"> or 37.2</w:t>
            </w:r>
            <w:r>
              <w:rPr>
                <w:lang w:eastAsia="en-AU"/>
              </w:rPr>
              <w:t> per cent</w:t>
            </w:r>
            <w:r w:rsidRPr="00486116">
              <w:rPr>
                <w:lang w:eastAsia="en-AU"/>
              </w:rPr>
              <w:t xml:space="preserve"> from </w:t>
            </w:r>
            <w:r w:rsidR="00686989">
              <w:rPr>
                <w:lang w:eastAsia="en-AU"/>
              </w:rPr>
              <w:t xml:space="preserve">2008–09 </w:t>
            </w:r>
            <w:r w:rsidRPr="00486116">
              <w:rPr>
                <w:lang w:eastAsia="en-AU"/>
              </w:rPr>
              <w:t xml:space="preserve">to </w:t>
            </w:r>
            <w:r w:rsidR="00686989">
              <w:rPr>
                <w:lang w:eastAsia="en-AU"/>
              </w:rPr>
              <w:t>2017–18</w:t>
            </w:r>
            <w:r w:rsidRPr="00486116">
              <w:rPr>
                <w:lang w:eastAsia="en-AU"/>
              </w:rPr>
              <w:t>. As a share of GDP, it has remained relatively flat over the period.</w:t>
            </w:r>
          </w:p>
        </w:tc>
      </w:tr>
      <w:tr w:rsidR="00F37141" w:rsidRPr="00216C82" w14:paraId="03397DDD"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7ADA4546" w14:textId="17379A0D" w:rsidR="00F37141" w:rsidRPr="004A413A" w:rsidRDefault="00F37141" w:rsidP="00A61D6F">
            <w:pPr>
              <w:pStyle w:val="Tabletext"/>
              <w:rPr>
                <w:bCs/>
              </w:rPr>
            </w:pPr>
            <w:r w:rsidRPr="004A413A">
              <w:rPr>
                <w:bCs/>
              </w:rPr>
              <w:t>Figure</w:t>
            </w:r>
            <w:r w:rsidR="009371AE">
              <w:rPr>
                <w:bCs/>
              </w:rPr>
              <w:t> </w:t>
            </w:r>
            <w:r w:rsidRPr="004A413A">
              <w:rPr>
                <w:bCs/>
              </w:rPr>
              <w:t xml:space="preserve">16. GVA, cultural and creative activity in museums,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22A085CB" w14:textId="16D9BD87" w:rsidR="00F37141" w:rsidRPr="00486116" w:rsidRDefault="00F37141" w:rsidP="00667FCB">
            <w:pPr>
              <w:pStyle w:val="Listparagraphbullets"/>
              <w:spacing w:after="0"/>
              <w:ind w:left="284" w:hanging="284"/>
              <w:rPr>
                <w:lang w:eastAsia="en-AU"/>
              </w:rPr>
            </w:pPr>
            <w:r w:rsidRPr="00F33197">
              <w:rPr>
                <w:i/>
                <w:lang w:eastAsia="en-AU"/>
              </w:rPr>
              <w:t>See notes above.</w:t>
            </w:r>
          </w:p>
        </w:tc>
      </w:tr>
      <w:tr w:rsidR="00F37141" w:rsidRPr="00216C82" w14:paraId="4935109F" w14:textId="77777777" w:rsidTr="00DE46CD">
        <w:trPr>
          <w:cantSplit/>
        </w:trPr>
        <w:tc>
          <w:tcPr>
            <w:tcW w:w="2835" w:type="dxa"/>
            <w:tcBorders>
              <w:top w:val="single" w:sz="4" w:space="0" w:color="auto"/>
              <w:left w:val="nil"/>
              <w:bottom w:val="single" w:sz="4" w:space="0" w:color="auto"/>
              <w:right w:val="nil"/>
            </w:tcBorders>
            <w:shd w:val="clear" w:color="auto" w:fill="auto"/>
          </w:tcPr>
          <w:p w14:paraId="4F9E34D7" w14:textId="4905D277" w:rsidR="00F37141" w:rsidRPr="004A413A" w:rsidRDefault="00F37141" w:rsidP="00A61D6F">
            <w:pPr>
              <w:pStyle w:val="Tabletext"/>
              <w:rPr>
                <w:bCs/>
              </w:rPr>
            </w:pPr>
            <w:r w:rsidRPr="004A413A">
              <w:rPr>
                <w:bCs/>
              </w:rPr>
              <w:t>Table</w:t>
            </w:r>
            <w:r w:rsidR="009371AE">
              <w:rPr>
                <w:bCs/>
              </w:rPr>
              <w:t> </w:t>
            </w:r>
            <w:r w:rsidRPr="004A413A">
              <w:rPr>
                <w:bCs/>
              </w:rPr>
              <w:t xml:space="preserve">7. Cultural and creative activity in environmental heritage,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035E06BC" w14:textId="789B7B2B" w:rsidR="00F37141" w:rsidRPr="00486116" w:rsidRDefault="00F37141" w:rsidP="00667FCB">
            <w:pPr>
              <w:pStyle w:val="Listparagraphbullets"/>
              <w:spacing w:after="0"/>
              <w:ind w:left="284" w:hanging="284"/>
              <w:rPr>
                <w:lang w:eastAsia="en-AU"/>
              </w:rPr>
            </w:pPr>
            <w:r w:rsidRPr="00486116">
              <w:rPr>
                <w:lang w:eastAsia="en-AU"/>
              </w:rPr>
              <w:t>GVA of cultural and creative activity in environmental heritage increased by $365</w:t>
            </w:r>
            <w:r>
              <w:rPr>
                <w:lang w:eastAsia="en-AU"/>
              </w:rPr>
              <w:t> million</w:t>
            </w:r>
            <w:r w:rsidRPr="00486116">
              <w:rPr>
                <w:lang w:eastAsia="en-AU"/>
              </w:rPr>
              <w:t xml:space="preserve"> or 37.2</w:t>
            </w:r>
            <w:r>
              <w:rPr>
                <w:lang w:eastAsia="en-AU"/>
              </w:rPr>
              <w:t> per cent</w:t>
            </w:r>
            <w:r w:rsidRPr="00486116">
              <w:rPr>
                <w:lang w:eastAsia="en-AU"/>
              </w:rPr>
              <w:t xml:space="preserve"> from </w:t>
            </w:r>
            <w:r w:rsidR="00686989">
              <w:rPr>
                <w:lang w:eastAsia="en-AU"/>
              </w:rPr>
              <w:t xml:space="preserve">2008–09 </w:t>
            </w:r>
            <w:r w:rsidRPr="00486116">
              <w:rPr>
                <w:lang w:eastAsia="en-AU"/>
              </w:rPr>
              <w:t xml:space="preserve">to </w:t>
            </w:r>
            <w:r w:rsidR="00914F7B">
              <w:rPr>
                <w:lang w:eastAsia="en-AU"/>
              </w:rPr>
              <w:t>2017–18</w:t>
            </w:r>
            <w:r w:rsidRPr="00486116">
              <w:rPr>
                <w:lang w:eastAsia="en-AU"/>
              </w:rPr>
              <w:t xml:space="preserve">. As a share of GDP, it has remained relatively flat over the period but has declined slightly in recent years. </w:t>
            </w:r>
          </w:p>
        </w:tc>
      </w:tr>
      <w:tr w:rsidR="00F37141" w:rsidRPr="00216C82" w14:paraId="64CF2F84"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13CB71B1" w14:textId="3405902E" w:rsidR="00F37141" w:rsidRPr="004A413A" w:rsidRDefault="00F37141" w:rsidP="00A61D6F">
            <w:pPr>
              <w:pStyle w:val="Tabletext"/>
              <w:rPr>
                <w:bCs/>
              </w:rPr>
            </w:pPr>
            <w:r w:rsidRPr="004A413A">
              <w:rPr>
                <w:bCs/>
              </w:rPr>
              <w:lastRenderedPageBreak/>
              <w:t>Figure</w:t>
            </w:r>
            <w:r w:rsidR="009371AE">
              <w:rPr>
                <w:bCs/>
              </w:rPr>
              <w:t> </w:t>
            </w:r>
            <w:r w:rsidRPr="004A413A">
              <w:rPr>
                <w:bCs/>
              </w:rPr>
              <w:t xml:space="preserve">17. GVA, cultural and creative activity in environmental heritage,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567F182C" w14:textId="3711130E" w:rsidR="00F37141" w:rsidRPr="006130B3" w:rsidRDefault="00F37141" w:rsidP="00667FCB">
            <w:pPr>
              <w:pStyle w:val="Listparagraphbullets"/>
              <w:spacing w:after="0"/>
              <w:ind w:left="284" w:hanging="284"/>
              <w:rPr>
                <w:lang w:eastAsia="en-AU"/>
              </w:rPr>
            </w:pPr>
            <w:r w:rsidRPr="00F33197">
              <w:rPr>
                <w:lang w:eastAsia="en-AU"/>
              </w:rPr>
              <w:t>See notes above.</w:t>
            </w:r>
          </w:p>
        </w:tc>
      </w:tr>
      <w:tr w:rsidR="00F37141" w:rsidRPr="00216C82" w14:paraId="7E76B434" w14:textId="77777777" w:rsidTr="00DE46CD">
        <w:trPr>
          <w:cantSplit/>
        </w:trPr>
        <w:tc>
          <w:tcPr>
            <w:tcW w:w="2835" w:type="dxa"/>
            <w:tcBorders>
              <w:top w:val="single" w:sz="4" w:space="0" w:color="auto"/>
              <w:left w:val="nil"/>
              <w:bottom w:val="single" w:sz="4" w:space="0" w:color="auto"/>
              <w:right w:val="nil"/>
            </w:tcBorders>
            <w:shd w:val="clear" w:color="auto" w:fill="auto"/>
          </w:tcPr>
          <w:p w14:paraId="7B5ECB7E" w14:textId="401C6C55" w:rsidR="00F37141" w:rsidRPr="004A413A" w:rsidRDefault="00F37141" w:rsidP="00A61D6F">
            <w:pPr>
              <w:pStyle w:val="Tabletext"/>
              <w:rPr>
                <w:bCs/>
              </w:rPr>
            </w:pPr>
            <w:r w:rsidRPr="004A413A">
              <w:rPr>
                <w:bCs/>
              </w:rPr>
              <w:t>Table</w:t>
            </w:r>
            <w:r w:rsidR="009371AE">
              <w:rPr>
                <w:bCs/>
              </w:rPr>
              <w:t> </w:t>
            </w:r>
            <w:r w:rsidRPr="004A413A">
              <w:rPr>
                <w:bCs/>
              </w:rPr>
              <w:t xml:space="preserve">8. Cultural and creative activity in libraries and archives,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7EB19A3B" w14:textId="131C04E4" w:rsidR="00F37141" w:rsidRPr="00486116" w:rsidRDefault="00F37141" w:rsidP="00667FCB">
            <w:pPr>
              <w:pStyle w:val="Listparagraphbullets"/>
              <w:spacing w:after="0"/>
              <w:ind w:left="284" w:hanging="284"/>
              <w:rPr>
                <w:lang w:eastAsia="en-AU"/>
              </w:rPr>
            </w:pPr>
            <w:r w:rsidRPr="00486116">
              <w:rPr>
                <w:lang w:eastAsia="en-AU"/>
              </w:rPr>
              <w:t>GVA of cultural and creative activity in libraries and archives has increased by $247</w:t>
            </w:r>
            <w:r>
              <w:rPr>
                <w:lang w:eastAsia="en-AU"/>
              </w:rPr>
              <w:t> million</w:t>
            </w:r>
            <w:r w:rsidRPr="00486116">
              <w:rPr>
                <w:lang w:eastAsia="en-AU"/>
              </w:rPr>
              <w:t xml:space="preserve"> or 33.3</w:t>
            </w:r>
            <w:r>
              <w:rPr>
                <w:lang w:eastAsia="en-AU"/>
              </w:rPr>
              <w:t> per cent</w:t>
            </w:r>
            <w:r w:rsidRPr="00486116">
              <w:rPr>
                <w:lang w:eastAsia="en-AU"/>
              </w:rPr>
              <w:t xml:space="preserve"> from </w:t>
            </w:r>
            <w:r w:rsidR="00686989">
              <w:rPr>
                <w:lang w:eastAsia="en-AU"/>
              </w:rPr>
              <w:t xml:space="preserve">2008–09 </w:t>
            </w:r>
            <w:r w:rsidRPr="00486116">
              <w:rPr>
                <w:lang w:eastAsia="en-AU"/>
              </w:rPr>
              <w:t xml:space="preserve">to </w:t>
            </w:r>
            <w:r w:rsidR="00914F7B">
              <w:rPr>
                <w:lang w:eastAsia="en-AU"/>
              </w:rPr>
              <w:t>2017–18</w:t>
            </w:r>
            <w:r w:rsidRPr="00486116">
              <w:rPr>
                <w:lang w:eastAsia="en-AU"/>
              </w:rPr>
              <w:t xml:space="preserve">. However, as a share of GDP, it has remained relatively flat over the period but has declined slightly in recent years. </w:t>
            </w:r>
          </w:p>
        </w:tc>
      </w:tr>
      <w:tr w:rsidR="00F37141" w:rsidRPr="00216C82" w14:paraId="3067338E"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2AEC28F3" w14:textId="2B805D2D" w:rsidR="00F37141" w:rsidRPr="004A413A" w:rsidRDefault="00F37141" w:rsidP="00A61D6F">
            <w:pPr>
              <w:pStyle w:val="Tabletext"/>
              <w:rPr>
                <w:bCs/>
              </w:rPr>
            </w:pPr>
            <w:r w:rsidRPr="004A413A">
              <w:rPr>
                <w:bCs/>
              </w:rPr>
              <w:t>Figure</w:t>
            </w:r>
            <w:r w:rsidR="009371AE">
              <w:rPr>
                <w:bCs/>
              </w:rPr>
              <w:t> </w:t>
            </w:r>
            <w:r w:rsidRPr="004A413A">
              <w:rPr>
                <w:bCs/>
              </w:rPr>
              <w:t xml:space="preserve">18. GVA, cultural and creative activity in libraries and archives,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40EBC812" w14:textId="0A1DD43B" w:rsidR="00F37141" w:rsidRPr="00486116" w:rsidRDefault="00F37141" w:rsidP="00667FCB">
            <w:pPr>
              <w:pStyle w:val="Listparagraphbullets"/>
              <w:spacing w:after="0"/>
              <w:ind w:left="284" w:hanging="284"/>
              <w:rPr>
                <w:lang w:eastAsia="en-AU"/>
              </w:rPr>
            </w:pPr>
            <w:r w:rsidRPr="00F33197">
              <w:rPr>
                <w:lang w:eastAsia="en-AU"/>
              </w:rPr>
              <w:t>See notes above.</w:t>
            </w:r>
          </w:p>
        </w:tc>
      </w:tr>
      <w:tr w:rsidR="00F37141" w:rsidRPr="00216C82" w14:paraId="7CC89743" w14:textId="77777777" w:rsidTr="00DE46CD">
        <w:trPr>
          <w:cantSplit/>
        </w:trPr>
        <w:tc>
          <w:tcPr>
            <w:tcW w:w="2835" w:type="dxa"/>
            <w:tcBorders>
              <w:top w:val="single" w:sz="4" w:space="0" w:color="auto"/>
              <w:left w:val="nil"/>
              <w:bottom w:val="single" w:sz="4" w:space="0" w:color="auto"/>
              <w:right w:val="nil"/>
            </w:tcBorders>
            <w:shd w:val="clear" w:color="auto" w:fill="auto"/>
          </w:tcPr>
          <w:p w14:paraId="0231A056" w14:textId="2814CD0B" w:rsidR="00F37141" w:rsidRPr="004A413A" w:rsidRDefault="00F37141" w:rsidP="00A61D6F">
            <w:pPr>
              <w:pStyle w:val="Tabletext"/>
              <w:rPr>
                <w:bCs/>
              </w:rPr>
            </w:pPr>
            <w:r w:rsidRPr="004A413A">
              <w:rPr>
                <w:bCs/>
              </w:rPr>
              <w:t>Table</w:t>
            </w:r>
            <w:r w:rsidR="009371AE">
              <w:rPr>
                <w:bCs/>
              </w:rPr>
              <w:t> </w:t>
            </w:r>
            <w:r w:rsidRPr="004A413A">
              <w:rPr>
                <w:bCs/>
              </w:rPr>
              <w:t xml:space="preserve">9. Cultural and creative activity in literature and print media,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44E0BD3D" w14:textId="1BCCDF1B" w:rsidR="00F37141" w:rsidRPr="00486116" w:rsidRDefault="00F37141" w:rsidP="00667FCB">
            <w:pPr>
              <w:pStyle w:val="Listparagraphbullets"/>
              <w:spacing w:after="0"/>
              <w:ind w:left="284" w:hanging="284"/>
              <w:rPr>
                <w:lang w:eastAsia="en-AU"/>
              </w:rPr>
            </w:pPr>
            <w:r w:rsidRPr="00486116">
              <w:rPr>
                <w:lang w:eastAsia="en-AU"/>
              </w:rPr>
              <w:t>GVA of cultural and creative activity in literature and print media has declined by $3.</w:t>
            </w:r>
            <w:r w:rsidR="008B6922">
              <w:rPr>
                <w:lang w:eastAsia="en-AU"/>
              </w:rPr>
              <w:t>2</w:t>
            </w:r>
            <w:r>
              <w:rPr>
                <w:lang w:eastAsia="en-AU"/>
              </w:rPr>
              <w:t> billion</w:t>
            </w:r>
            <w:r w:rsidRPr="00486116">
              <w:rPr>
                <w:lang w:eastAsia="en-AU"/>
              </w:rPr>
              <w:t xml:space="preserve"> or 25.1</w:t>
            </w:r>
            <w:r>
              <w:rPr>
                <w:lang w:eastAsia="en-AU"/>
              </w:rPr>
              <w:t> per cent</w:t>
            </w:r>
            <w:r w:rsidRPr="00486116">
              <w:rPr>
                <w:lang w:eastAsia="en-AU"/>
              </w:rPr>
              <w:t xml:space="preserve"> from </w:t>
            </w:r>
            <w:r w:rsidR="00686989">
              <w:rPr>
                <w:lang w:eastAsia="en-AU"/>
              </w:rPr>
              <w:t xml:space="preserve">2008–09 </w:t>
            </w:r>
            <w:r w:rsidRPr="00486116">
              <w:rPr>
                <w:lang w:eastAsia="en-AU"/>
              </w:rPr>
              <w:t xml:space="preserve">to </w:t>
            </w:r>
            <w:r w:rsidR="00686989">
              <w:rPr>
                <w:lang w:eastAsia="en-AU"/>
              </w:rPr>
              <w:t>2017–18</w:t>
            </w:r>
            <w:r w:rsidRPr="00486116">
              <w:rPr>
                <w:lang w:eastAsia="en-AU"/>
              </w:rPr>
              <w:t>. As a share of GDP, literature and print media has approximately halved during this period, from 1.0</w:t>
            </w:r>
            <w:r>
              <w:rPr>
                <w:lang w:eastAsia="en-AU"/>
              </w:rPr>
              <w:t> per cent</w:t>
            </w:r>
            <w:r w:rsidRPr="00486116">
              <w:rPr>
                <w:lang w:eastAsia="en-AU"/>
              </w:rPr>
              <w:t xml:space="preserve"> in </w:t>
            </w:r>
            <w:r w:rsidR="00686989">
              <w:rPr>
                <w:lang w:eastAsia="en-AU"/>
              </w:rPr>
              <w:t xml:space="preserve">2008–09 </w:t>
            </w:r>
            <w:r w:rsidRPr="00486116">
              <w:rPr>
                <w:lang w:eastAsia="en-AU"/>
              </w:rPr>
              <w:t>to 0.5</w:t>
            </w:r>
            <w:r>
              <w:rPr>
                <w:lang w:eastAsia="en-AU"/>
              </w:rPr>
              <w:t> per cent</w:t>
            </w:r>
            <w:r w:rsidRPr="00486116">
              <w:rPr>
                <w:lang w:eastAsia="en-AU"/>
              </w:rPr>
              <w:t xml:space="preserve"> in </w:t>
            </w:r>
            <w:r w:rsidR="00686989">
              <w:rPr>
                <w:lang w:eastAsia="en-AU"/>
              </w:rPr>
              <w:t>2017–18</w:t>
            </w:r>
            <w:r w:rsidRPr="00486116">
              <w:rPr>
                <w:lang w:eastAsia="en-AU"/>
              </w:rPr>
              <w:t>.</w:t>
            </w:r>
          </w:p>
        </w:tc>
      </w:tr>
      <w:tr w:rsidR="00F37141" w:rsidRPr="00216C82" w14:paraId="376A9053"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365FEED6" w14:textId="52274D36" w:rsidR="00F37141" w:rsidRPr="004A413A" w:rsidRDefault="00F37141" w:rsidP="00A61D6F">
            <w:pPr>
              <w:pStyle w:val="Tabletext"/>
              <w:rPr>
                <w:bCs/>
              </w:rPr>
            </w:pPr>
            <w:r w:rsidRPr="004A413A">
              <w:rPr>
                <w:bCs/>
              </w:rPr>
              <w:t>Figure</w:t>
            </w:r>
            <w:r w:rsidR="009371AE">
              <w:rPr>
                <w:bCs/>
              </w:rPr>
              <w:t> </w:t>
            </w:r>
            <w:r w:rsidRPr="004A413A">
              <w:rPr>
                <w:bCs/>
              </w:rPr>
              <w:t xml:space="preserve">19. GVA, cultural and creative activity in literature and print media, </w:t>
            </w:r>
            <w:r w:rsidR="00686989">
              <w:rPr>
                <w:bCs/>
              </w:rPr>
              <w:t xml:space="preserve">2008–09 </w:t>
            </w:r>
            <w:r w:rsidRPr="004A413A">
              <w:rPr>
                <w:bCs/>
              </w:rPr>
              <w:t>to 2017</w:t>
            </w:r>
            <w:r w:rsidR="00743548">
              <w:rPr>
                <w:bCs/>
              </w:rPr>
              <w:t>–</w:t>
            </w:r>
            <w:r w:rsidRPr="004A413A">
              <w:rPr>
                <w:bCs/>
              </w:rPr>
              <w:t>18</w:t>
            </w:r>
          </w:p>
        </w:tc>
        <w:tc>
          <w:tcPr>
            <w:tcW w:w="6379" w:type="dxa"/>
            <w:tcBorders>
              <w:top w:val="single" w:sz="4" w:space="0" w:color="auto"/>
              <w:left w:val="nil"/>
              <w:bottom w:val="single" w:sz="4" w:space="0" w:color="auto"/>
              <w:right w:val="nil"/>
            </w:tcBorders>
            <w:shd w:val="clear" w:color="auto" w:fill="E9E6E7" w:themeFill="text1" w:themeFillTint="1A"/>
          </w:tcPr>
          <w:p w14:paraId="195A4736" w14:textId="26A1268A" w:rsidR="00F37141" w:rsidRPr="00486116" w:rsidRDefault="00F37141" w:rsidP="00667FCB">
            <w:pPr>
              <w:pStyle w:val="Listparagraphbullets"/>
              <w:spacing w:after="0"/>
              <w:ind w:left="284" w:hanging="284"/>
              <w:rPr>
                <w:lang w:eastAsia="en-AU"/>
              </w:rPr>
            </w:pPr>
            <w:r w:rsidRPr="00F33197">
              <w:rPr>
                <w:lang w:eastAsia="en-AU"/>
              </w:rPr>
              <w:t>See notes above.</w:t>
            </w:r>
          </w:p>
        </w:tc>
      </w:tr>
      <w:tr w:rsidR="00F37141" w:rsidRPr="00216C82" w14:paraId="0858CA76" w14:textId="77777777" w:rsidTr="00DE46CD">
        <w:trPr>
          <w:cantSplit/>
        </w:trPr>
        <w:tc>
          <w:tcPr>
            <w:tcW w:w="2835" w:type="dxa"/>
            <w:tcBorders>
              <w:top w:val="single" w:sz="4" w:space="0" w:color="auto"/>
              <w:left w:val="nil"/>
              <w:bottom w:val="single" w:sz="4" w:space="0" w:color="auto"/>
              <w:right w:val="nil"/>
            </w:tcBorders>
            <w:shd w:val="clear" w:color="auto" w:fill="auto"/>
          </w:tcPr>
          <w:p w14:paraId="0E2F925A" w14:textId="634CC36B" w:rsidR="00F37141" w:rsidRPr="004A413A" w:rsidRDefault="00F37141" w:rsidP="00A61D6F">
            <w:pPr>
              <w:pStyle w:val="Tabletext"/>
              <w:rPr>
                <w:bCs/>
              </w:rPr>
            </w:pPr>
            <w:r w:rsidRPr="004A413A">
              <w:rPr>
                <w:bCs/>
              </w:rPr>
              <w:t>Table</w:t>
            </w:r>
            <w:r w:rsidR="009371AE">
              <w:rPr>
                <w:bCs/>
              </w:rPr>
              <w:t> </w:t>
            </w:r>
            <w:r w:rsidRPr="004A413A">
              <w:rPr>
                <w:bCs/>
              </w:rPr>
              <w:t xml:space="preserve">10. Cultural activity in literature and print media,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520E4423" w14:textId="031E0226" w:rsidR="00F37141" w:rsidRPr="00486116" w:rsidRDefault="00F37141" w:rsidP="00667FCB">
            <w:pPr>
              <w:pStyle w:val="Listparagraphbullets"/>
              <w:spacing w:after="0"/>
              <w:ind w:left="284" w:hanging="284"/>
              <w:rPr>
                <w:lang w:eastAsia="en-AU"/>
              </w:rPr>
            </w:pPr>
            <w:r w:rsidRPr="00486116">
              <w:rPr>
                <w:lang w:eastAsia="en-AU"/>
              </w:rPr>
              <w:t>Literature and print media is a domain that has different outcomes for the segments of cultural activity and creative activity. Each segment show</w:t>
            </w:r>
            <w:r>
              <w:rPr>
                <w:lang w:eastAsia="en-AU"/>
              </w:rPr>
              <w:t>s</w:t>
            </w:r>
            <w:r w:rsidRPr="00486116">
              <w:rPr>
                <w:lang w:eastAsia="en-AU"/>
              </w:rPr>
              <w:t xml:space="preserve"> a similar decline to cultural and creative activity in literature and print media. The outcomes for cultural activity during the period from </w:t>
            </w:r>
            <w:r w:rsidR="00686989">
              <w:rPr>
                <w:lang w:eastAsia="en-AU"/>
              </w:rPr>
              <w:t xml:space="preserve">2008–09 </w:t>
            </w:r>
            <w:r w:rsidRPr="00486116">
              <w:rPr>
                <w:lang w:eastAsia="en-AU"/>
              </w:rPr>
              <w:t xml:space="preserve">to </w:t>
            </w:r>
            <w:r w:rsidR="00F52169">
              <w:rPr>
                <w:lang w:eastAsia="en-AU"/>
              </w:rPr>
              <w:t>2016–17</w:t>
            </w:r>
            <w:r w:rsidRPr="00486116">
              <w:rPr>
                <w:lang w:eastAsia="en-AU"/>
              </w:rPr>
              <w:t xml:space="preserve"> are presented in Table</w:t>
            </w:r>
            <w:r w:rsidR="009371AE">
              <w:rPr>
                <w:lang w:eastAsia="en-AU"/>
              </w:rPr>
              <w:t> </w:t>
            </w:r>
            <w:r w:rsidRPr="00486116">
              <w:rPr>
                <w:lang w:eastAsia="en-AU"/>
              </w:rPr>
              <w:t>10 and creative activity in Table</w:t>
            </w:r>
            <w:r w:rsidR="009371AE">
              <w:rPr>
                <w:lang w:eastAsia="en-AU"/>
              </w:rPr>
              <w:t> </w:t>
            </w:r>
            <w:r w:rsidRPr="00486116">
              <w:rPr>
                <w:lang w:eastAsia="en-AU"/>
              </w:rPr>
              <w:t>11.</w:t>
            </w:r>
          </w:p>
        </w:tc>
      </w:tr>
      <w:tr w:rsidR="00F37141" w:rsidRPr="00216C82" w14:paraId="446964B2"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515BB8E1" w14:textId="7A121921" w:rsidR="00F37141" w:rsidRPr="004A413A" w:rsidRDefault="00F37141" w:rsidP="00A61D6F">
            <w:pPr>
              <w:pStyle w:val="Tabletext"/>
              <w:rPr>
                <w:bCs/>
              </w:rPr>
            </w:pPr>
            <w:r w:rsidRPr="004A413A">
              <w:rPr>
                <w:bCs/>
              </w:rPr>
              <w:t>Table</w:t>
            </w:r>
            <w:r w:rsidR="009371AE">
              <w:rPr>
                <w:bCs/>
              </w:rPr>
              <w:t> </w:t>
            </w:r>
            <w:r w:rsidRPr="004A413A">
              <w:rPr>
                <w:bCs/>
              </w:rPr>
              <w:t xml:space="preserve">11. Creative activity in literature and print media,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46D0696D" w14:textId="4CCA1519" w:rsidR="00F37141" w:rsidRPr="00486116" w:rsidRDefault="00F37141" w:rsidP="00667FCB">
            <w:pPr>
              <w:pStyle w:val="Listparagraphbullets"/>
              <w:spacing w:after="0"/>
              <w:ind w:left="284" w:hanging="284"/>
              <w:rPr>
                <w:lang w:eastAsia="en-AU"/>
              </w:rPr>
            </w:pPr>
            <w:r w:rsidRPr="00F33197">
              <w:rPr>
                <w:lang w:eastAsia="en-AU"/>
              </w:rPr>
              <w:t>See notes above.</w:t>
            </w:r>
          </w:p>
        </w:tc>
      </w:tr>
      <w:tr w:rsidR="00F37141" w:rsidRPr="00216C82" w14:paraId="1A335DCA" w14:textId="77777777" w:rsidTr="00DE46CD">
        <w:trPr>
          <w:cantSplit/>
        </w:trPr>
        <w:tc>
          <w:tcPr>
            <w:tcW w:w="2835" w:type="dxa"/>
            <w:tcBorders>
              <w:top w:val="single" w:sz="4" w:space="0" w:color="auto"/>
              <w:left w:val="nil"/>
              <w:bottom w:val="single" w:sz="4" w:space="0" w:color="auto"/>
              <w:right w:val="nil"/>
            </w:tcBorders>
            <w:shd w:val="clear" w:color="auto" w:fill="auto"/>
          </w:tcPr>
          <w:p w14:paraId="1A48E24C" w14:textId="74CB4495" w:rsidR="00F37141" w:rsidRPr="004A413A" w:rsidRDefault="00F37141" w:rsidP="00A61D6F">
            <w:pPr>
              <w:pStyle w:val="Tabletext"/>
              <w:rPr>
                <w:bCs/>
              </w:rPr>
            </w:pPr>
            <w:r w:rsidRPr="004A413A">
              <w:rPr>
                <w:bCs/>
              </w:rPr>
              <w:t>Table</w:t>
            </w:r>
            <w:r w:rsidR="009371AE">
              <w:rPr>
                <w:bCs/>
              </w:rPr>
              <w:t> </w:t>
            </w:r>
            <w:r w:rsidRPr="004A413A">
              <w:rPr>
                <w:bCs/>
              </w:rPr>
              <w:t xml:space="preserve">12. Cultural and creative activity in performing arts,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791E4B15" w14:textId="33453875" w:rsidR="00F37141" w:rsidRPr="00486116" w:rsidRDefault="00F37141" w:rsidP="00667FCB">
            <w:pPr>
              <w:pStyle w:val="Listparagraphbullets"/>
              <w:spacing w:after="0"/>
              <w:ind w:left="284" w:hanging="284"/>
              <w:rPr>
                <w:lang w:eastAsia="en-AU"/>
              </w:rPr>
            </w:pPr>
            <w:r w:rsidRPr="00486116">
              <w:rPr>
                <w:lang w:eastAsia="en-AU"/>
              </w:rPr>
              <w:t>GVA of cultural and creative activity in performing arts has experienced growth of $500</w:t>
            </w:r>
            <w:r>
              <w:rPr>
                <w:lang w:eastAsia="en-AU"/>
              </w:rPr>
              <w:t> million</w:t>
            </w:r>
            <w:r w:rsidRPr="00486116">
              <w:rPr>
                <w:lang w:eastAsia="en-AU"/>
              </w:rPr>
              <w:t xml:space="preserve"> or 37.2</w:t>
            </w:r>
            <w:r>
              <w:rPr>
                <w:lang w:eastAsia="en-AU"/>
              </w:rPr>
              <w:t> per cent</w:t>
            </w:r>
            <w:r w:rsidRPr="00486116">
              <w:rPr>
                <w:lang w:eastAsia="en-AU"/>
              </w:rPr>
              <w:t xml:space="preserve"> from </w:t>
            </w:r>
            <w:r w:rsidR="00686989">
              <w:rPr>
                <w:lang w:eastAsia="en-AU"/>
              </w:rPr>
              <w:t xml:space="preserve">2008–09 </w:t>
            </w:r>
            <w:r w:rsidRPr="00486116">
              <w:rPr>
                <w:lang w:eastAsia="en-AU"/>
              </w:rPr>
              <w:t xml:space="preserve">to </w:t>
            </w:r>
            <w:r w:rsidR="00686989">
              <w:rPr>
                <w:lang w:eastAsia="en-AU"/>
              </w:rPr>
              <w:t>2017–18</w:t>
            </w:r>
            <w:r w:rsidRPr="00486116">
              <w:rPr>
                <w:lang w:eastAsia="en-AU"/>
              </w:rPr>
              <w:t>. As a share of GDP, it has fallen slightly over the period.</w:t>
            </w:r>
          </w:p>
        </w:tc>
      </w:tr>
      <w:tr w:rsidR="00F37141" w:rsidRPr="00216C82" w14:paraId="4FC49297"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3FA1DD48" w14:textId="17DCDC1F" w:rsidR="00F37141" w:rsidRPr="004A413A" w:rsidRDefault="00F37141" w:rsidP="00A61D6F">
            <w:pPr>
              <w:pStyle w:val="Tabletext"/>
              <w:rPr>
                <w:bCs/>
              </w:rPr>
            </w:pPr>
            <w:r w:rsidRPr="004A413A">
              <w:rPr>
                <w:bCs/>
              </w:rPr>
              <w:t>Figure</w:t>
            </w:r>
            <w:r w:rsidR="009371AE">
              <w:rPr>
                <w:bCs/>
              </w:rPr>
              <w:t> </w:t>
            </w:r>
            <w:r w:rsidRPr="004A413A">
              <w:rPr>
                <w:bCs/>
              </w:rPr>
              <w:t xml:space="preserve">20. GVA, cultural and creative activity in performing arts,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3FB2F743" w14:textId="67783EA7" w:rsidR="00F37141" w:rsidRPr="00486116" w:rsidRDefault="00F37141" w:rsidP="00667FCB">
            <w:pPr>
              <w:pStyle w:val="Listparagraphbullets"/>
              <w:spacing w:after="0"/>
              <w:ind w:left="284" w:hanging="284"/>
              <w:rPr>
                <w:lang w:eastAsia="en-AU"/>
              </w:rPr>
            </w:pPr>
            <w:r w:rsidRPr="00F33197">
              <w:rPr>
                <w:lang w:eastAsia="en-AU"/>
              </w:rPr>
              <w:t>See notes above.</w:t>
            </w:r>
          </w:p>
        </w:tc>
      </w:tr>
      <w:tr w:rsidR="00F37141" w:rsidRPr="00216C82" w14:paraId="3235A56F" w14:textId="77777777" w:rsidTr="00DE46CD">
        <w:trPr>
          <w:cantSplit/>
        </w:trPr>
        <w:tc>
          <w:tcPr>
            <w:tcW w:w="2835" w:type="dxa"/>
            <w:tcBorders>
              <w:top w:val="single" w:sz="4" w:space="0" w:color="auto"/>
              <w:left w:val="nil"/>
              <w:bottom w:val="single" w:sz="4" w:space="0" w:color="auto"/>
              <w:right w:val="nil"/>
            </w:tcBorders>
            <w:shd w:val="clear" w:color="auto" w:fill="auto"/>
          </w:tcPr>
          <w:p w14:paraId="43388F1C" w14:textId="75DE9B5A" w:rsidR="00F37141" w:rsidRPr="004A413A" w:rsidRDefault="00F37141" w:rsidP="00A61D6F">
            <w:pPr>
              <w:pStyle w:val="Tabletext"/>
              <w:rPr>
                <w:bCs/>
              </w:rPr>
            </w:pPr>
            <w:r w:rsidRPr="004A413A">
              <w:rPr>
                <w:bCs/>
              </w:rPr>
              <w:t>Table</w:t>
            </w:r>
            <w:r w:rsidR="009371AE">
              <w:rPr>
                <w:bCs/>
              </w:rPr>
              <w:t> </w:t>
            </w:r>
            <w:r w:rsidRPr="004A413A">
              <w:rPr>
                <w:bCs/>
              </w:rPr>
              <w:t xml:space="preserve">13. Cultural and creative activity in design,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6BD7005B" w14:textId="69F8C902" w:rsidR="00F37141" w:rsidRPr="00486116" w:rsidRDefault="00F37141" w:rsidP="00667FCB">
            <w:pPr>
              <w:pStyle w:val="Listparagraphbullets"/>
              <w:spacing w:after="0"/>
              <w:ind w:left="284" w:hanging="284"/>
              <w:rPr>
                <w:lang w:eastAsia="en-AU"/>
              </w:rPr>
            </w:pPr>
            <w:r w:rsidRPr="00486116">
              <w:rPr>
                <w:lang w:eastAsia="en-AU"/>
              </w:rPr>
              <w:t>GVA of cultural and creative activity in design has experienced significant growth of $17.5</w:t>
            </w:r>
            <w:r>
              <w:rPr>
                <w:lang w:eastAsia="en-AU"/>
              </w:rPr>
              <w:t> billion</w:t>
            </w:r>
            <w:r w:rsidRPr="00486116">
              <w:rPr>
                <w:lang w:eastAsia="en-AU"/>
              </w:rPr>
              <w:t xml:space="preserve"> or 65.5</w:t>
            </w:r>
            <w:r>
              <w:rPr>
                <w:lang w:eastAsia="en-AU"/>
              </w:rPr>
              <w:t> per cent</w:t>
            </w:r>
            <w:r w:rsidRPr="00486116">
              <w:rPr>
                <w:lang w:eastAsia="en-AU"/>
              </w:rPr>
              <w:t xml:space="preserve"> from </w:t>
            </w:r>
            <w:r w:rsidR="00686989">
              <w:rPr>
                <w:lang w:eastAsia="en-AU"/>
              </w:rPr>
              <w:t xml:space="preserve">2008–09 </w:t>
            </w:r>
            <w:r w:rsidRPr="00486116">
              <w:rPr>
                <w:lang w:eastAsia="en-AU"/>
              </w:rPr>
              <w:t xml:space="preserve">to </w:t>
            </w:r>
            <w:r w:rsidR="00686989">
              <w:rPr>
                <w:lang w:eastAsia="en-AU"/>
              </w:rPr>
              <w:t>2017–18</w:t>
            </w:r>
            <w:r w:rsidRPr="00486116">
              <w:rPr>
                <w:lang w:eastAsia="en-AU"/>
              </w:rPr>
              <w:t>. As a share of GDP, it has increased over the period.</w:t>
            </w:r>
          </w:p>
        </w:tc>
      </w:tr>
      <w:tr w:rsidR="00F37141" w:rsidRPr="00216C82" w14:paraId="4CA3D9CA"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4F186F43" w14:textId="3FFC69A7" w:rsidR="00F37141" w:rsidRPr="004A413A" w:rsidRDefault="00F37141" w:rsidP="00A61D6F">
            <w:pPr>
              <w:pStyle w:val="Tabletext"/>
              <w:rPr>
                <w:bCs/>
              </w:rPr>
            </w:pPr>
            <w:r w:rsidRPr="004A413A">
              <w:rPr>
                <w:bCs/>
              </w:rPr>
              <w:lastRenderedPageBreak/>
              <w:t>Figure</w:t>
            </w:r>
            <w:r w:rsidR="009371AE">
              <w:rPr>
                <w:bCs/>
              </w:rPr>
              <w:t> </w:t>
            </w:r>
            <w:r w:rsidRPr="004A413A">
              <w:rPr>
                <w:bCs/>
              </w:rPr>
              <w:t xml:space="preserve">21. GVA, cultural and creative activity in design,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7771324E" w14:textId="171AFA9B" w:rsidR="00F37141" w:rsidRPr="00486116" w:rsidRDefault="00F37141" w:rsidP="00667FCB">
            <w:pPr>
              <w:pStyle w:val="Listparagraphbullets"/>
              <w:spacing w:after="0"/>
              <w:ind w:left="284" w:hanging="284"/>
              <w:rPr>
                <w:lang w:eastAsia="en-AU"/>
              </w:rPr>
            </w:pPr>
            <w:r w:rsidRPr="00F33197">
              <w:rPr>
                <w:lang w:eastAsia="en-AU"/>
              </w:rPr>
              <w:t>See notes above.</w:t>
            </w:r>
          </w:p>
        </w:tc>
      </w:tr>
      <w:tr w:rsidR="00F37141" w:rsidRPr="00216C82" w14:paraId="3D259829" w14:textId="77777777" w:rsidTr="00DE46CD">
        <w:trPr>
          <w:cantSplit/>
        </w:trPr>
        <w:tc>
          <w:tcPr>
            <w:tcW w:w="2835" w:type="dxa"/>
            <w:tcBorders>
              <w:top w:val="single" w:sz="4" w:space="0" w:color="auto"/>
              <w:left w:val="nil"/>
              <w:bottom w:val="single" w:sz="4" w:space="0" w:color="auto"/>
              <w:right w:val="nil"/>
            </w:tcBorders>
            <w:shd w:val="clear" w:color="auto" w:fill="auto"/>
          </w:tcPr>
          <w:p w14:paraId="44E6F32C" w14:textId="017D8471" w:rsidR="00F37141" w:rsidRPr="004A413A" w:rsidRDefault="00F37141" w:rsidP="00A61D6F">
            <w:pPr>
              <w:pStyle w:val="Tabletext"/>
              <w:rPr>
                <w:bCs/>
              </w:rPr>
            </w:pPr>
            <w:r w:rsidRPr="004A413A">
              <w:rPr>
                <w:bCs/>
              </w:rPr>
              <w:t>Table</w:t>
            </w:r>
            <w:r w:rsidR="009371AE">
              <w:rPr>
                <w:bCs/>
              </w:rPr>
              <w:t> </w:t>
            </w:r>
            <w:r w:rsidRPr="004A413A">
              <w:rPr>
                <w:bCs/>
              </w:rPr>
              <w:t xml:space="preserve">14. Cultural activity in design,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6B0BC230" w14:textId="2CF18AB8" w:rsidR="00F37141" w:rsidRPr="00486116" w:rsidRDefault="00F37141" w:rsidP="00667FCB">
            <w:pPr>
              <w:pStyle w:val="Listparagraphbullets"/>
              <w:spacing w:after="0"/>
              <w:ind w:left="284" w:hanging="284"/>
              <w:rPr>
                <w:lang w:eastAsia="en-AU"/>
              </w:rPr>
            </w:pPr>
            <w:r w:rsidRPr="00486116">
              <w:rPr>
                <w:lang w:eastAsia="en-AU"/>
              </w:rPr>
              <w:t>Cultural activity in design, increased from $8.2</w:t>
            </w:r>
            <w:r>
              <w:rPr>
                <w:lang w:eastAsia="en-AU"/>
              </w:rPr>
              <w:t> billion</w:t>
            </w:r>
            <w:r w:rsidRPr="00486116">
              <w:rPr>
                <w:lang w:eastAsia="en-AU"/>
              </w:rPr>
              <w:t xml:space="preserve"> in </w:t>
            </w:r>
            <w:r w:rsidR="00686989">
              <w:rPr>
                <w:lang w:eastAsia="en-AU"/>
              </w:rPr>
              <w:t xml:space="preserve">2008–09 </w:t>
            </w:r>
            <w:r w:rsidRPr="00486116">
              <w:rPr>
                <w:lang w:eastAsia="en-AU"/>
              </w:rPr>
              <w:t>to $13.8</w:t>
            </w:r>
            <w:r>
              <w:rPr>
                <w:lang w:eastAsia="en-AU"/>
              </w:rPr>
              <w:t> billion</w:t>
            </w:r>
            <w:r w:rsidRPr="00486116">
              <w:rPr>
                <w:lang w:eastAsia="en-AU"/>
              </w:rPr>
              <w:t xml:space="preserve"> in </w:t>
            </w:r>
            <w:r w:rsidR="00686989">
              <w:rPr>
                <w:lang w:eastAsia="en-AU"/>
              </w:rPr>
              <w:t>2017–18</w:t>
            </w:r>
            <w:r w:rsidRPr="00486116">
              <w:rPr>
                <w:lang w:eastAsia="en-AU"/>
              </w:rPr>
              <w:t>.</w:t>
            </w:r>
          </w:p>
        </w:tc>
      </w:tr>
      <w:tr w:rsidR="00F37141" w:rsidRPr="00216C82" w14:paraId="32F2AAFA"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664B25F3" w14:textId="66D153AF" w:rsidR="00F37141" w:rsidRPr="004A413A" w:rsidRDefault="00F37141" w:rsidP="0074404B">
            <w:pPr>
              <w:pStyle w:val="Tabletext"/>
              <w:ind w:right="180"/>
              <w:rPr>
                <w:bCs/>
              </w:rPr>
            </w:pPr>
            <w:r w:rsidRPr="004A413A">
              <w:rPr>
                <w:bCs/>
              </w:rPr>
              <w:t>Table</w:t>
            </w:r>
            <w:r w:rsidR="009371AE">
              <w:rPr>
                <w:bCs/>
              </w:rPr>
              <w:t> </w:t>
            </w:r>
            <w:r w:rsidRPr="004A413A">
              <w:rPr>
                <w:bCs/>
              </w:rPr>
              <w:t xml:space="preserve">15. Cultural and creative activity in broadcasting, electronic or digital media, and film, </w:t>
            </w:r>
            <w:r w:rsidR="00A61D6F">
              <w:rPr>
                <w:bCs/>
              </w:rPr>
              <w:t>2008–09</w:t>
            </w:r>
            <w:r w:rsidR="00686989">
              <w:rPr>
                <w:bCs/>
              </w:rPr>
              <w:t xml:space="preserve">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6BFBB8EF" w14:textId="27066303" w:rsidR="00F37141" w:rsidRPr="00486116" w:rsidRDefault="00F37141" w:rsidP="00667FCB">
            <w:pPr>
              <w:pStyle w:val="Listparagraphbullets"/>
              <w:spacing w:after="0"/>
              <w:ind w:left="284" w:hanging="284"/>
              <w:rPr>
                <w:lang w:eastAsia="en-AU"/>
              </w:rPr>
            </w:pPr>
            <w:r w:rsidRPr="00486116">
              <w:rPr>
                <w:lang w:eastAsia="en-AU"/>
              </w:rPr>
              <w:t>GVA of cultural and creative activity in broadcasting, electronic or digital media, and film has increased by $2.3</w:t>
            </w:r>
            <w:r>
              <w:rPr>
                <w:lang w:eastAsia="en-AU"/>
              </w:rPr>
              <w:t> billion</w:t>
            </w:r>
            <w:r w:rsidRPr="00486116">
              <w:rPr>
                <w:lang w:eastAsia="en-AU"/>
              </w:rPr>
              <w:t xml:space="preserve"> or 31.6</w:t>
            </w:r>
            <w:r>
              <w:rPr>
                <w:lang w:eastAsia="en-AU"/>
              </w:rPr>
              <w:t> per cent</w:t>
            </w:r>
            <w:r w:rsidRPr="00486116">
              <w:rPr>
                <w:lang w:eastAsia="en-AU"/>
              </w:rPr>
              <w:t xml:space="preserve"> from </w:t>
            </w:r>
            <w:r w:rsidR="00686989">
              <w:rPr>
                <w:lang w:eastAsia="en-AU"/>
              </w:rPr>
              <w:t xml:space="preserve">2008–09 </w:t>
            </w:r>
            <w:r w:rsidRPr="00486116">
              <w:rPr>
                <w:lang w:eastAsia="en-AU"/>
              </w:rPr>
              <w:t xml:space="preserve">to </w:t>
            </w:r>
            <w:r w:rsidR="00686989">
              <w:rPr>
                <w:lang w:eastAsia="en-AU"/>
              </w:rPr>
              <w:t>2017–18</w:t>
            </w:r>
            <w:r w:rsidRPr="00486116">
              <w:rPr>
                <w:lang w:eastAsia="en-AU"/>
              </w:rPr>
              <w:t>. While this domain has increased in absolute terms, it has remained relatively flat as a share of GDP over the period but has declined slightly in recent years.</w:t>
            </w:r>
          </w:p>
        </w:tc>
      </w:tr>
      <w:tr w:rsidR="00F37141" w:rsidRPr="00216C82" w14:paraId="51C38FE6" w14:textId="77777777" w:rsidTr="00DE46CD">
        <w:trPr>
          <w:cantSplit/>
        </w:trPr>
        <w:tc>
          <w:tcPr>
            <w:tcW w:w="2835" w:type="dxa"/>
            <w:tcBorders>
              <w:top w:val="single" w:sz="4" w:space="0" w:color="auto"/>
              <w:left w:val="nil"/>
              <w:bottom w:val="single" w:sz="4" w:space="0" w:color="auto"/>
              <w:right w:val="nil"/>
            </w:tcBorders>
            <w:shd w:val="clear" w:color="auto" w:fill="auto"/>
          </w:tcPr>
          <w:p w14:paraId="2295FFEE" w14:textId="796827A8" w:rsidR="00F37141" w:rsidRPr="004A413A" w:rsidRDefault="00F37141" w:rsidP="0074404B">
            <w:pPr>
              <w:pStyle w:val="Tabletext"/>
              <w:ind w:right="38"/>
              <w:rPr>
                <w:bCs/>
              </w:rPr>
            </w:pPr>
            <w:r w:rsidRPr="004A413A">
              <w:rPr>
                <w:bCs/>
              </w:rPr>
              <w:t>Figure</w:t>
            </w:r>
            <w:r w:rsidR="009371AE">
              <w:rPr>
                <w:bCs/>
              </w:rPr>
              <w:t> </w:t>
            </w:r>
            <w:r w:rsidRPr="004A413A">
              <w:rPr>
                <w:bCs/>
              </w:rPr>
              <w:t xml:space="preserve">22. GVA, cultural and creative activity in broadcasting, electronic or digital media, and film, </w:t>
            </w:r>
            <w:r w:rsidR="00A61D6F">
              <w:rPr>
                <w:bCs/>
              </w:rPr>
              <w:t>2008–09</w:t>
            </w:r>
            <w:r w:rsidR="00686989">
              <w:rPr>
                <w:bCs/>
              </w:rPr>
              <w:t xml:space="preserve">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6F880F65" w14:textId="41CD27B6" w:rsidR="00F37141" w:rsidRPr="00486116" w:rsidRDefault="00F37141" w:rsidP="00667FCB">
            <w:pPr>
              <w:pStyle w:val="Listparagraphbullets"/>
              <w:spacing w:after="0"/>
              <w:ind w:left="284" w:hanging="284"/>
              <w:rPr>
                <w:lang w:eastAsia="en-AU"/>
              </w:rPr>
            </w:pPr>
            <w:r w:rsidRPr="00F33197">
              <w:rPr>
                <w:lang w:eastAsia="en-AU"/>
              </w:rPr>
              <w:t>See notes above.</w:t>
            </w:r>
          </w:p>
        </w:tc>
      </w:tr>
      <w:tr w:rsidR="00F37141" w:rsidRPr="00216C82" w14:paraId="6A466ABD"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56744E48" w14:textId="711D1F98" w:rsidR="00F37141" w:rsidRPr="004A413A" w:rsidRDefault="00F37141" w:rsidP="0074404B">
            <w:pPr>
              <w:pStyle w:val="Tabletext"/>
              <w:ind w:right="38"/>
              <w:rPr>
                <w:bCs/>
              </w:rPr>
            </w:pPr>
            <w:r w:rsidRPr="004A413A">
              <w:rPr>
                <w:bCs/>
              </w:rPr>
              <w:t>Table</w:t>
            </w:r>
            <w:r w:rsidR="009371AE">
              <w:rPr>
                <w:bCs/>
              </w:rPr>
              <w:t> </w:t>
            </w:r>
            <w:r w:rsidRPr="004A413A">
              <w:rPr>
                <w:bCs/>
              </w:rPr>
              <w:t xml:space="preserve">16. Creative activity in broadcasting, electronic or digital media, and film, </w:t>
            </w:r>
            <w:r w:rsidR="00A61D6F">
              <w:rPr>
                <w:bCs/>
              </w:rPr>
              <w:t>2008–09</w:t>
            </w:r>
            <w:r w:rsidR="00686989">
              <w:rPr>
                <w:bCs/>
              </w:rPr>
              <w:t xml:space="preserve">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46EC174B" w14:textId="1C6DC75B" w:rsidR="00F37141" w:rsidRPr="00486116" w:rsidRDefault="00F37141" w:rsidP="00667FCB">
            <w:pPr>
              <w:pStyle w:val="Listparagraphbullets"/>
              <w:spacing w:after="0"/>
              <w:ind w:left="284" w:hanging="284"/>
              <w:rPr>
                <w:lang w:eastAsia="en-AU"/>
              </w:rPr>
            </w:pPr>
            <w:r w:rsidRPr="00486116">
              <w:rPr>
                <w:lang w:eastAsia="en-AU"/>
              </w:rPr>
              <w:t>Creative activity in broadcasting, electronic or digital media, and film, increased from $7.2</w:t>
            </w:r>
            <w:r>
              <w:rPr>
                <w:lang w:eastAsia="en-AU"/>
              </w:rPr>
              <w:t> billion</w:t>
            </w:r>
            <w:r w:rsidRPr="00486116">
              <w:rPr>
                <w:lang w:eastAsia="en-AU"/>
              </w:rPr>
              <w:t xml:space="preserve"> in </w:t>
            </w:r>
            <w:r w:rsidR="00686989">
              <w:rPr>
                <w:lang w:eastAsia="en-AU"/>
              </w:rPr>
              <w:t xml:space="preserve">2008–09 </w:t>
            </w:r>
            <w:r w:rsidRPr="00486116">
              <w:rPr>
                <w:lang w:eastAsia="en-AU"/>
              </w:rPr>
              <w:t>to $9.5</w:t>
            </w:r>
            <w:r>
              <w:rPr>
                <w:lang w:eastAsia="en-AU"/>
              </w:rPr>
              <w:t> billion</w:t>
            </w:r>
            <w:r w:rsidRPr="00486116">
              <w:rPr>
                <w:lang w:eastAsia="en-AU"/>
              </w:rPr>
              <w:t xml:space="preserve"> in </w:t>
            </w:r>
            <w:r w:rsidR="00914F7B">
              <w:rPr>
                <w:lang w:eastAsia="en-AU"/>
              </w:rPr>
              <w:t>2017–18</w:t>
            </w:r>
            <w:r w:rsidRPr="00486116">
              <w:rPr>
                <w:lang w:eastAsia="en-AU"/>
              </w:rPr>
              <w:t>.</w:t>
            </w:r>
          </w:p>
        </w:tc>
      </w:tr>
      <w:tr w:rsidR="00F37141" w:rsidRPr="00216C82" w14:paraId="3F99F229" w14:textId="77777777" w:rsidTr="00DE46CD">
        <w:trPr>
          <w:cantSplit/>
        </w:trPr>
        <w:tc>
          <w:tcPr>
            <w:tcW w:w="2835" w:type="dxa"/>
            <w:tcBorders>
              <w:top w:val="single" w:sz="4" w:space="0" w:color="auto"/>
              <w:left w:val="nil"/>
              <w:bottom w:val="single" w:sz="4" w:space="0" w:color="auto"/>
              <w:right w:val="nil"/>
            </w:tcBorders>
            <w:shd w:val="clear" w:color="auto" w:fill="auto"/>
          </w:tcPr>
          <w:p w14:paraId="2A79D457" w14:textId="3843F8F3" w:rsidR="00F37141" w:rsidRPr="004A413A" w:rsidRDefault="00F37141" w:rsidP="0074404B">
            <w:pPr>
              <w:pStyle w:val="Tabletext"/>
              <w:ind w:right="180"/>
              <w:rPr>
                <w:bCs/>
              </w:rPr>
            </w:pPr>
            <w:r w:rsidRPr="004A413A">
              <w:rPr>
                <w:bCs/>
              </w:rPr>
              <w:t>Table</w:t>
            </w:r>
            <w:r w:rsidR="009371AE">
              <w:rPr>
                <w:bCs/>
              </w:rPr>
              <w:t> </w:t>
            </w:r>
            <w:r w:rsidRPr="004A413A">
              <w:rPr>
                <w:bCs/>
              </w:rPr>
              <w:t xml:space="preserve">17. Cultural and creative activity in music composition and publishing, </w:t>
            </w:r>
            <w:r w:rsidR="00A61D6F">
              <w:rPr>
                <w:bCs/>
              </w:rPr>
              <w:t>2008–09</w:t>
            </w:r>
            <w:r w:rsidR="00686989">
              <w:rPr>
                <w:bCs/>
              </w:rPr>
              <w:t xml:space="preserve">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1ED3D4DD" w14:textId="693A40F7" w:rsidR="00F37141" w:rsidRPr="00486116" w:rsidRDefault="00F37141" w:rsidP="00667FCB">
            <w:pPr>
              <w:pStyle w:val="Listparagraphbullets"/>
              <w:spacing w:after="0"/>
              <w:ind w:left="284" w:hanging="284"/>
              <w:rPr>
                <w:lang w:eastAsia="en-AU"/>
              </w:rPr>
            </w:pPr>
            <w:r w:rsidRPr="00486116">
              <w:rPr>
                <w:lang w:eastAsia="en-AU"/>
              </w:rPr>
              <w:t>GVA of cultural and creative activity in music composition and publishing increased by $42</w:t>
            </w:r>
            <w:r>
              <w:rPr>
                <w:lang w:eastAsia="en-AU"/>
              </w:rPr>
              <w:t> million</w:t>
            </w:r>
            <w:r w:rsidRPr="00486116">
              <w:rPr>
                <w:lang w:eastAsia="en-AU"/>
              </w:rPr>
              <w:t xml:space="preserve"> or 40.3</w:t>
            </w:r>
            <w:r>
              <w:rPr>
                <w:lang w:eastAsia="en-AU"/>
              </w:rPr>
              <w:t> per cent</w:t>
            </w:r>
            <w:r w:rsidRPr="00486116">
              <w:rPr>
                <w:lang w:eastAsia="en-AU"/>
              </w:rPr>
              <w:t xml:space="preserve"> from </w:t>
            </w:r>
            <w:r w:rsidR="00686989">
              <w:rPr>
                <w:lang w:eastAsia="en-AU"/>
              </w:rPr>
              <w:t xml:space="preserve">2008–09 </w:t>
            </w:r>
            <w:r w:rsidRPr="00486116">
              <w:rPr>
                <w:lang w:eastAsia="en-AU"/>
              </w:rPr>
              <w:t xml:space="preserve">to </w:t>
            </w:r>
            <w:r w:rsidR="00686989">
              <w:rPr>
                <w:lang w:eastAsia="en-AU"/>
              </w:rPr>
              <w:t>2017–18</w:t>
            </w:r>
            <w:r w:rsidRPr="00486116">
              <w:rPr>
                <w:lang w:eastAsia="en-AU"/>
              </w:rPr>
              <w:t>. This domain has remained relatively flat as a share of GDP.</w:t>
            </w:r>
          </w:p>
        </w:tc>
      </w:tr>
      <w:tr w:rsidR="00F37141" w:rsidRPr="00216C82" w14:paraId="78E27D41"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0FEBDA80" w14:textId="48BB9A24" w:rsidR="00F37141" w:rsidRPr="004A413A" w:rsidRDefault="00F37141" w:rsidP="00A61D6F">
            <w:pPr>
              <w:pStyle w:val="Tabletext"/>
              <w:rPr>
                <w:bCs/>
              </w:rPr>
            </w:pPr>
            <w:r w:rsidRPr="004A413A">
              <w:rPr>
                <w:bCs/>
              </w:rPr>
              <w:t>Figure</w:t>
            </w:r>
            <w:r w:rsidR="009371AE">
              <w:rPr>
                <w:bCs/>
              </w:rPr>
              <w:t> </w:t>
            </w:r>
            <w:r w:rsidRPr="004A413A">
              <w:rPr>
                <w:bCs/>
              </w:rPr>
              <w:t xml:space="preserve">23. GVA, cultural and creative activity in music composition and publishing,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662A1E8A" w14:textId="175AD5F8" w:rsidR="00F37141" w:rsidRPr="00486116" w:rsidRDefault="00F37141" w:rsidP="00667FCB">
            <w:pPr>
              <w:pStyle w:val="Listparagraphbullets"/>
              <w:spacing w:after="0"/>
              <w:ind w:left="284" w:hanging="284"/>
              <w:rPr>
                <w:lang w:eastAsia="en-AU"/>
              </w:rPr>
            </w:pPr>
            <w:r w:rsidRPr="00F33197">
              <w:rPr>
                <w:lang w:eastAsia="en-AU"/>
              </w:rPr>
              <w:t>See notes above.</w:t>
            </w:r>
          </w:p>
        </w:tc>
      </w:tr>
      <w:tr w:rsidR="00F37141" w:rsidRPr="00216C82" w14:paraId="09949293" w14:textId="77777777" w:rsidTr="00DE46CD">
        <w:trPr>
          <w:cantSplit/>
        </w:trPr>
        <w:tc>
          <w:tcPr>
            <w:tcW w:w="2835" w:type="dxa"/>
            <w:tcBorders>
              <w:top w:val="single" w:sz="4" w:space="0" w:color="auto"/>
              <w:left w:val="nil"/>
              <w:bottom w:val="single" w:sz="4" w:space="0" w:color="auto"/>
              <w:right w:val="nil"/>
            </w:tcBorders>
            <w:shd w:val="clear" w:color="auto" w:fill="auto"/>
          </w:tcPr>
          <w:p w14:paraId="23EC20C0" w14:textId="2B0A9620" w:rsidR="00F37141" w:rsidRPr="004A413A" w:rsidRDefault="00F37141" w:rsidP="00A61D6F">
            <w:pPr>
              <w:pStyle w:val="Tabletext"/>
              <w:rPr>
                <w:bCs/>
              </w:rPr>
            </w:pPr>
            <w:r w:rsidRPr="004A413A">
              <w:rPr>
                <w:bCs/>
              </w:rPr>
              <w:t>Table</w:t>
            </w:r>
            <w:r w:rsidR="009371AE">
              <w:rPr>
                <w:bCs/>
              </w:rPr>
              <w:t> </w:t>
            </w:r>
            <w:r w:rsidRPr="004A413A">
              <w:rPr>
                <w:bCs/>
              </w:rPr>
              <w:t xml:space="preserve">18. Cultural and creative activity in visual arts and crafts,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34B11C39" w14:textId="14FC5EF1" w:rsidR="00F37141" w:rsidRPr="00486116" w:rsidRDefault="00F37141" w:rsidP="00667FCB">
            <w:pPr>
              <w:pStyle w:val="Listparagraphbullets"/>
              <w:spacing w:after="0"/>
              <w:ind w:left="284" w:hanging="284"/>
              <w:rPr>
                <w:lang w:eastAsia="en-AU"/>
              </w:rPr>
            </w:pPr>
            <w:r w:rsidRPr="00486116">
              <w:rPr>
                <w:lang w:eastAsia="en-AU"/>
              </w:rPr>
              <w:t>GVA of cultural and creative activity in visual arts and crafts has experienced growth of $757</w:t>
            </w:r>
            <w:r>
              <w:rPr>
                <w:lang w:eastAsia="en-AU"/>
              </w:rPr>
              <w:t xml:space="preserve"> million or 41.5 per cent from </w:t>
            </w:r>
            <w:r w:rsidR="00686989">
              <w:rPr>
                <w:lang w:eastAsia="en-AU"/>
              </w:rPr>
              <w:t xml:space="preserve">2008–09 </w:t>
            </w:r>
            <w:r w:rsidRPr="00486116">
              <w:rPr>
                <w:lang w:eastAsia="en-AU"/>
              </w:rPr>
              <w:t xml:space="preserve">to </w:t>
            </w:r>
            <w:r w:rsidR="00686989">
              <w:rPr>
                <w:lang w:eastAsia="en-AU"/>
              </w:rPr>
              <w:t>2017–18</w:t>
            </w:r>
            <w:r w:rsidRPr="00486116">
              <w:rPr>
                <w:lang w:eastAsia="en-AU"/>
              </w:rPr>
              <w:t>. While this domain has increased in absolute terms, it has remained relatively flat as a share of GDP over the period.</w:t>
            </w:r>
          </w:p>
        </w:tc>
      </w:tr>
      <w:tr w:rsidR="00F37141" w:rsidRPr="00216C82" w14:paraId="2371E3D0"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23C7B90B" w14:textId="277B634E" w:rsidR="00F37141" w:rsidRPr="004A413A" w:rsidRDefault="00F37141" w:rsidP="00A61D6F">
            <w:pPr>
              <w:pStyle w:val="Tabletext"/>
              <w:rPr>
                <w:bCs/>
              </w:rPr>
            </w:pPr>
            <w:r w:rsidRPr="004A413A">
              <w:rPr>
                <w:bCs/>
              </w:rPr>
              <w:t>Figure</w:t>
            </w:r>
            <w:r w:rsidR="009371AE">
              <w:rPr>
                <w:bCs/>
              </w:rPr>
              <w:t> </w:t>
            </w:r>
            <w:r w:rsidRPr="004A413A">
              <w:rPr>
                <w:bCs/>
              </w:rPr>
              <w:t xml:space="preserve">24. GVA, cultural and creative activity in visual arts and crafts,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401291D8" w14:textId="3DF60F74" w:rsidR="00F37141" w:rsidRPr="00486116" w:rsidRDefault="00F37141" w:rsidP="00667FCB">
            <w:pPr>
              <w:pStyle w:val="Listparagraphbullets"/>
              <w:spacing w:after="0"/>
              <w:ind w:left="284" w:hanging="284"/>
              <w:rPr>
                <w:lang w:eastAsia="en-AU"/>
              </w:rPr>
            </w:pPr>
            <w:r w:rsidRPr="00F33197">
              <w:rPr>
                <w:lang w:eastAsia="en-AU"/>
              </w:rPr>
              <w:t>See notes above.</w:t>
            </w:r>
          </w:p>
        </w:tc>
      </w:tr>
      <w:tr w:rsidR="00F37141" w:rsidRPr="00216C82" w14:paraId="74B32A16" w14:textId="77777777" w:rsidTr="00DE46CD">
        <w:trPr>
          <w:cantSplit/>
        </w:trPr>
        <w:tc>
          <w:tcPr>
            <w:tcW w:w="2835" w:type="dxa"/>
            <w:tcBorders>
              <w:top w:val="single" w:sz="4" w:space="0" w:color="auto"/>
              <w:left w:val="nil"/>
              <w:bottom w:val="single" w:sz="4" w:space="0" w:color="auto"/>
              <w:right w:val="nil"/>
            </w:tcBorders>
            <w:shd w:val="clear" w:color="auto" w:fill="auto"/>
          </w:tcPr>
          <w:p w14:paraId="633D5BF5" w14:textId="08CE16ED" w:rsidR="00F37141" w:rsidRPr="004A413A" w:rsidRDefault="00F37141" w:rsidP="00A61D6F">
            <w:pPr>
              <w:pStyle w:val="Tabletext"/>
              <w:rPr>
                <w:bCs/>
              </w:rPr>
            </w:pPr>
            <w:r w:rsidRPr="004A413A">
              <w:rPr>
                <w:bCs/>
              </w:rPr>
              <w:lastRenderedPageBreak/>
              <w:t>Table</w:t>
            </w:r>
            <w:r w:rsidR="009371AE">
              <w:rPr>
                <w:bCs/>
              </w:rPr>
              <w:t> </w:t>
            </w:r>
            <w:r w:rsidRPr="004A413A">
              <w:rPr>
                <w:bCs/>
              </w:rPr>
              <w:t xml:space="preserve">19. Cultural and creative activity in fashion,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43FDA517" w14:textId="3932E9FB" w:rsidR="00F37141" w:rsidRPr="00486116" w:rsidRDefault="00F37141" w:rsidP="00667FCB">
            <w:pPr>
              <w:pStyle w:val="Listparagraphbullets"/>
              <w:spacing w:after="0"/>
              <w:ind w:left="284" w:hanging="284"/>
              <w:rPr>
                <w:lang w:eastAsia="en-AU"/>
              </w:rPr>
            </w:pPr>
            <w:r w:rsidRPr="00486116">
              <w:rPr>
                <w:lang w:eastAsia="en-AU"/>
              </w:rPr>
              <w:t>GVA of cultural and creative activity in fashion has increased by $3.0</w:t>
            </w:r>
            <w:r>
              <w:rPr>
                <w:lang w:eastAsia="en-AU"/>
              </w:rPr>
              <w:t> billion</w:t>
            </w:r>
            <w:r w:rsidRPr="00486116">
              <w:rPr>
                <w:lang w:eastAsia="en-AU"/>
              </w:rPr>
              <w:t xml:space="preserve"> or 25.4</w:t>
            </w:r>
            <w:r>
              <w:rPr>
                <w:lang w:eastAsia="en-AU"/>
              </w:rPr>
              <w:t> per cent</w:t>
            </w:r>
            <w:r w:rsidRPr="00486116">
              <w:rPr>
                <w:lang w:eastAsia="en-AU"/>
              </w:rPr>
              <w:t xml:space="preserve"> from </w:t>
            </w:r>
            <w:r w:rsidR="00686989">
              <w:rPr>
                <w:lang w:eastAsia="en-AU"/>
              </w:rPr>
              <w:t xml:space="preserve">2008–09 </w:t>
            </w:r>
            <w:r w:rsidRPr="00486116">
              <w:rPr>
                <w:lang w:eastAsia="en-AU"/>
              </w:rPr>
              <w:t xml:space="preserve">to </w:t>
            </w:r>
            <w:r w:rsidR="00686989">
              <w:rPr>
                <w:lang w:eastAsia="en-AU"/>
              </w:rPr>
              <w:t>2017–18</w:t>
            </w:r>
            <w:r w:rsidRPr="00486116">
              <w:rPr>
                <w:lang w:eastAsia="en-AU"/>
              </w:rPr>
              <w:t>. As a share of GDP, this domain has fallen by 0.14 percentage points over the period, from 0.95</w:t>
            </w:r>
            <w:r>
              <w:rPr>
                <w:lang w:eastAsia="en-AU"/>
              </w:rPr>
              <w:t> per cent</w:t>
            </w:r>
            <w:r w:rsidRPr="00486116">
              <w:rPr>
                <w:lang w:eastAsia="en-AU"/>
              </w:rPr>
              <w:t xml:space="preserve"> in </w:t>
            </w:r>
            <w:r w:rsidR="00686989">
              <w:rPr>
                <w:lang w:eastAsia="en-AU"/>
              </w:rPr>
              <w:t xml:space="preserve">2008–09 </w:t>
            </w:r>
            <w:r w:rsidRPr="00486116">
              <w:rPr>
                <w:lang w:eastAsia="en-AU"/>
              </w:rPr>
              <w:t>to 0.81</w:t>
            </w:r>
            <w:r>
              <w:rPr>
                <w:lang w:eastAsia="en-AU"/>
              </w:rPr>
              <w:t> per cent</w:t>
            </w:r>
            <w:r w:rsidRPr="00486116">
              <w:rPr>
                <w:lang w:eastAsia="en-AU"/>
              </w:rPr>
              <w:t xml:space="preserve"> in </w:t>
            </w:r>
            <w:r w:rsidR="00686989">
              <w:rPr>
                <w:lang w:eastAsia="en-AU"/>
              </w:rPr>
              <w:t>2017–18</w:t>
            </w:r>
            <w:r w:rsidRPr="00486116">
              <w:rPr>
                <w:lang w:eastAsia="en-AU"/>
              </w:rPr>
              <w:t>.</w:t>
            </w:r>
          </w:p>
        </w:tc>
      </w:tr>
      <w:tr w:rsidR="00F37141" w:rsidRPr="00216C82" w14:paraId="24B179BE"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186279D1" w14:textId="4C61CE03" w:rsidR="00F37141" w:rsidRPr="004A413A" w:rsidRDefault="00F37141" w:rsidP="00A61D6F">
            <w:pPr>
              <w:pStyle w:val="Tabletext"/>
              <w:rPr>
                <w:bCs/>
              </w:rPr>
            </w:pPr>
            <w:r w:rsidRPr="004A413A">
              <w:rPr>
                <w:bCs/>
              </w:rPr>
              <w:t>Figure</w:t>
            </w:r>
            <w:r w:rsidR="009371AE">
              <w:rPr>
                <w:bCs/>
              </w:rPr>
              <w:t> </w:t>
            </w:r>
            <w:r w:rsidRPr="004A413A">
              <w:rPr>
                <w:bCs/>
              </w:rPr>
              <w:t xml:space="preserve">25. GVA, cultural and creative activity in fashion,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14E80917" w14:textId="067E0C9D" w:rsidR="00F37141" w:rsidRPr="00486116" w:rsidRDefault="00F37141" w:rsidP="00667FCB">
            <w:pPr>
              <w:pStyle w:val="Listparagraphbullets"/>
              <w:spacing w:after="0"/>
              <w:ind w:left="284" w:hanging="284"/>
              <w:rPr>
                <w:lang w:eastAsia="en-AU"/>
              </w:rPr>
            </w:pPr>
            <w:r w:rsidRPr="00F33197">
              <w:rPr>
                <w:lang w:eastAsia="en-AU"/>
              </w:rPr>
              <w:t>See notes above.</w:t>
            </w:r>
          </w:p>
        </w:tc>
      </w:tr>
      <w:tr w:rsidR="00F37141" w:rsidRPr="00216C82" w14:paraId="42FC121C" w14:textId="77777777" w:rsidTr="00DE46CD">
        <w:trPr>
          <w:cantSplit/>
        </w:trPr>
        <w:tc>
          <w:tcPr>
            <w:tcW w:w="2835" w:type="dxa"/>
            <w:tcBorders>
              <w:top w:val="single" w:sz="4" w:space="0" w:color="auto"/>
              <w:left w:val="nil"/>
              <w:bottom w:val="single" w:sz="4" w:space="0" w:color="auto"/>
              <w:right w:val="nil"/>
            </w:tcBorders>
            <w:shd w:val="clear" w:color="auto" w:fill="auto"/>
          </w:tcPr>
          <w:p w14:paraId="47984551" w14:textId="4839559E" w:rsidR="00F37141" w:rsidRPr="004A413A" w:rsidRDefault="00F37141" w:rsidP="00A61D6F">
            <w:pPr>
              <w:pStyle w:val="Tabletext"/>
              <w:rPr>
                <w:bCs/>
              </w:rPr>
            </w:pPr>
            <w:r w:rsidRPr="004A413A">
              <w:rPr>
                <w:bCs/>
              </w:rPr>
              <w:t>Table</w:t>
            </w:r>
            <w:r w:rsidR="009371AE">
              <w:rPr>
                <w:bCs/>
              </w:rPr>
              <w:t> </w:t>
            </w:r>
            <w:r w:rsidRPr="004A413A">
              <w:rPr>
                <w:bCs/>
              </w:rPr>
              <w:t xml:space="preserve">20. Cultural and creative activity in other culture and goods manufacturing and sales,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37A7FF5B" w14:textId="54A01B0F" w:rsidR="00F37141" w:rsidRPr="00486116" w:rsidRDefault="00F37141" w:rsidP="00667FCB">
            <w:pPr>
              <w:pStyle w:val="Listparagraphbullets"/>
              <w:spacing w:after="0"/>
              <w:ind w:left="284" w:hanging="284"/>
              <w:rPr>
                <w:lang w:eastAsia="en-AU"/>
              </w:rPr>
            </w:pPr>
            <w:r w:rsidRPr="00486116">
              <w:rPr>
                <w:lang w:eastAsia="en-AU"/>
              </w:rPr>
              <w:t>GVA of cultural and creative activity in other culture and goods manufacturing has increased by $154</w:t>
            </w:r>
            <w:r>
              <w:rPr>
                <w:lang w:eastAsia="en-AU"/>
              </w:rPr>
              <w:t> million</w:t>
            </w:r>
            <w:r w:rsidRPr="00486116">
              <w:rPr>
                <w:lang w:eastAsia="en-AU"/>
              </w:rPr>
              <w:t xml:space="preserve"> or 17.3</w:t>
            </w:r>
            <w:r>
              <w:rPr>
                <w:lang w:eastAsia="en-AU"/>
              </w:rPr>
              <w:t> per cent</w:t>
            </w:r>
            <w:r w:rsidRPr="00486116">
              <w:rPr>
                <w:lang w:eastAsia="en-AU"/>
              </w:rPr>
              <w:t xml:space="preserve"> from </w:t>
            </w:r>
            <w:r w:rsidR="00686989">
              <w:rPr>
                <w:lang w:eastAsia="en-AU"/>
              </w:rPr>
              <w:t xml:space="preserve">2008–09 </w:t>
            </w:r>
            <w:r w:rsidRPr="00486116">
              <w:rPr>
                <w:lang w:eastAsia="en-AU"/>
              </w:rPr>
              <w:t xml:space="preserve">to </w:t>
            </w:r>
            <w:r w:rsidR="00686989">
              <w:rPr>
                <w:lang w:eastAsia="en-AU"/>
              </w:rPr>
              <w:t>2017–18</w:t>
            </w:r>
            <w:r w:rsidRPr="00486116">
              <w:rPr>
                <w:lang w:eastAsia="en-AU"/>
              </w:rPr>
              <w:t>. As a share of GDP, it has declined slightly over the period.</w:t>
            </w:r>
          </w:p>
        </w:tc>
      </w:tr>
      <w:tr w:rsidR="00F37141" w:rsidRPr="00216C82" w14:paraId="51BDE5C8"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5B4FA405" w14:textId="79751EF7" w:rsidR="00F37141" w:rsidRPr="004A413A" w:rsidRDefault="00F37141" w:rsidP="00A61D6F">
            <w:pPr>
              <w:pStyle w:val="Tabletext"/>
              <w:rPr>
                <w:bCs/>
              </w:rPr>
            </w:pPr>
            <w:r w:rsidRPr="004A413A">
              <w:rPr>
                <w:bCs/>
              </w:rPr>
              <w:t>Figure</w:t>
            </w:r>
            <w:r w:rsidR="009371AE">
              <w:rPr>
                <w:bCs/>
              </w:rPr>
              <w:t> </w:t>
            </w:r>
            <w:r w:rsidRPr="004A413A">
              <w:rPr>
                <w:bCs/>
              </w:rPr>
              <w:t xml:space="preserve">26. GVA, cultural and creative activity in other culture and goods manufacturing and sales, </w:t>
            </w:r>
            <w:r w:rsidR="00686989">
              <w:rPr>
                <w:bCs/>
              </w:rPr>
              <w:t xml:space="preserve">2008–09 </w:t>
            </w:r>
            <w:r w:rsidRPr="004A413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19544A95" w14:textId="4EACC56F" w:rsidR="00F37141" w:rsidRPr="00486116" w:rsidRDefault="00F37141" w:rsidP="00667FCB">
            <w:pPr>
              <w:pStyle w:val="Listparagraphbullets"/>
              <w:spacing w:after="0"/>
              <w:ind w:left="284" w:hanging="284"/>
              <w:rPr>
                <w:lang w:eastAsia="en-AU"/>
              </w:rPr>
            </w:pPr>
            <w:r w:rsidRPr="00F33197">
              <w:rPr>
                <w:lang w:eastAsia="en-AU"/>
              </w:rPr>
              <w:t>See notes above.</w:t>
            </w:r>
          </w:p>
        </w:tc>
      </w:tr>
      <w:tr w:rsidR="00F37141" w:rsidRPr="00216C82" w14:paraId="73F0E96F" w14:textId="77777777" w:rsidTr="00DE46CD">
        <w:trPr>
          <w:cantSplit/>
        </w:trPr>
        <w:tc>
          <w:tcPr>
            <w:tcW w:w="2835" w:type="dxa"/>
            <w:tcBorders>
              <w:top w:val="single" w:sz="4" w:space="0" w:color="auto"/>
              <w:left w:val="nil"/>
              <w:bottom w:val="single" w:sz="4" w:space="0" w:color="auto"/>
              <w:right w:val="nil"/>
            </w:tcBorders>
            <w:shd w:val="clear" w:color="auto" w:fill="auto"/>
          </w:tcPr>
          <w:p w14:paraId="7D251793" w14:textId="1B5630B3" w:rsidR="00F37141" w:rsidRPr="004A413A" w:rsidRDefault="00F37141" w:rsidP="00A61D6F">
            <w:pPr>
              <w:pStyle w:val="Tabletext"/>
              <w:rPr>
                <w:bCs/>
              </w:rPr>
            </w:pPr>
            <w:r w:rsidRPr="00FD10CA">
              <w:rPr>
                <w:bCs/>
              </w:rPr>
              <w:t>Table</w:t>
            </w:r>
            <w:r w:rsidR="009371AE">
              <w:rPr>
                <w:bCs/>
              </w:rPr>
              <w:t> </w:t>
            </w:r>
            <w:r w:rsidRPr="00FD10CA">
              <w:rPr>
                <w:bCs/>
              </w:rPr>
              <w:t xml:space="preserve">21. Cultural and creative activity in supporting activities, </w:t>
            </w:r>
            <w:r w:rsidR="00686989">
              <w:rPr>
                <w:bCs/>
              </w:rPr>
              <w:t xml:space="preserve">2008–09 </w:t>
            </w:r>
            <w:r w:rsidRPr="00FD10C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auto"/>
          </w:tcPr>
          <w:p w14:paraId="13064E27" w14:textId="40614EAE" w:rsidR="00F37141" w:rsidRPr="00486116" w:rsidRDefault="00F37141" w:rsidP="00667FCB">
            <w:pPr>
              <w:pStyle w:val="Listparagraphbullets"/>
              <w:spacing w:after="0"/>
              <w:ind w:left="284" w:hanging="284"/>
              <w:rPr>
                <w:lang w:eastAsia="en-AU"/>
              </w:rPr>
            </w:pPr>
            <w:r w:rsidRPr="00486116">
              <w:rPr>
                <w:lang w:eastAsia="en-AU"/>
              </w:rPr>
              <w:t>GVA for supporting activities increased by $494</w:t>
            </w:r>
            <w:r>
              <w:rPr>
                <w:lang w:eastAsia="en-AU"/>
              </w:rPr>
              <w:t> million</w:t>
            </w:r>
            <w:r w:rsidRPr="00486116">
              <w:rPr>
                <w:lang w:eastAsia="en-AU"/>
              </w:rPr>
              <w:t xml:space="preserve"> or 63.4</w:t>
            </w:r>
            <w:r>
              <w:rPr>
                <w:lang w:eastAsia="en-AU"/>
              </w:rPr>
              <w:t> per cent</w:t>
            </w:r>
            <w:r w:rsidRPr="00486116">
              <w:rPr>
                <w:lang w:eastAsia="en-AU"/>
              </w:rPr>
              <w:t xml:space="preserve"> from </w:t>
            </w:r>
            <w:r w:rsidR="00686989">
              <w:rPr>
                <w:lang w:eastAsia="en-AU"/>
              </w:rPr>
              <w:t xml:space="preserve">2008–09 </w:t>
            </w:r>
            <w:r w:rsidRPr="00486116">
              <w:rPr>
                <w:lang w:eastAsia="en-AU"/>
              </w:rPr>
              <w:t xml:space="preserve">to </w:t>
            </w:r>
            <w:r w:rsidR="00686989">
              <w:rPr>
                <w:lang w:eastAsia="en-AU"/>
              </w:rPr>
              <w:t>2017–18</w:t>
            </w:r>
            <w:r w:rsidRPr="00486116">
              <w:rPr>
                <w:lang w:eastAsia="en-AU"/>
              </w:rPr>
              <w:t>. As a share of GDP, it has remained relatively flat over the period.</w:t>
            </w:r>
          </w:p>
        </w:tc>
      </w:tr>
      <w:tr w:rsidR="00F37141" w:rsidRPr="00216C82" w14:paraId="582FE0BA" w14:textId="77777777" w:rsidTr="00DE46CD">
        <w:trPr>
          <w:cantSplit/>
        </w:trPr>
        <w:tc>
          <w:tcPr>
            <w:tcW w:w="2835" w:type="dxa"/>
            <w:tcBorders>
              <w:top w:val="single" w:sz="4" w:space="0" w:color="auto"/>
              <w:left w:val="nil"/>
              <w:bottom w:val="single" w:sz="4" w:space="0" w:color="auto"/>
              <w:right w:val="nil"/>
            </w:tcBorders>
            <w:shd w:val="clear" w:color="auto" w:fill="E9E6E7" w:themeFill="text1" w:themeFillTint="1A"/>
          </w:tcPr>
          <w:p w14:paraId="7C383B29" w14:textId="5368C663" w:rsidR="00F37141" w:rsidRPr="004A413A" w:rsidRDefault="00F37141" w:rsidP="00A61D6F">
            <w:pPr>
              <w:pStyle w:val="Tabletext"/>
              <w:rPr>
                <w:bCs/>
              </w:rPr>
            </w:pPr>
            <w:r w:rsidRPr="00FD10CA">
              <w:rPr>
                <w:bCs/>
              </w:rPr>
              <w:t>Figure</w:t>
            </w:r>
            <w:r w:rsidR="009371AE">
              <w:rPr>
                <w:bCs/>
              </w:rPr>
              <w:t> </w:t>
            </w:r>
            <w:r w:rsidRPr="00FD10CA">
              <w:rPr>
                <w:bCs/>
              </w:rPr>
              <w:t xml:space="preserve">27. GVA, cultural and creative activity in supporting activities, </w:t>
            </w:r>
            <w:r w:rsidR="00686989">
              <w:rPr>
                <w:bCs/>
              </w:rPr>
              <w:t xml:space="preserve">2008–09 </w:t>
            </w:r>
            <w:r w:rsidRPr="00FD10CA">
              <w:rPr>
                <w:bCs/>
              </w:rPr>
              <w:t xml:space="preserve">to </w:t>
            </w:r>
            <w:r w:rsidR="00686989">
              <w:rPr>
                <w:bCs/>
              </w:rPr>
              <w:t>2017–18</w:t>
            </w:r>
          </w:p>
        </w:tc>
        <w:tc>
          <w:tcPr>
            <w:tcW w:w="6379" w:type="dxa"/>
            <w:tcBorders>
              <w:top w:val="single" w:sz="4" w:space="0" w:color="auto"/>
              <w:left w:val="nil"/>
              <w:bottom w:val="single" w:sz="4" w:space="0" w:color="auto"/>
              <w:right w:val="nil"/>
            </w:tcBorders>
            <w:shd w:val="clear" w:color="auto" w:fill="E9E6E7" w:themeFill="text1" w:themeFillTint="1A"/>
          </w:tcPr>
          <w:p w14:paraId="14428D35" w14:textId="29C7C3F2" w:rsidR="00F37141" w:rsidRPr="00486116" w:rsidRDefault="00F37141" w:rsidP="00667FCB">
            <w:pPr>
              <w:pStyle w:val="Listparagraphbullets"/>
              <w:spacing w:after="0"/>
              <w:ind w:left="284" w:hanging="284"/>
              <w:rPr>
                <w:lang w:eastAsia="en-AU"/>
              </w:rPr>
            </w:pPr>
            <w:r w:rsidRPr="00F33197">
              <w:rPr>
                <w:lang w:eastAsia="en-AU"/>
              </w:rPr>
              <w:t>See notes above.</w:t>
            </w:r>
          </w:p>
        </w:tc>
      </w:tr>
    </w:tbl>
    <w:p w14:paraId="5483818F" w14:textId="77777777" w:rsidR="00050D6D" w:rsidRDefault="00050D6D" w:rsidP="00F52169">
      <w:bookmarkStart w:id="7" w:name="_Most_common_accessibility"/>
      <w:bookmarkEnd w:id="7"/>
    </w:p>
    <w:sectPr w:rsidR="00050D6D" w:rsidSect="005544E8">
      <w:footerReference w:type="first" r:id="rId29"/>
      <w:endnotePr>
        <w:numFmt w:val="decimal"/>
      </w:endnotePr>
      <w:pgSz w:w="11906" w:h="16838"/>
      <w:pgMar w:top="1985" w:right="1133" w:bottom="1276" w:left="1440"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697A5" w14:textId="77777777" w:rsidR="000E513D" w:rsidRDefault="000E513D" w:rsidP="002117E6">
      <w:pPr>
        <w:spacing w:after="0"/>
      </w:pPr>
      <w:r>
        <w:separator/>
      </w:r>
    </w:p>
  </w:endnote>
  <w:endnote w:type="continuationSeparator" w:id="0">
    <w:p w14:paraId="1E4F092F" w14:textId="77777777" w:rsidR="000E513D" w:rsidRDefault="000E513D" w:rsidP="002117E6">
      <w:pPr>
        <w:spacing w:after="0"/>
      </w:pPr>
      <w:r>
        <w:continuationSeparator/>
      </w:r>
    </w:p>
  </w:endnote>
  <w:endnote w:type="continuationNotice" w:id="1">
    <w:p w14:paraId="410BF228" w14:textId="77777777" w:rsidR="000E513D" w:rsidRDefault="000E51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91AA" w14:textId="77777777" w:rsidR="000E513D" w:rsidRDefault="000E513D" w:rsidP="001664DA">
    <w:pPr>
      <w:pStyle w:val="Footer"/>
      <w:ind w:left="-1418"/>
    </w:pPr>
    <w:r>
      <w:rPr>
        <w:noProof/>
        <w:lang w:eastAsia="en-AU"/>
      </w:rPr>
      <w:drawing>
        <wp:inline distT="0" distB="0" distL="0" distR="0" wp14:anchorId="6267966E" wp14:editId="3B02E675">
          <wp:extent cx="7734993" cy="5916507"/>
          <wp:effectExtent l="0" t="0" r="0" b="0"/>
          <wp:docPr id="11" name="Picture 11" descr="www.communications.gov.au/BCAR&#10;Twitter: #CommsAuB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car--cover-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6190" cy="59250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68A8" w14:textId="77777777" w:rsidR="000E513D" w:rsidRDefault="000E513D" w:rsidP="00315ED7">
    <w:pPr>
      <w:pStyle w:val="Footer"/>
      <w:ind w:left="-1418"/>
    </w:pPr>
    <w:r>
      <w:rPr>
        <w:noProof/>
        <w:lang w:eastAsia="en-AU"/>
      </w:rPr>
      <w:drawing>
        <wp:inline distT="0" distB="0" distL="0" distR="0" wp14:anchorId="794FFC67" wp14:editId="0C92FCD3">
          <wp:extent cx="7848450" cy="6003290"/>
          <wp:effectExtent l="0" t="0" r="0" b="0"/>
          <wp:docPr id="12" name="Picture 12" descr="www.communications.gov.au/BCAR&#10;#CommsAuBC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ar--cover--contact-details.png"/>
                  <pic:cNvPicPr/>
                </pic:nvPicPr>
                <pic:blipFill>
                  <a:blip r:embed="rId1">
                    <a:extLst>
                      <a:ext uri="{28A0092B-C50C-407E-A947-70E740481C1C}">
                        <a14:useLocalDpi xmlns:a14="http://schemas.microsoft.com/office/drawing/2010/main" val="0"/>
                      </a:ext>
                    </a:extLst>
                  </a:blip>
                  <a:stretch>
                    <a:fillRect/>
                  </a:stretch>
                </pic:blipFill>
                <pic:spPr>
                  <a:xfrm>
                    <a:off x="0" y="0"/>
                    <a:ext cx="7882585" cy="60294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99573" w14:textId="77777777" w:rsidR="000E513D" w:rsidRPr="00036ADD" w:rsidRDefault="000E513D" w:rsidP="00B478F1">
    <w:pPr>
      <w:pStyle w:val="Footer"/>
      <w:tabs>
        <w:tab w:val="clear" w:pos="4513"/>
        <w:tab w:val="clear" w:pos="9026"/>
        <w:tab w:val="right" w:pos="8789"/>
        <w:tab w:val="right" w:pos="9333"/>
      </w:tabs>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089890592"/>
      <w:docPartObj>
        <w:docPartGallery w:val="Page Numbers (Bottom of Page)"/>
        <w:docPartUnique/>
      </w:docPartObj>
    </w:sdtPr>
    <w:sdtEndPr>
      <w:rPr>
        <w:noProof/>
        <w:color w:val="B60000"/>
      </w:rPr>
    </w:sdtEndPr>
    <w:sdtContent>
      <w:p w14:paraId="79DFDEC7" w14:textId="2D82D7EE" w:rsidR="000E513D" w:rsidRPr="00BF7E49" w:rsidRDefault="001B6A30" w:rsidP="005F172C">
        <w:pPr>
          <w:pStyle w:val="Footer"/>
          <w:tabs>
            <w:tab w:val="clear" w:pos="4513"/>
            <w:tab w:val="clear" w:pos="9026"/>
            <w:tab w:val="right" w:pos="9333"/>
          </w:tabs>
          <w:rPr>
            <w:noProof/>
            <w:sz w:val="18"/>
            <w:szCs w:val="18"/>
          </w:rPr>
        </w:pPr>
        <w:r w:rsidRPr="001B6A30">
          <w:rPr>
            <w:sz w:val="18"/>
            <w:szCs w:val="18"/>
          </w:rPr>
          <w:t>Cultural and creative activity in Australia, 2008–09 to 2017–18—Explanatory notes</w:t>
        </w:r>
        <w:r w:rsidR="000E513D" w:rsidRPr="00BF7E49">
          <w:rPr>
            <w:sz w:val="18"/>
            <w:szCs w:val="18"/>
          </w:rPr>
          <w:tab/>
        </w:r>
        <w:r w:rsidR="000E513D" w:rsidRPr="00BF7E49">
          <w:rPr>
            <w:sz w:val="18"/>
            <w:szCs w:val="18"/>
          </w:rPr>
          <w:fldChar w:fldCharType="begin"/>
        </w:r>
        <w:r w:rsidR="000E513D" w:rsidRPr="00BF7E49">
          <w:rPr>
            <w:sz w:val="18"/>
            <w:szCs w:val="18"/>
          </w:rPr>
          <w:instrText xml:space="preserve"> PAGE   \* MERGEFORMAT </w:instrText>
        </w:r>
        <w:r w:rsidR="000E513D" w:rsidRPr="00BF7E49">
          <w:rPr>
            <w:sz w:val="18"/>
            <w:szCs w:val="18"/>
          </w:rPr>
          <w:fldChar w:fldCharType="separate"/>
        </w:r>
        <w:r w:rsidR="00352660">
          <w:rPr>
            <w:noProof/>
            <w:sz w:val="18"/>
            <w:szCs w:val="18"/>
          </w:rPr>
          <w:t>11</w:t>
        </w:r>
        <w:r w:rsidR="000E513D" w:rsidRPr="00BF7E4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60376" w14:textId="77777777" w:rsidR="000E513D" w:rsidRDefault="000E513D" w:rsidP="00315ED7">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33F8D" w14:textId="77777777" w:rsidR="000E513D" w:rsidRDefault="000E513D" w:rsidP="002117E6">
      <w:pPr>
        <w:spacing w:after="0"/>
      </w:pPr>
      <w:r>
        <w:separator/>
      </w:r>
    </w:p>
  </w:footnote>
  <w:footnote w:type="continuationSeparator" w:id="0">
    <w:p w14:paraId="2FAE1AB2" w14:textId="77777777" w:rsidR="000E513D" w:rsidRDefault="000E513D" w:rsidP="002117E6">
      <w:pPr>
        <w:spacing w:after="0"/>
      </w:pPr>
      <w:r>
        <w:continuationSeparator/>
      </w:r>
    </w:p>
  </w:footnote>
  <w:footnote w:type="continuationNotice" w:id="1">
    <w:p w14:paraId="35CB5875" w14:textId="77777777" w:rsidR="000E513D" w:rsidRDefault="000E51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DC1C1" w14:textId="77777777" w:rsidR="000E513D" w:rsidRPr="002F6934" w:rsidRDefault="000E513D" w:rsidP="001664DA">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CF7A9" w14:textId="77777777" w:rsidR="000E513D" w:rsidRDefault="000E513D" w:rsidP="001664DA">
    <w:pPr>
      <w:pStyle w:val="Header"/>
      <w:tabs>
        <w:tab w:val="clear" w:pos="9026"/>
        <w:tab w:val="right" w:pos="9333"/>
      </w:tabs>
      <w:ind w:left="-1418" w:right="-46"/>
      <w:rPr>
        <w:color w:val="0066AB" w:themeColor="text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8A988" w14:textId="77777777" w:rsidR="000E513D" w:rsidRDefault="000E513D" w:rsidP="002F6934">
    <w:pPr>
      <w:pStyle w:val="Header"/>
      <w:ind w:left="-99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13E31" w14:textId="77777777" w:rsidR="000E513D" w:rsidRPr="002F6934" w:rsidRDefault="000E513D" w:rsidP="001664DA">
    <w:pPr>
      <w:pStyle w:val="Header"/>
      <w:ind w:left="-141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A18DD" w14:textId="655E31B1" w:rsidR="00F57D43" w:rsidRPr="00BA44A7" w:rsidRDefault="00F57D43" w:rsidP="001664DA">
    <w:pPr>
      <w:pStyle w:val="Header"/>
      <w:tabs>
        <w:tab w:val="clear" w:pos="9026"/>
        <w:tab w:val="right" w:pos="9333"/>
      </w:tabs>
      <w:ind w:left="-1418" w:right="-46"/>
    </w:pPr>
    <w:r>
      <w:rPr>
        <w:noProof/>
        <w:lang w:eastAsia="en-AU"/>
      </w:rPr>
      <w:drawing>
        <wp:inline distT="0" distB="0" distL="0" distR="0" wp14:anchorId="69A53741" wp14:editId="5BA0516C">
          <wp:extent cx="7560726" cy="1078252"/>
          <wp:effectExtent l="0" t="0" r="2540" b="7620"/>
          <wp:docPr id="2" name="Picture 2" descr="Bureau of Communications and Arts Research,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AR A4 Word Template_2020 HEADER.png"/>
                  <pic:cNvPicPr/>
                </pic:nvPicPr>
                <pic:blipFill>
                  <a:blip r:embed="rId1">
                    <a:extLst>
                      <a:ext uri="{28A0092B-C50C-407E-A947-70E740481C1C}">
                        <a14:useLocalDpi xmlns:a14="http://schemas.microsoft.com/office/drawing/2010/main" val="0"/>
                      </a:ext>
                    </a:extLst>
                  </a:blip>
                  <a:stretch>
                    <a:fillRect/>
                  </a:stretch>
                </pic:blipFill>
                <pic:spPr>
                  <a:xfrm>
                    <a:off x="0" y="0"/>
                    <a:ext cx="7640813" cy="10896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EAC40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C6E6DDE6"/>
    <w:lvl w:ilvl="0">
      <w:start w:val="1"/>
      <w:numFmt w:val="decimal"/>
      <w:pStyle w:val="ListNumber"/>
      <w:lvlText w:val="%1."/>
      <w:lvlJc w:val="left"/>
      <w:pPr>
        <w:tabs>
          <w:tab w:val="num" w:pos="360"/>
        </w:tabs>
        <w:ind w:left="360" w:hanging="360"/>
      </w:pPr>
    </w:lvl>
  </w:abstractNum>
  <w:abstractNum w:abstractNumId="2" w15:restartNumberingAfterBreak="0">
    <w:nsid w:val="030A3B58"/>
    <w:multiLevelType w:val="hybridMultilevel"/>
    <w:tmpl w:val="B14A1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85311"/>
    <w:multiLevelType w:val="hybridMultilevel"/>
    <w:tmpl w:val="F9467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937613"/>
    <w:multiLevelType w:val="hybridMultilevel"/>
    <w:tmpl w:val="2B48B512"/>
    <w:lvl w:ilvl="0" w:tplc="69AC725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1522E1D"/>
    <w:multiLevelType w:val="hybridMultilevel"/>
    <w:tmpl w:val="9F4CD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47303B"/>
    <w:multiLevelType w:val="hybridMultilevel"/>
    <w:tmpl w:val="E2989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E92756"/>
    <w:multiLevelType w:val="hybridMultilevel"/>
    <w:tmpl w:val="ED3CDCCE"/>
    <w:lvl w:ilvl="0" w:tplc="5DC016A6">
      <w:start w:val="1"/>
      <w:numFmt w:val="bullet"/>
      <w:pStyle w:val="Listparagraph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F74CA0"/>
    <w:multiLevelType w:val="hybridMultilevel"/>
    <w:tmpl w:val="CDBC2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B55AF2"/>
    <w:multiLevelType w:val="hybridMultilevel"/>
    <w:tmpl w:val="6760674C"/>
    <w:lvl w:ilvl="0" w:tplc="6EAAFE24">
      <w:start w:val="1"/>
      <w:numFmt w:val="bullet"/>
      <w:lvlText w:val="•"/>
      <w:lvlJc w:val="left"/>
      <w:pPr>
        <w:tabs>
          <w:tab w:val="num" w:pos="360"/>
        </w:tabs>
        <w:ind w:left="360" w:hanging="360"/>
      </w:pPr>
      <w:rPr>
        <w:rFonts w:ascii="Arial" w:hAnsi="Arial" w:hint="default"/>
      </w:rPr>
    </w:lvl>
    <w:lvl w:ilvl="1" w:tplc="6B8676C6">
      <w:start w:val="1"/>
      <w:numFmt w:val="bullet"/>
      <w:lvlText w:val="•"/>
      <w:lvlJc w:val="left"/>
      <w:pPr>
        <w:tabs>
          <w:tab w:val="num" w:pos="1080"/>
        </w:tabs>
        <w:ind w:left="1080" w:hanging="360"/>
      </w:pPr>
      <w:rPr>
        <w:rFonts w:ascii="Arial" w:hAnsi="Arial" w:hint="default"/>
      </w:rPr>
    </w:lvl>
    <w:lvl w:ilvl="2" w:tplc="FFC25E4C" w:tentative="1">
      <w:start w:val="1"/>
      <w:numFmt w:val="bullet"/>
      <w:lvlText w:val="•"/>
      <w:lvlJc w:val="left"/>
      <w:pPr>
        <w:tabs>
          <w:tab w:val="num" w:pos="1800"/>
        </w:tabs>
        <w:ind w:left="1800" w:hanging="360"/>
      </w:pPr>
      <w:rPr>
        <w:rFonts w:ascii="Arial" w:hAnsi="Arial" w:hint="default"/>
      </w:rPr>
    </w:lvl>
    <w:lvl w:ilvl="3" w:tplc="F66E8C1A" w:tentative="1">
      <w:start w:val="1"/>
      <w:numFmt w:val="bullet"/>
      <w:lvlText w:val="•"/>
      <w:lvlJc w:val="left"/>
      <w:pPr>
        <w:tabs>
          <w:tab w:val="num" w:pos="2520"/>
        </w:tabs>
        <w:ind w:left="2520" w:hanging="360"/>
      </w:pPr>
      <w:rPr>
        <w:rFonts w:ascii="Arial" w:hAnsi="Arial" w:hint="default"/>
      </w:rPr>
    </w:lvl>
    <w:lvl w:ilvl="4" w:tplc="53B492DE" w:tentative="1">
      <w:start w:val="1"/>
      <w:numFmt w:val="bullet"/>
      <w:lvlText w:val="•"/>
      <w:lvlJc w:val="left"/>
      <w:pPr>
        <w:tabs>
          <w:tab w:val="num" w:pos="3240"/>
        </w:tabs>
        <w:ind w:left="3240" w:hanging="360"/>
      </w:pPr>
      <w:rPr>
        <w:rFonts w:ascii="Arial" w:hAnsi="Arial" w:hint="default"/>
      </w:rPr>
    </w:lvl>
    <w:lvl w:ilvl="5" w:tplc="F1363EEA" w:tentative="1">
      <w:start w:val="1"/>
      <w:numFmt w:val="bullet"/>
      <w:lvlText w:val="•"/>
      <w:lvlJc w:val="left"/>
      <w:pPr>
        <w:tabs>
          <w:tab w:val="num" w:pos="3960"/>
        </w:tabs>
        <w:ind w:left="3960" w:hanging="360"/>
      </w:pPr>
      <w:rPr>
        <w:rFonts w:ascii="Arial" w:hAnsi="Arial" w:hint="default"/>
      </w:rPr>
    </w:lvl>
    <w:lvl w:ilvl="6" w:tplc="22B83026" w:tentative="1">
      <w:start w:val="1"/>
      <w:numFmt w:val="bullet"/>
      <w:lvlText w:val="•"/>
      <w:lvlJc w:val="left"/>
      <w:pPr>
        <w:tabs>
          <w:tab w:val="num" w:pos="4680"/>
        </w:tabs>
        <w:ind w:left="4680" w:hanging="360"/>
      </w:pPr>
      <w:rPr>
        <w:rFonts w:ascii="Arial" w:hAnsi="Arial" w:hint="default"/>
      </w:rPr>
    </w:lvl>
    <w:lvl w:ilvl="7" w:tplc="7374BA3A" w:tentative="1">
      <w:start w:val="1"/>
      <w:numFmt w:val="bullet"/>
      <w:lvlText w:val="•"/>
      <w:lvlJc w:val="left"/>
      <w:pPr>
        <w:tabs>
          <w:tab w:val="num" w:pos="5400"/>
        </w:tabs>
        <w:ind w:left="5400" w:hanging="360"/>
      </w:pPr>
      <w:rPr>
        <w:rFonts w:ascii="Arial" w:hAnsi="Arial" w:hint="default"/>
      </w:rPr>
    </w:lvl>
    <w:lvl w:ilvl="8" w:tplc="C28E3C64"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CD02EDC"/>
    <w:multiLevelType w:val="hybridMultilevel"/>
    <w:tmpl w:val="D0ACE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9E00A8"/>
    <w:multiLevelType w:val="hybridMultilevel"/>
    <w:tmpl w:val="D91EE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C34DF"/>
    <w:multiLevelType w:val="hybridMultilevel"/>
    <w:tmpl w:val="D520E654"/>
    <w:lvl w:ilvl="0" w:tplc="D69CC2A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F087398"/>
    <w:multiLevelType w:val="hybridMultilevel"/>
    <w:tmpl w:val="AFD8A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61472B"/>
    <w:multiLevelType w:val="hybridMultilevel"/>
    <w:tmpl w:val="FB30F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D507BF"/>
    <w:multiLevelType w:val="hybridMultilevel"/>
    <w:tmpl w:val="97E4AA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88D1B11"/>
    <w:multiLevelType w:val="hybridMultilevel"/>
    <w:tmpl w:val="29F2A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6F672A"/>
    <w:multiLevelType w:val="hybridMultilevel"/>
    <w:tmpl w:val="F15ABB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DF2BC5"/>
    <w:multiLevelType w:val="multilevel"/>
    <w:tmpl w:val="873EB4F6"/>
    <w:lvl w:ilvl="0">
      <w:start w:val="1"/>
      <w:numFmt w:val="bullet"/>
      <w:pStyle w:val="Listparagraphbulletssecondlevel"/>
      <w:lvlText w:val=""/>
      <w:lvlJc w:val="left"/>
      <w:pPr>
        <w:ind w:left="927"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17"/>
  </w:num>
  <w:num w:numId="3">
    <w:abstractNumId w:val="4"/>
  </w:num>
  <w:num w:numId="4">
    <w:abstractNumId w:val="8"/>
  </w:num>
  <w:num w:numId="5">
    <w:abstractNumId w:val="13"/>
  </w:num>
  <w:num w:numId="6">
    <w:abstractNumId w:val="0"/>
  </w:num>
  <w:num w:numId="7">
    <w:abstractNumId w:val="20"/>
  </w:num>
  <w:num w:numId="8">
    <w:abstractNumId w:val="10"/>
  </w:num>
  <w:num w:numId="9">
    <w:abstractNumId w:val="14"/>
  </w:num>
  <w:num w:numId="10">
    <w:abstractNumId w:val="3"/>
  </w:num>
  <w:num w:numId="11">
    <w:abstractNumId w:val="19"/>
  </w:num>
  <w:num w:numId="12">
    <w:abstractNumId w:val="9"/>
  </w:num>
  <w:num w:numId="13">
    <w:abstractNumId w:val="5"/>
  </w:num>
  <w:num w:numId="14">
    <w:abstractNumId w:val="2"/>
  </w:num>
  <w:num w:numId="15">
    <w:abstractNumId w:val="11"/>
  </w:num>
  <w:num w:numId="16">
    <w:abstractNumId w:val="18"/>
  </w:num>
  <w:num w:numId="17">
    <w:abstractNumId w:val="12"/>
  </w:num>
  <w:num w:numId="18">
    <w:abstractNumId w:val="15"/>
  </w:num>
  <w:num w:numId="19">
    <w:abstractNumId w:val="6"/>
  </w:num>
  <w:num w:numId="20">
    <w:abstractNumId w:val="16"/>
  </w:num>
  <w:num w:numId="21">
    <w:abstractNumId w:val="1"/>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0240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1F"/>
    <w:rsid w:val="00011436"/>
    <w:rsid w:val="000166E4"/>
    <w:rsid w:val="000314EE"/>
    <w:rsid w:val="00032801"/>
    <w:rsid w:val="000335B0"/>
    <w:rsid w:val="00036ADD"/>
    <w:rsid w:val="00040E88"/>
    <w:rsid w:val="000505C4"/>
    <w:rsid w:val="00050D6D"/>
    <w:rsid w:val="00070671"/>
    <w:rsid w:val="000721C8"/>
    <w:rsid w:val="000856C5"/>
    <w:rsid w:val="00087556"/>
    <w:rsid w:val="00093C9E"/>
    <w:rsid w:val="0009524E"/>
    <w:rsid w:val="00096F45"/>
    <w:rsid w:val="000977D1"/>
    <w:rsid w:val="000A1F56"/>
    <w:rsid w:val="000B5C8D"/>
    <w:rsid w:val="000B7267"/>
    <w:rsid w:val="000D0611"/>
    <w:rsid w:val="000D2EC5"/>
    <w:rsid w:val="000E2032"/>
    <w:rsid w:val="000E513D"/>
    <w:rsid w:val="00107501"/>
    <w:rsid w:val="0011293A"/>
    <w:rsid w:val="001211B3"/>
    <w:rsid w:val="00125368"/>
    <w:rsid w:val="001275A9"/>
    <w:rsid w:val="001410BF"/>
    <w:rsid w:val="001471EA"/>
    <w:rsid w:val="001472FC"/>
    <w:rsid w:val="00152655"/>
    <w:rsid w:val="001615CA"/>
    <w:rsid w:val="001664DA"/>
    <w:rsid w:val="00167441"/>
    <w:rsid w:val="00171F0B"/>
    <w:rsid w:val="001731A2"/>
    <w:rsid w:val="00185E9F"/>
    <w:rsid w:val="0019701B"/>
    <w:rsid w:val="001B053F"/>
    <w:rsid w:val="001B118F"/>
    <w:rsid w:val="001B6A30"/>
    <w:rsid w:val="001D7905"/>
    <w:rsid w:val="001E411F"/>
    <w:rsid w:val="001F285E"/>
    <w:rsid w:val="001F4BA4"/>
    <w:rsid w:val="002117E6"/>
    <w:rsid w:val="00216C82"/>
    <w:rsid w:val="0022305F"/>
    <w:rsid w:val="00243E1C"/>
    <w:rsid w:val="00251CA3"/>
    <w:rsid w:val="002627B7"/>
    <w:rsid w:val="00271956"/>
    <w:rsid w:val="00272832"/>
    <w:rsid w:val="00293DD6"/>
    <w:rsid w:val="002A5626"/>
    <w:rsid w:val="002A6FA3"/>
    <w:rsid w:val="002B20D5"/>
    <w:rsid w:val="002C025C"/>
    <w:rsid w:val="002C2D13"/>
    <w:rsid w:val="002C718A"/>
    <w:rsid w:val="002E48FD"/>
    <w:rsid w:val="002F02B0"/>
    <w:rsid w:val="002F057A"/>
    <w:rsid w:val="002F1EC5"/>
    <w:rsid w:val="002F40EB"/>
    <w:rsid w:val="002F5C0A"/>
    <w:rsid w:val="002F6934"/>
    <w:rsid w:val="00301FCB"/>
    <w:rsid w:val="003064E7"/>
    <w:rsid w:val="003142A4"/>
    <w:rsid w:val="00315ED7"/>
    <w:rsid w:val="00335334"/>
    <w:rsid w:val="00336DDD"/>
    <w:rsid w:val="00340E83"/>
    <w:rsid w:val="00352660"/>
    <w:rsid w:val="003655A9"/>
    <w:rsid w:val="00370718"/>
    <w:rsid w:val="00381364"/>
    <w:rsid w:val="00383BEA"/>
    <w:rsid w:val="00395F55"/>
    <w:rsid w:val="003A1E24"/>
    <w:rsid w:val="003C349D"/>
    <w:rsid w:val="003C776B"/>
    <w:rsid w:val="003E6428"/>
    <w:rsid w:val="003F495D"/>
    <w:rsid w:val="00400E77"/>
    <w:rsid w:val="0041093C"/>
    <w:rsid w:val="00412655"/>
    <w:rsid w:val="0041624D"/>
    <w:rsid w:val="004200B5"/>
    <w:rsid w:val="0043179B"/>
    <w:rsid w:val="00431AE8"/>
    <w:rsid w:val="00442ECD"/>
    <w:rsid w:val="00450D6E"/>
    <w:rsid w:val="00477AC6"/>
    <w:rsid w:val="00486116"/>
    <w:rsid w:val="00487842"/>
    <w:rsid w:val="004A25D5"/>
    <w:rsid w:val="004A413A"/>
    <w:rsid w:val="004D21E8"/>
    <w:rsid w:val="004F0705"/>
    <w:rsid w:val="00522295"/>
    <w:rsid w:val="00537B88"/>
    <w:rsid w:val="00542723"/>
    <w:rsid w:val="00544465"/>
    <w:rsid w:val="00552D45"/>
    <w:rsid w:val="005544E8"/>
    <w:rsid w:val="0055735A"/>
    <w:rsid w:val="00565B47"/>
    <w:rsid w:val="00575A5A"/>
    <w:rsid w:val="00581C66"/>
    <w:rsid w:val="00584D1F"/>
    <w:rsid w:val="005866D9"/>
    <w:rsid w:val="005932D0"/>
    <w:rsid w:val="00597F9B"/>
    <w:rsid w:val="005A0F6C"/>
    <w:rsid w:val="005A30E7"/>
    <w:rsid w:val="005B06B1"/>
    <w:rsid w:val="005B1191"/>
    <w:rsid w:val="005C3C3C"/>
    <w:rsid w:val="005D0247"/>
    <w:rsid w:val="005D774F"/>
    <w:rsid w:val="005E4552"/>
    <w:rsid w:val="005E7795"/>
    <w:rsid w:val="005F172C"/>
    <w:rsid w:val="005F59F8"/>
    <w:rsid w:val="006051CE"/>
    <w:rsid w:val="006130B3"/>
    <w:rsid w:val="0061446D"/>
    <w:rsid w:val="00625397"/>
    <w:rsid w:val="00626639"/>
    <w:rsid w:val="00630AE7"/>
    <w:rsid w:val="00635016"/>
    <w:rsid w:val="0064138E"/>
    <w:rsid w:val="00646340"/>
    <w:rsid w:val="00664013"/>
    <w:rsid w:val="00667FCB"/>
    <w:rsid w:val="00670353"/>
    <w:rsid w:val="00686989"/>
    <w:rsid w:val="00686C9B"/>
    <w:rsid w:val="006905FC"/>
    <w:rsid w:val="006A2624"/>
    <w:rsid w:val="006A2F0E"/>
    <w:rsid w:val="006B0578"/>
    <w:rsid w:val="006B3D07"/>
    <w:rsid w:val="006B3D8A"/>
    <w:rsid w:val="006D0509"/>
    <w:rsid w:val="006E27DF"/>
    <w:rsid w:val="006F06FD"/>
    <w:rsid w:val="006F73B8"/>
    <w:rsid w:val="00704074"/>
    <w:rsid w:val="00705B86"/>
    <w:rsid w:val="007170EB"/>
    <w:rsid w:val="007267B7"/>
    <w:rsid w:val="00730B1E"/>
    <w:rsid w:val="00734DE1"/>
    <w:rsid w:val="00737BCD"/>
    <w:rsid w:val="00743548"/>
    <w:rsid w:val="0074404B"/>
    <w:rsid w:val="0075057B"/>
    <w:rsid w:val="00753BB6"/>
    <w:rsid w:val="00761500"/>
    <w:rsid w:val="007621DD"/>
    <w:rsid w:val="007640D0"/>
    <w:rsid w:val="007648FE"/>
    <w:rsid w:val="007B009D"/>
    <w:rsid w:val="007C02FC"/>
    <w:rsid w:val="007C7B96"/>
    <w:rsid w:val="007D107F"/>
    <w:rsid w:val="007E5144"/>
    <w:rsid w:val="007F09A8"/>
    <w:rsid w:val="00805A9D"/>
    <w:rsid w:val="008102CC"/>
    <w:rsid w:val="0081351F"/>
    <w:rsid w:val="00823988"/>
    <w:rsid w:val="00827419"/>
    <w:rsid w:val="00831ED0"/>
    <w:rsid w:val="00836A84"/>
    <w:rsid w:val="00844B46"/>
    <w:rsid w:val="00851808"/>
    <w:rsid w:val="008A4B1F"/>
    <w:rsid w:val="008B6922"/>
    <w:rsid w:val="008C6F4D"/>
    <w:rsid w:val="008D3A77"/>
    <w:rsid w:val="008D6440"/>
    <w:rsid w:val="00914F7B"/>
    <w:rsid w:val="009200A4"/>
    <w:rsid w:val="00926ACB"/>
    <w:rsid w:val="009313D2"/>
    <w:rsid w:val="00932994"/>
    <w:rsid w:val="009371AE"/>
    <w:rsid w:val="0094124E"/>
    <w:rsid w:val="00941602"/>
    <w:rsid w:val="00963069"/>
    <w:rsid w:val="00965F9A"/>
    <w:rsid w:val="00966A6D"/>
    <w:rsid w:val="00981987"/>
    <w:rsid w:val="00985551"/>
    <w:rsid w:val="00990E33"/>
    <w:rsid w:val="0099477D"/>
    <w:rsid w:val="009A37EC"/>
    <w:rsid w:val="009A61C0"/>
    <w:rsid w:val="009B4169"/>
    <w:rsid w:val="009B7EF0"/>
    <w:rsid w:val="009C41DA"/>
    <w:rsid w:val="009C6E86"/>
    <w:rsid w:val="009C73DD"/>
    <w:rsid w:val="009C76F0"/>
    <w:rsid w:val="009E12E4"/>
    <w:rsid w:val="009E3ED5"/>
    <w:rsid w:val="009F6323"/>
    <w:rsid w:val="009F6331"/>
    <w:rsid w:val="009F7381"/>
    <w:rsid w:val="00A161F3"/>
    <w:rsid w:val="00A17C30"/>
    <w:rsid w:val="00A241FE"/>
    <w:rsid w:val="00A4444D"/>
    <w:rsid w:val="00A61D6F"/>
    <w:rsid w:val="00A65D15"/>
    <w:rsid w:val="00A705B7"/>
    <w:rsid w:val="00A92D8A"/>
    <w:rsid w:val="00A9632B"/>
    <w:rsid w:val="00AB6E89"/>
    <w:rsid w:val="00AC214A"/>
    <w:rsid w:val="00AE4F02"/>
    <w:rsid w:val="00AE69F4"/>
    <w:rsid w:val="00B01CCC"/>
    <w:rsid w:val="00B049A4"/>
    <w:rsid w:val="00B17F51"/>
    <w:rsid w:val="00B25F06"/>
    <w:rsid w:val="00B25F4C"/>
    <w:rsid w:val="00B27E67"/>
    <w:rsid w:val="00B446CB"/>
    <w:rsid w:val="00B478F1"/>
    <w:rsid w:val="00B55747"/>
    <w:rsid w:val="00B55D92"/>
    <w:rsid w:val="00B571B4"/>
    <w:rsid w:val="00B6214E"/>
    <w:rsid w:val="00B65FE2"/>
    <w:rsid w:val="00B72201"/>
    <w:rsid w:val="00B76E2A"/>
    <w:rsid w:val="00B840AC"/>
    <w:rsid w:val="00B851D7"/>
    <w:rsid w:val="00BA44A7"/>
    <w:rsid w:val="00BB1FF9"/>
    <w:rsid w:val="00BB4D67"/>
    <w:rsid w:val="00BC329E"/>
    <w:rsid w:val="00BC60A6"/>
    <w:rsid w:val="00BC7D72"/>
    <w:rsid w:val="00BD6624"/>
    <w:rsid w:val="00BD7CC3"/>
    <w:rsid w:val="00BE0291"/>
    <w:rsid w:val="00BE3308"/>
    <w:rsid w:val="00BE6978"/>
    <w:rsid w:val="00BE7E66"/>
    <w:rsid w:val="00BE7F06"/>
    <w:rsid w:val="00BF2359"/>
    <w:rsid w:val="00BF7E49"/>
    <w:rsid w:val="00C025B8"/>
    <w:rsid w:val="00C04066"/>
    <w:rsid w:val="00C16794"/>
    <w:rsid w:val="00C32A36"/>
    <w:rsid w:val="00C525D5"/>
    <w:rsid w:val="00C657D3"/>
    <w:rsid w:val="00C74B08"/>
    <w:rsid w:val="00C91791"/>
    <w:rsid w:val="00CA0B48"/>
    <w:rsid w:val="00CA1514"/>
    <w:rsid w:val="00CC3FAB"/>
    <w:rsid w:val="00CC7F60"/>
    <w:rsid w:val="00CF1662"/>
    <w:rsid w:val="00D01CD7"/>
    <w:rsid w:val="00D33AD4"/>
    <w:rsid w:val="00D33D52"/>
    <w:rsid w:val="00D62557"/>
    <w:rsid w:val="00D67568"/>
    <w:rsid w:val="00D70CF0"/>
    <w:rsid w:val="00D82807"/>
    <w:rsid w:val="00D939B6"/>
    <w:rsid w:val="00DA7A04"/>
    <w:rsid w:val="00DC2959"/>
    <w:rsid w:val="00DC2DFA"/>
    <w:rsid w:val="00DD5D52"/>
    <w:rsid w:val="00DE46CD"/>
    <w:rsid w:val="00DE6533"/>
    <w:rsid w:val="00DF140B"/>
    <w:rsid w:val="00DF28C2"/>
    <w:rsid w:val="00DF561A"/>
    <w:rsid w:val="00DF69FF"/>
    <w:rsid w:val="00E0603C"/>
    <w:rsid w:val="00E109FE"/>
    <w:rsid w:val="00E157DD"/>
    <w:rsid w:val="00E228FA"/>
    <w:rsid w:val="00E27FB7"/>
    <w:rsid w:val="00E33C50"/>
    <w:rsid w:val="00E64776"/>
    <w:rsid w:val="00E70037"/>
    <w:rsid w:val="00E93EA5"/>
    <w:rsid w:val="00E9456B"/>
    <w:rsid w:val="00E95177"/>
    <w:rsid w:val="00EA6D34"/>
    <w:rsid w:val="00EB40A5"/>
    <w:rsid w:val="00EC3073"/>
    <w:rsid w:val="00EF35A6"/>
    <w:rsid w:val="00F00276"/>
    <w:rsid w:val="00F13CAF"/>
    <w:rsid w:val="00F1444C"/>
    <w:rsid w:val="00F15069"/>
    <w:rsid w:val="00F164C6"/>
    <w:rsid w:val="00F242F9"/>
    <w:rsid w:val="00F30667"/>
    <w:rsid w:val="00F33197"/>
    <w:rsid w:val="00F3567E"/>
    <w:rsid w:val="00F359D8"/>
    <w:rsid w:val="00F37141"/>
    <w:rsid w:val="00F408EE"/>
    <w:rsid w:val="00F4193A"/>
    <w:rsid w:val="00F52169"/>
    <w:rsid w:val="00F52E20"/>
    <w:rsid w:val="00F53680"/>
    <w:rsid w:val="00F57334"/>
    <w:rsid w:val="00F57D43"/>
    <w:rsid w:val="00F61A8F"/>
    <w:rsid w:val="00F651DF"/>
    <w:rsid w:val="00F7051B"/>
    <w:rsid w:val="00F8356F"/>
    <w:rsid w:val="00F85253"/>
    <w:rsid w:val="00FB606F"/>
    <w:rsid w:val="00FD10CA"/>
    <w:rsid w:val="00FE0F5F"/>
    <w:rsid w:val="00FE4D33"/>
    <w:rsid w:val="00FF11AE"/>
    <w:rsid w:val="00FF46E3"/>
    <w:rsid w:val="00FF5056"/>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002C850"/>
  <w15:chartTrackingRefBased/>
  <w15:docId w15:val="{121D664A-5C45-49FE-9389-A98F7077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11F"/>
    <w:pPr>
      <w:spacing w:after="200" w:line="240" w:lineRule="auto"/>
    </w:pPr>
    <w:rPr>
      <w:rFonts w:ascii="Segoe UI" w:hAnsi="Segoe UI"/>
      <w:sz w:val="21"/>
    </w:rPr>
  </w:style>
  <w:style w:type="paragraph" w:styleId="Heading1">
    <w:name w:val="heading 1"/>
    <w:basedOn w:val="Normal"/>
    <w:next w:val="Normal"/>
    <w:link w:val="Heading1Char"/>
    <w:uiPriority w:val="9"/>
    <w:qFormat/>
    <w:rsid w:val="00F61A8F"/>
    <w:pPr>
      <w:keepNext/>
      <w:spacing w:before="1080" w:after="480"/>
      <w:outlineLvl w:val="0"/>
    </w:pPr>
    <w:rPr>
      <w:rFonts w:ascii="Segoe UI Semibold" w:eastAsiaTheme="majorEastAsia" w:hAnsi="Segoe UI Semibold" w:cstheme="majorBidi"/>
      <w:color w:val="113652"/>
      <w:sz w:val="48"/>
      <w:szCs w:val="32"/>
      <w:lang w:eastAsia="en-US"/>
    </w:rPr>
  </w:style>
  <w:style w:type="paragraph" w:styleId="Heading2">
    <w:name w:val="heading 2"/>
    <w:basedOn w:val="Normal"/>
    <w:next w:val="Normal"/>
    <w:link w:val="Heading2Char"/>
    <w:uiPriority w:val="9"/>
    <w:unhideWhenUsed/>
    <w:qFormat/>
    <w:rsid w:val="00F61A8F"/>
    <w:pPr>
      <w:keepNext/>
      <w:outlineLvl w:val="1"/>
    </w:pPr>
    <w:rPr>
      <w:rFonts w:ascii="Segoe UI Semibold" w:eastAsiaTheme="majorEastAsia" w:hAnsi="Segoe UI Semibold" w:cstheme="majorBidi"/>
      <w:color w:val="0066AB"/>
      <w:sz w:val="36"/>
      <w:szCs w:val="26"/>
      <w:lang w:eastAsia="en-US"/>
    </w:rPr>
  </w:style>
  <w:style w:type="paragraph" w:styleId="Heading3">
    <w:name w:val="heading 3"/>
    <w:basedOn w:val="Normal"/>
    <w:next w:val="Normal"/>
    <w:link w:val="Heading3Char"/>
    <w:uiPriority w:val="9"/>
    <w:unhideWhenUsed/>
    <w:qFormat/>
    <w:rsid w:val="00EC3073"/>
    <w:pPr>
      <w:keepNext/>
      <w:spacing w:after="120"/>
      <w:outlineLvl w:val="2"/>
    </w:pPr>
    <w:rPr>
      <w:rFonts w:asciiTheme="majorHAnsi" w:eastAsiaTheme="majorEastAsia" w:hAnsiTheme="majorHAnsi" w:cstheme="majorBidi"/>
      <w:b/>
      <w:color w:val="0066AB"/>
      <w:sz w:val="30"/>
      <w:szCs w:val="24"/>
      <w:lang w:eastAsia="en-US"/>
    </w:rPr>
  </w:style>
  <w:style w:type="paragraph" w:styleId="Heading4">
    <w:name w:val="heading 4"/>
    <w:basedOn w:val="Normal"/>
    <w:next w:val="Normal"/>
    <w:link w:val="Heading4Char"/>
    <w:uiPriority w:val="9"/>
    <w:unhideWhenUsed/>
    <w:qFormat/>
    <w:rsid w:val="00EC3073"/>
    <w:pPr>
      <w:keepNext/>
      <w:keepLines/>
      <w:spacing w:after="120"/>
      <w:outlineLvl w:val="3"/>
    </w:pPr>
    <w:rPr>
      <w:rFonts w:asciiTheme="majorHAnsi" w:eastAsiaTheme="majorEastAsia" w:hAnsiTheme="majorHAnsi" w:cstheme="majorBidi"/>
      <w:b/>
      <w:bCs/>
      <w:color w:val="0066AB"/>
      <w:sz w:val="24"/>
      <w:szCs w:val="24"/>
    </w:rPr>
  </w:style>
  <w:style w:type="paragraph" w:styleId="Heading5">
    <w:name w:val="heading 5"/>
    <w:basedOn w:val="Normal"/>
    <w:next w:val="Normal"/>
    <w:link w:val="Heading5Char"/>
    <w:uiPriority w:val="9"/>
    <w:unhideWhenUsed/>
    <w:qFormat/>
    <w:rsid w:val="00A92D8A"/>
    <w:pPr>
      <w:keepNext/>
      <w:keepLines/>
      <w:spacing w:after="60"/>
      <w:outlineLvl w:val="4"/>
    </w:pPr>
    <w:rPr>
      <w:rFonts w:asciiTheme="majorHAnsi" w:eastAsiaTheme="majorEastAsia" w:hAnsiTheme="majorHAnsi" w:cstheme="majorBidi"/>
      <w:b/>
      <w:color w:val="0066AB"/>
    </w:rPr>
  </w:style>
  <w:style w:type="paragraph" w:styleId="Heading6">
    <w:name w:val="heading 6"/>
    <w:basedOn w:val="Normal"/>
    <w:next w:val="Normal"/>
    <w:link w:val="Heading6Char"/>
    <w:uiPriority w:val="9"/>
    <w:unhideWhenUsed/>
    <w:qFormat/>
    <w:rsid w:val="00EC3073"/>
    <w:pPr>
      <w:keepNext/>
      <w:keepLines/>
      <w:spacing w:after="60"/>
      <w:outlineLvl w:val="5"/>
    </w:pPr>
    <w:rPr>
      <w:rFonts w:asciiTheme="majorHAnsi" w:eastAsiaTheme="majorEastAsia" w:hAnsiTheme="majorHAnsi" w:cstheme="majorBidi"/>
      <w:i/>
      <w:iCs/>
      <w:color w:val="0066AB"/>
    </w:rPr>
  </w:style>
  <w:style w:type="paragraph" w:styleId="Heading7">
    <w:name w:val="heading 7"/>
    <w:basedOn w:val="Normal"/>
    <w:next w:val="Normal"/>
    <w:link w:val="Heading7Char"/>
    <w:uiPriority w:val="9"/>
    <w:unhideWhenUsed/>
    <w:qFormat/>
    <w:rsid w:val="00EC3073"/>
    <w:pPr>
      <w:keepNext/>
      <w:keepLines/>
      <w:spacing w:before="40" w:after="0"/>
      <w:outlineLvl w:val="6"/>
    </w:pPr>
    <w:rPr>
      <w:rFonts w:asciiTheme="majorHAnsi" w:eastAsiaTheme="majorEastAsia" w:hAnsiTheme="majorHAnsi" w:cstheme="majorBidi"/>
      <w:i/>
      <w:iCs/>
      <w:color w:val="0066AB"/>
    </w:rPr>
  </w:style>
  <w:style w:type="paragraph" w:styleId="Heading8">
    <w:name w:val="heading 8"/>
    <w:basedOn w:val="Normal"/>
    <w:next w:val="Normal"/>
    <w:link w:val="Heading8Char"/>
    <w:uiPriority w:val="9"/>
    <w:unhideWhenUsed/>
    <w:qFormat/>
    <w:rsid w:val="00734DE1"/>
    <w:pPr>
      <w:keepNext/>
      <w:keepLines/>
      <w:spacing w:before="40" w:after="0"/>
      <w:outlineLvl w:val="7"/>
    </w:pPr>
    <w:rPr>
      <w:rFonts w:asciiTheme="majorHAnsi" w:eastAsiaTheme="majorEastAsia" w:hAnsiTheme="majorHAnsi" w:cstheme="majorBidi"/>
      <w:color w:val="0066AB"/>
      <w:szCs w:val="21"/>
    </w:rPr>
  </w:style>
  <w:style w:type="paragraph" w:styleId="Heading9">
    <w:name w:val="heading 9"/>
    <w:basedOn w:val="Normal"/>
    <w:next w:val="Normal"/>
    <w:link w:val="Heading9Char"/>
    <w:uiPriority w:val="9"/>
    <w:unhideWhenUsed/>
    <w:qFormat/>
    <w:rsid w:val="00EC3073"/>
    <w:pPr>
      <w:keepNext/>
      <w:keepLines/>
      <w:spacing w:before="40" w:after="0"/>
      <w:outlineLvl w:val="8"/>
    </w:pPr>
    <w:rPr>
      <w:rFonts w:asciiTheme="majorHAnsi" w:eastAsiaTheme="majorEastAsia" w:hAnsiTheme="majorHAnsi" w:cstheme="majorBidi"/>
      <w:i/>
      <w:iCs/>
      <w:color w:val="0066A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A8F"/>
    <w:rPr>
      <w:rFonts w:ascii="Segoe UI Semibold" w:eastAsiaTheme="majorEastAsia" w:hAnsi="Segoe UI Semibold" w:cstheme="majorBidi"/>
      <w:color w:val="113652"/>
      <w:sz w:val="48"/>
      <w:szCs w:val="32"/>
      <w:lang w:eastAsia="en-US"/>
    </w:rPr>
  </w:style>
  <w:style w:type="character" w:customStyle="1" w:styleId="Heading2Char">
    <w:name w:val="Heading 2 Char"/>
    <w:basedOn w:val="DefaultParagraphFont"/>
    <w:link w:val="Heading2"/>
    <w:uiPriority w:val="9"/>
    <w:rsid w:val="00F61A8F"/>
    <w:rPr>
      <w:rFonts w:ascii="Segoe UI Semibold" w:eastAsiaTheme="majorEastAsia" w:hAnsi="Segoe UI Semibold" w:cstheme="majorBidi"/>
      <w:color w:val="0066AB"/>
      <w:sz w:val="36"/>
      <w:szCs w:val="26"/>
      <w:lang w:eastAsia="en-US"/>
    </w:rPr>
  </w:style>
  <w:style w:type="character" w:customStyle="1" w:styleId="Heading3Char">
    <w:name w:val="Heading 3 Char"/>
    <w:basedOn w:val="DefaultParagraphFont"/>
    <w:link w:val="Heading3"/>
    <w:uiPriority w:val="9"/>
    <w:rsid w:val="00EC3073"/>
    <w:rPr>
      <w:rFonts w:asciiTheme="majorHAnsi" w:eastAsiaTheme="majorEastAsia" w:hAnsiTheme="majorHAnsi" w:cstheme="majorBidi"/>
      <w:b/>
      <w:color w:val="0066AB"/>
      <w:sz w:val="30"/>
      <w:szCs w:val="24"/>
      <w:lang w:eastAsia="en-US"/>
    </w:rPr>
  </w:style>
  <w:style w:type="character" w:styleId="Hyperlink">
    <w:name w:val="Hyperlink"/>
    <w:basedOn w:val="DefaultParagraphFont"/>
    <w:uiPriority w:val="99"/>
    <w:unhideWhenUsed/>
    <w:rsid w:val="002F40EB"/>
    <w:rPr>
      <w:color w:val="0066AB"/>
      <w:u w:val="single"/>
    </w:rPr>
  </w:style>
  <w:style w:type="paragraph" w:customStyle="1" w:styleId="Bulletlevel1">
    <w:name w:val="Bullet level 1"/>
    <w:basedOn w:val="Normal"/>
    <w:qFormat/>
    <w:rsid w:val="002117E6"/>
    <w:pPr>
      <w:numPr>
        <w:numId w:val="1"/>
      </w:numPr>
      <w:ind w:left="567" w:hanging="567"/>
      <w:contextualSpacing/>
    </w:pPr>
    <w:rPr>
      <w:rFonts w:eastAsiaTheme="minorHAnsi"/>
      <w:lang w:eastAsia="en-US"/>
    </w:rPr>
  </w:style>
  <w:style w:type="paragraph" w:styleId="Quote">
    <w:name w:val="Quote"/>
    <w:basedOn w:val="Normal"/>
    <w:next w:val="Normal"/>
    <w:link w:val="QuoteChar"/>
    <w:uiPriority w:val="29"/>
    <w:qFormat/>
    <w:rsid w:val="009C73DD"/>
    <w:pPr>
      <w:ind w:left="567"/>
    </w:pPr>
    <w:rPr>
      <w:rFonts w:eastAsiaTheme="minorHAnsi"/>
      <w:i/>
      <w:iCs/>
      <w:color w:val="0066AB"/>
      <w:lang w:eastAsia="en-US"/>
    </w:rPr>
  </w:style>
  <w:style w:type="character" w:customStyle="1" w:styleId="QuoteChar">
    <w:name w:val="Quote Char"/>
    <w:basedOn w:val="DefaultParagraphFont"/>
    <w:link w:val="Quote"/>
    <w:uiPriority w:val="29"/>
    <w:rsid w:val="009C73DD"/>
    <w:rPr>
      <w:rFonts w:eastAsiaTheme="minorHAnsi"/>
      <w:i/>
      <w:iCs/>
      <w:color w:val="0066AB"/>
      <w:lang w:eastAsia="en-US"/>
    </w:rPr>
  </w:style>
  <w:style w:type="paragraph" w:styleId="Header">
    <w:name w:val="header"/>
    <w:basedOn w:val="Normal"/>
    <w:link w:val="HeaderChar"/>
    <w:uiPriority w:val="99"/>
    <w:unhideWhenUsed/>
    <w:rsid w:val="002117E6"/>
    <w:pPr>
      <w:tabs>
        <w:tab w:val="center" w:pos="4513"/>
        <w:tab w:val="right" w:pos="9026"/>
      </w:tabs>
      <w:spacing w:after="0"/>
    </w:pPr>
  </w:style>
  <w:style w:type="character" w:customStyle="1" w:styleId="HeaderChar">
    <w:name w:val="Header Char"/>
    <w:basedOn w:val="DefaultParagraphFont"/>
    <w:link w:val="Header"/>
    <w:uiPriority w:val="99"/>
    <w:rsid w:val="002117E6"/>
  </w:style>
  <w:style w:type="paragraph" w:styleId="Footer">
    <w:name w:val="footer"/>
    <w:basedOn w:val="Normal"/>
    <w:link w:val="FooterChar"/>
    <w:uiPriority w:val="99"/>
    <w:unhideWhenUsed/>
    <w:rsid w:val="002117E6"/>
    <w:pPr>
      <w:tabs>
        <w:tab w:val="center" w:pos="4513"/>
        <w:tab w:val="right" w:pos="9026"/>
      </w:tabs>
      <w:spacing w:after="0"/>
    </w:pPr>
  </w:style>
  <w:style w:type="character" w:customStyle="1" w:styleId="FooterChar">
    <w:name w:val="Footer Char"/>
    <w:basedOn w:val="DefaultParagraphFont"/>
    <w:link w:val="Footer"/>
    <w:uiPriority w:val="99"/>
    <w:rsid w:val="002117E6"/>
  </w:style>
  <w:style w:type="character" w:customStyle="1" w:styleId="Heading4Char">
    <w:name w:val="Heading 4 Char"/>
    <w:basedOn w:val="DefaultParagraphFont"/>
    <w:link w:val="Heading4"/>
    <w:uiPriority w:val="9"/>
    <w:rsid w:val="00EC3073"/>
    <w:rPr>
      <w:rFonts w:asciiTheme="majorHAnsi" w:eastAsiaTheme="majorEastAsia" w:hAnsiTheme="majorHAnsi" w:cstheme="majorBidi"/>
      <w:b/>
      <w:bCs/>
      <w:color w:val="0066AB"/>
      <w:sz w:val="24"/>
      <w:szCs w:val="24"/>
    </w:rPr>
  </w:style>
  <w:style w:type="character" w:customStyle="1" w:styleId="Heading5Char">
    <w:name w:val="Heading 5 Char"/>
    <w:basedOn w:val="DefaultParagraphFont"/>
    <w:link w:val="Heading5"/>
    <w:uiPriority w:val="9"/>
    <w:rsid w:val="00A92D8A"/>
    <w:rPr>
      <w:rFonts w:asciiTheme="majorHAnsi" w:eastAsiaTheme="majorEastAsia" w:hAnsiTheme="majorHAnsi" w:cstheme="majorBidi"/>
      <w:b/>
      <w:color w:val="0066AB"/>
    </w:rPr>
  </w:style>
  <w:style w:type="table" w:styleId="TableGrid">
    <w:name w:val="Table Grid"/>
    <w:basedOn w:val="TableNormal"/>
    <w:uiPriority w:val="39"/>
    <w:rsid w:val="002117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1E411F"/>
    <w:pPr>
      <w:keepNext/>
      <w:spacing w:after="0"/>
    </w:pPr>
    <w:rPr>
      <w:rFonts w:eastAsiaTheme="minorHAnsi"/>
      <w:b/>
      <w:color w:val="113652"/>
      <w:lang w:eastAsia="en-US"/>
    </w:rPr>
  </w:style>
  <w:style w:type="paragraph" w:customStyle="1" w:styleId="Tabletextcentred">
    <w:name w:val="Table text centred"/>
    <w:basedOn w:val="Normal"/>
    <w:next w:val="NoSpacing"/>
    <w:rsid w:val="002117E6"/>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2F40EB"/>
    <w:pPr>
      <w:spacing w:after="0"/>
      <w:jc w:val="center"/>
    </w:pPr>
    <w:rPr>
      <w:rFonts w:eastAsia="Times New Roman" w:cs="Times New Roman"/>
      <w:b/>
      <w:bCs/>
      <w:color w:val="FFFFFF" w:themeColor="background1"/>
      <w:szCs w:val="20"/>
      <w:lang w:eastAsia="en-US"/>
    </w:rPr>
  </w:style>
  <w:style w:type="paragraph" w:customStyle="1" w:styleId="Tabletext">
    <w:name w:val="Table text"/>
    <w:basedOn w:val="Tabletextcentred"/>
    <w:qFormat/>
    <w:rsid w:val="002117E6"/>
    <w:pPr>
      <w:jc w:val="left"/>
    </w:pPr>
  </w:style>
  <w:style w:type="paragraph" w:styleId="NoSpacing">
    <w:name w:val="No Spacing"/>
    <w:uiPriority w:val="1"/>
    <w:qFormat/>
    <w:rsid w:val="002117E6"/>
    <w:pPr>
      <w:spacing w:after="0" w:line="240" w:lineRule="auto"/>
    </w:pPr>
  </w:style>
  <w:style w:type="paragraph" w:customStyle="1" w:styleId="Tablerowcolumnheading">
    <w:name w:val="Table row/column heading"/>
    <w:basedOn w:val="Normal"/>
    <w:next w:val="Normal"/>
    <w:rsid w:val="002F40EB"/>
    <w:pPr>
      <w:spacing w:after="0"/>
    </w:pPr>
    <w:rPr>
      <w:rFonts w:eastAsia="Times New Roman" w:cs="Times New Roman"/>
      <w:b/>
      <w:bCs/>
      <w:color w:val="FFFFFF" w:themeColor="background1"/>
      <w:szCs w:val="20"/>
      <w:lang w:eastAsia="en-US"/>
    </w:rPr>
  </w:style>
  <w:style w:type="paragraph" w:customStyle="1" w:styleId="Checkboxemptybulletpoint">
    <w:name w:val="Check box empty bullet point"/>
    <w:basedOn w:val="Bulletlevel1"/>
    <w:qFormat/>
    <w:rsid w:val="002117E6"/>
    <w:pPr>
      <w:numPr>
        <w:numId w:val="2"/>
      </w:numPr>
      <w:spacing w:after="0"/>
      <w:ind w:left="567" w:hanging="567"/>
    </w:pPr>
  </w:style>
  <w:style w:type="character" w:customStyle="1" w:styleId="Heading6Char">
    <w:name w:val="Heading 6 Char"/>
    <w:basedOn w:val="DefaultParagraphFont"/>
    <w:link w:val="Heading6"/>
    <w:uiPriority w:val="9"/>
    <w:rsid w:val="00EC3073"/>
    <w:rPr>
      <w:rFonts w:asciiTheme="majorHAnsi" w:eastAsiaTheme="majorEastAsia" w:hAnsiTheme="majorHAnsi" w:cstheme="majorBidi"/>
      <w:i/>
      <w:iCs/>
      <w:color w:val="0066AB"/>
    </w:rPr>
  </w:style>
  <w:style w:type="character" w:customStyle="1" w:styleId="Heading7Char">
    <w:name w:val="Heading 7 Char"/>
    <w:basedOn w:val="DefaultParagraphFont"/>
    <w:link w:val="Heading7"/>
    <w:uiPriority w:val="9"/>
    <w:rsid w:val="00EC3073"/>
    <w:rPr>
      <w:rFonts w:asciiTheme="majorHAnsi" w:eastAsiaTheme="majorEastAsia" w:hAnsiTheme="majorHAnsi" w:cstheme="majorBidi"/>
      <w:i/>
      <w:iCs/>
      <w:color w:val="0066AB"/>
    </w:rPr>
  </w:style>
  <w:style w:type="character" w:customStyle="1" w:styleId="Heading8Char">
    <w:name w:val="Heading 8 Char"/>
    <w:basedOn w:val="DefaultParagraphFont"/>
    <w:link w:val="Heading8"/>
    <w:uiPriority w:val="9"/>
    <w:rsid w:val="00734DE1"/>
    <w:rPr>
      <w:rFonts w:asciiTheme="majorHAnsi" w:eastAsiaTheme="majorEastAsia" w:hAnsiTheme="majorHAnsi" w:cstheme="majorBidi"/>
      <w:color w:val="0066AB"/>
      <w:sz w:val="21"/>
      <w:szCs w:val="21"/>
    </w:rPr>
  </w:style>
  <w:style w:type="character" w:customStyle="1" w:styleId="Heading9Char">
    <w:name w:val="Heading 9 Char"/>
    <w:basedOn w:val="DefaultParagraphFont"/>
    <w:link w:val="Heading9"/>
    <w:uiPriority w:val="9"/>
    <w:rsid w:val="00EC3073"/>
    <w:rPr>
      <w:rFonts w:asciiTheme="majorHAnsi" w:eastAsiaTheme="majorEastAsia" w:hAnsiTheme="majorHAnsi" w:cstheme="majorBidi"/>
      <w:i/>
      <w:iCs/>
      <w:color w:val="0066AB"/>
      <w:sz w:val="21"/>
      <w:szCs w:val="21"/>
    </w:rPr>
  </w:style>
  <w:style w:type="character" w:styleId="PlaceholderText">
    <w:name w:val="Placeholder Text"/>
    <w:basedOn w:val="DefaultParagraphFont"/>
    <w:uiPriority w:val="99"/>
    <w:semiHidden/>
    <w:rsid w:val="0064138E"/>
    <w:rPr>
      <w:color w:val="808080"/>
    </w:rPr>
  </w:style>
  <w:style w:type="character" w:styleId="FollowedHyperlink">
    <w:name w:val="FollowedHyperlink"/>
    <w:basedOn w:val="DefaultParagraphFont"/>
    <w:uiPriority w:val="99"/>
    <w:semiHidden/>
    <w:unhideWhenUsed/>
    <w:rsid w:val="009B7EF0"/>
    <w:rPr>
      <w:color w:val="0066AB" w:themeColor="followedHyperlink"/>
      <w:u w:val="single"/>
    </w:rPr>
  </w:style>
  <w:style w:type="character" w:customStyle="1" w:styleId="UnresolvedMention1">
    <w:name w:val="Unresolved Mention1"/>
    <w:basedOn w:val="DefaultParagraphFont"/>
    <w:uiPriority w:val="99"/>
    <w:semiHidden/>
    <w:unhideWhenUsed/>
    <w:rsid w:val="0094124E"/>
    <w:rPr>
      <w:color w:val="808080"/>
      <w:shd w:val="clear" w:color="auto" w:fill="E6E6E6"/>
    </w:rPr>
  </w:style>
  <w:style w:type="paragraph" w:customStyle="1" w:styleId="Heading2-notshowing">
    <w:name w:val="Heading 2 - not showing"/>
    <w:basedOn w:val="Normal"/>
    <w:qFormat/>
    <w:rsid w:val="001E411F"/>
    <w:pPr>
      <w:keepNext/>
      <w:spacing w:after="120"/>
    </w:pPr>
    <w:rPr>
      <w:rFonts w:ascii="Segoe UI Semibold" w:eastAsia="MingLiU" w:hAnsi="Segoe UI Semibold" w:cs="Segoe UI Semibold"/>
      <w:color w:val="626E81"/>
      <w:sz w:val="28"/>
      <w:szCs w:val="26"/>
      <w:lang w:eastAsia="en-US"/>
    </w:rPr>
  </w:style>
  <w:style w:type="paragraph" w:customStyle="1" w:styleId="Heading3-notshowing">
    <w:name w:val="Heading 3 - not showing"/>
    <w:basedOn w:val="Heading3"/>
    <w:qFormat/>
    <w:rsid w:val="00EC3073"/>
    <w:rPr>
      <w:sz w:val="28"/>
    </w:rPr>
  </w:style>
  <w:style w:type="paragraph" w:styleId="TOC1">
    <w:name w:val="toc 1"/>
    <w:basedOn w:val="Normal"/>
    <w:next w:val="Normal"/>
    <w:autoRedefine/>
    <w:uiPriority w:val="39"/>
    <w:unhideWhenUsed/>
    <w:rsid w:val="005C3C3C"/>
    <w:pPr>
      <w:tabs>
        <w:tab w:val="right" w:leader="dot" w:pos="9072"/>
      </w:tabs>
      <w:spacing w:before="120" w:after="0"/>
    </w:pPr>
    <w:rPr>
      <w:b/>
      <w:color w:val="113652"/>
      <w:sz w:val="24"/>
    </w:rPr>
  </w:style>
  <w:style w:type="paragraph" w:styleId="TOC2">
    <w:name w:val="toc 2"/>
    <w:basedOn w:val="Normal"/>
    <w:next w:val="Normal"/>
    <w:autoRedefine/>
    <w:uiPriority w:val="39"/>
    <w:unhideWhenUsed/>
    <w:rsid w:val="00087556"/>
    <w:pPr>
      <w:tabs>
        <w:tab w:val="right" w:leader="dot" w:pos="9072"/>
      </w:tabs>
      <w:spacing w:after="0"/>
      <w:ind w:left="1134" w:right="567" w:hanging="567"/>
    </w:pPr>
  </w:style>
  <w:style w:type="paragraph" w:styleId="TOC3">
    <w:name w:val="toc 3"/>
    <w:basedOn w:val="Normal"/>
    <w:next w:val="Normal"/>
    <w:autoRedefine/>
    <w:uiPriority w:val="39"/>
    <w:unhideWhenUsed/>
    <w:rsid w:val="00705B86"/>
    <w:pPr>
      <w:tabs>
        <w:tab w:val="right" w:leader="dot" w:pos="9072"/>
      </w:tabs>
      <w:spacing w:after="0"/>
      <w:ind w:left="1134"/>
    </w:pPr>
  </w:style>
  <w:style w:type="paragraph" w:styleId="TOC4">
    <w:name w:val="toc 4"/>
    <w:basedOn w:val="Normal"/>
    <w:next w:val="Normal"/>
    <w:autoRedefine/>
    <w:uiPriority w:val="39"/>
    <w:unhideWhenUsed/>
    <w:rsid w:val="00705B86"/>
    <w:pPr>
      <w:tabs>
        <w:tab w:val="right" w:leader="dot" w:pos="9072"/>
      </w:tabs>
      <w:spacing w:after="0"/>
    </w:pPr>
  </w:style>
  <w:style w:type="paragraph" w:customStyle="1" w:styleId="Sourcenote">
    <w:name w:val="Source / note"/>
    <w:basedOn w:val="Normal"/>
    <w:next w:val="Normal"/>
    <w:qFormat/>
    <w:rsid w:val="00C16794"/>
    <w:rPr>
      <w:sz w:val="20"/>
      <w:szCs w:val="20"/>
    </w:rPr>
  </w:style>
  <w:style w:type="paragraph" w:styleId="ListParagraph">
    <w:name w:val="List Paragraph"/>
    <w:aliases w:val="List Paragraph—numbers,List Paragraph1,Recommendation,bullet point list,FooterText,Bullet List,numbered,Paragraphe de liste1,Bulletr List Paragraph,列出段落,列出段落1,List Paragraph2,List Paragraph21,Listeafsnit1,Parágrafo da Lista1,リスト段落1,L"/>
    <w:basedOn w:val="Normal"/>
    <w:link w:val="ListParagraphChar"/>
    <w:uiPriority w:val="34"/>
    <w:qFormat/>
    <w:rsid w:val="00F52169"/>
    <w:pPr>
      <w:numPr>
        <w:numId w:val="3"/>
      </w:numPr>
      <w:contextualSpacing/>
    </w:pPr>
  </w:style>
  <w:style w:type="character" w:styleId="CommentReference">
    <w:name w:val="annotation reference"/>
    <w:basedOn w:val="DefaultParagraphFont"/>
    <w:uiPriority w:val="99"/>
    <w:semiHidden/>
    <w:unhideWhenUsed/>
    <w:rsid w:val="002B20D5"/>
    <w:rPr>
      <w:sz w:val="16"/>
      <w:szCs w:val="16"/>
    </w:rPr>
  </w:style>
  <w:style w:type="paragraph" w:styleId="CommentText">
    <w:name w:val="annotation text"/>
    <w:basedOn w:val="Normal"/>
    <w:link w:val="CommentTextChar"/>
    <w:uiPriority w:val="99"/>
    <w:semiHidden/>
    <w:unhideWhenUsed/>
    <w:rsid w:val="002B20D5"/>
    <w:rPr>
      <w:sz w:val="20"/>
      <w:szCs w:val="20"/>
    </w:rPr>
  </w:style>
  <w:style w:type="character" w:customStyle="1" w:styleId="CommentTextChar">
    <w:name w:val="Comment Text Char"/>
    <w:basedOn w:val="DefaultParagraphFont"/>
    <w:link w:val="CommentText"/>
    <w:uiPriority w:val="99"/>
    <w:semiHidden/>
    <w:rsid w:val="002B20D5"/>
    <w:rPr>
      <w:sz w:val="20"/>
      <w:szCs w:val="20"/>
    </w:rPr>
  </w:style>
  <w:style w:type="paragraph" w:styleId="CommentSubject">
    <w:name w:val="annotation subject"/>
    <w:basedOn w:val="CommentText"/>
    <w:next w:val="CommentText"/>
    <w:link w:val="CommentSubjectChar"/>
    <w:uiPriority w:val="99"/>
    <w:semiHidden/>
    <w:unhideWhenUsed/>
    <w:rsid w:val="002B20D5"/>
    <w:rPr>
      <w:b/>
      <w:bCs/>
    </w:rPr>
  </w:style>
  <w:style w:type="character" w:customStyle="1" w:styleId="CommentSubjectChar">
    <w:name w:val="Comment Subject Char"/>
    <w:basedOn w:val="CommentTextChar"/>
    <w:link w:val="CommentSubject"/>
    <w:uiPriority w:val="99"/>
    <w:semiHidden/>
    <w:rsid w:val="002B20D5"/>
    <w:rPr>
      <w:b/>
      <w:bCs/>
      <w:sz w:val="20"/>
      <w:szCs w:val="20"/>
    </w:rPr>
  </w:style>
  <w:style w:type="paragraph" w:styleId="BalloonText">
    <w:name w:val="Balloon Text"/>
    <w:basedOn w:val="Normal"/>
    <w:link w:val="BalloonTextChar"/>
    <w:uiPriority w:val="99"/>
    <w:semiHidden/>
    <w:unhideWhenUsed/>
    <w:rsid w:val="002B20D5"/>
    <w:pPr>
      <w:spacing w:after="0"/>
    </w:pPr>
    <w:rPr>
      <w:rFonts w:cs="Segoe UI"/>
      <w:sz w:val="18"/>
      <w:szCs w:val="18"/>
    </w:rPr>
  </w:style>
  <w:style w:type="character" w:customStyle="1" w:styleId="BalloonTextChar">
    <w:name w:val="Balloon Text Char"/>
    <w:basedOn w:val="DefaultParagraphFont"/>
    <w:link w:val="BalloonText"/>
    <w:uiPriority w:val="99"/>
    <w:semiHidden/>
    <w:rsid w:val="002B20D5"/>
    <w:rPr>
      <w:rFonts w:ascii="Segoe UI" w:hAnsi="Segoe UI" w:cs="Segoe UI"/>
      <w:sz w:val="18"/>
      <w:szCs w:val="18"/>
    </w:rPr>
  </w:style>
  <w:style w:type="paragraph" w:styleId="EndnoteText">
    <w:name w:val="endnote text"/>
    <w:basedOn w:val="Normal"/>
    <w:link w:val="EndnoteTextChar"/>
    <w:uiPriority w:val="99"/>
    <w:semiHidden/>
    <w:unhideWhenUsed/>
    <w:rsid w:val="00050D6D"/>
    <w:pPr>
      <w:spacing w:after="0"/>
    </w:pPr>
    <w:rPr>
      <w:sz w:val="20"/>
      <w:szCs w:val="20"/>
    </w:rPr>
  </w:style>
  <w:style w:type="character" w:customStyle="1" w:styleId="EndnoteTextChar">
    <w:name w:val="Endnote Text Char"/>
    <w:basedOn w:val="DefaultParagraphFont"/>
    <w:link w:val="EndnoteText"/>
    <w:uiPriority w:val="99"/>
    <w:semiHidden/>
    <w:rsid w:val="00050D6D"/>
    <w:rPr>
      <w:sz w:val="20"/>
      <w:szCs w:val="20"/>
    </w:rPr>
  </w:style>
  <w:style w:type="character" w:styleId="EndnoteReference">
    <w:name w:val="endnote reference"/>
    <w:basedOn w:val="DefaultParagraphFont"/>
    <w:uiPriority w:val="99"/>
    <w:semiHidden/>
    <w:unhideWhenUsed/>
    <w:rsid w:val="00050D6D"/>
    <w:rPr>
      <w:vertAlign w:val="superscript"/>
    </w:rPr>
  </w:style>
  <w:style w:type="paragraph" w:styleId="FootnoteText">
    <w:name w:val="footnote text"/>
    <w:basedOn w:val="Normal"/>
    <w:link w:val="FootnoteTextChar"/>
    <w:uiPriority w:val="99"/>
    <w:semiHidden/>
    <w:unhideWhenUsed/>
    <w:rsid w:val="002F40EB"/>
    <w:pPr>
      <w:spacing w:after="0"/>
    </w:pPr>
    <w:rPr>
      <w:sz w:val="20"/>
      <w:szCs w:val="20"/>
    </w:rPr>
  </w:style>
  <w:style w:type="character" w:customStyle="1" w:styleId="FootnoteTextChar">
    <w:name w:val="Footnote Text Char"/>
    <w:basedOn w:val="DefaultParagraphFont"/>
    <w:link w:val="FootnoteText"/>
    <w:uiPriority w:val="99"/>
    <w:semiHidden/>
    <w:rsid w:val="002F40EB"/>
    <w:rPr>
      <w:sz w:val="20"/>
      <w:szCs w:val="20"/>
    </w:rPr>
  </w:style>
  <w:style w:type="character" w:styleId="FootnoteReference">
    <w:name w:val="footnote reference"/>
    <w:basedOn w:val="DefaultParagraphFont"/>
    <w:uiPriority w:val="99"/>
    <w:semiHidden/>
    <w:unhideWhenUsed/>
    <w:rsid w:val="002F40EB"/>
    <w:rPr>
      <w:vertAlign w:val="superscript"/>
    </w:rPr>
  </w:style>
  <w:style w:type="character" w:customStyle="1" w:styleId="superscriptfootnotereference">
    <w:name w:val="superscript footnote reference"/>
    <w:basedOn w:val="FootnoteReference"/>
    <w:uiPriority w:val="1"/>
    <w:qFormat/>
    <w:rsid w:val="002F40EB"/>
    <w:rPr>
      <w:vertAlign w:val="superscript"/>
    </w:rPr>
  </w:style>
  <w:style w:type="table" w:customStyle="1" w:styleId="TableGrid1">
    <w:name w:val="Table Grid1"/>
    <w:basedOn w:val="TableNormal"/>
    <w:next w:val="TableGrid"/>
    <w:uiPriority w:val="39"/>
    <w:rsid w:val="00B01C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showing">
    <w:name w:val="Heading 2—not showing"/>
    <w:basedOn w:val="Heading2"/>
    <w:rsid w:val="00B01CCC"/>
    <w:pPr>
      <w:spacing w:after="120"/>
    </w:pPr>
    <w:rPr>
      <w:rFonts w:ascii="Calibri Light" w:eastAsia="MingLiU" w:hAnsi="Calibri Light" w:cs="Mangal"/>
      <w:color w:val="auto"/>
      <w:sz w:val="32"/>
    </w:rPr>
  </w:style>
  <w:style w:type="paragraph" w:customStyle="1" w:styleId="Listparagraphbullets">
    <w:name w:val="List paragraph—bullets"/>
    <w:basedOn w:val="ListParagraph"/>
    <w:qFormat/>
    <w:rsid w:val="001E411F"/>
    <w:pPr>
      <w:numPr>
        <w:numId w:val="4"/>
      </w:numPr>
      <w:spacing w:after="160"/>
      <w:ind w:left="567" w:hanging="567"/>
    </w:pPr>
    <w:rPr>
      <w:rFonts w:eastAsiaTheme="minorHAnsi"/>
    </w:rPr>
  </w:style>
  <w:style w:type="paragraph" w:customStyle="1" w:styleId="Listparagraphbulletssecondlevel">
    <w:name w:val="List paragraph—bullets—second level"/>
    <w:basedOn w:val="Listparagraphbullets"/>
    <w:qFormat/>
    <w:rsid w:val="001E411F"/>
    <w:pPr>
      <w:numPr>
        <w:numId w:val="7"/>
      </w:numPr>
      <w:ind w:left="1134" w:hanging="567"/>
    </w:pPr>
  </w:style>
  <w:style w:type="character" w:customStyle="1" w:styleId="ListParagraphChar">
    <w:name w:val="List Paragraph Char"/>
    <w:aliases w:val="List Paragraph—numbers Char,List Paragraph1 Char,Recommendation Char,bullet point list Char,FooterText Char,Bullet List Char,numbered Char,Paragraphe de liste1 Char,Bulletr List Paragraph Char,列出段落 Char,列出段落1 Char,Listeafsnit1 Char"/>
    <w:basedOn w:val="DefaultParagraphFont"/>
    <w:link w:val="ListParagraph"/>
    <w:uiPriority w:val="34"/>
    <w:rsid w:val="00F52169"/>
  </w:style>
  <w:style w:type="paragraph" w:styleId="ListNumber">
    <w:name w:val="List Number"/>
    <w:basedOn w:val="Normal"/>
    <w:uiPriority w:val="2"/>
    <w:unhideWhenUsed/>
    <w:qFormat/>
    <w:rsid w:val="00BF2359"/>
    <w:pPr>
      <w:numPr>
        <w:numId w:val="21"/>
      </w:numPr>
      <w:spacing w:before="240" w:after="0"/>
    </w:pPr>
    <w:rPr>
      <w:rFonts w:ascii="Times New Roman" w:eastAsia="Calibri" w:hAnsi="Times New Roman" w:cs="Times New Roman"/>
      <w:color w:val="000000"/>
      <w:sz w:val="24"/>
      <w:szCs w:val="24"/>
      <w:lang w:eastAsia="en-AU"/>
    </w:rPr>
  </w:style>
  <w:style w:type="paragraph" w:styleId="Caption">
    <w:name w:val="caption"/>
    <w:basedOn w:val="Normal"/>
    <w:next w:val="Normal"/>
    <w:uiPriority w:val="35"/>
    <w:unhideWhenUsed/>
    <w:qFormat/>
    <w:rsid w:val="00BB1FF9"/>
    <w:rPr>
      <w:i/>
      <w:iCs/>
      <w:color w:val="0066AB" w:themeColor="text2"/>
      <w:sz w:val="18"/>
      <w:szCs w:val="18"/>
    </w:rPr>
  </w:style>
  <w:style w:type="paragraph" w:customStyle="1" w:styleId="Normaldisclaimerpage">
    <w:name w:val="Normal—disclaimer page"/>
    <w:basedOn w:val="Normal"/>
    <w:qFormat/>
    <w:rsid w:val="001E411F"/>
    <w:pPr>
      <w:spacing w:after="120"/>
    </w:pPr>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2473">
      <w:bodyDiv w:val="1"/>
      <w:marLeft w:val="0"/>
      <w:marRight w:val="0"/>
      <w:marTop w:val="0"/>
      <w:marBottom w:val="0"/>
      <w:divBdr>
        <w:top w:val="none" w:sz="0" w:space="0" w:color="auto"/>
        <w:left w:val="none" w:sz="0" w:space="0" w:color="auto"/>
        <w:bottom w:val="none" w:sz="0" w:space="0" w:color="auto"/>
        <w:right w:val="none" w:sz="0" w:space="0" w:color="auto"/>
      </w:divBdr>
    </w:div>
    <w:div w:id="469707534">
      <w:bodyDiv w:val="1"/>
      <w:marLeft w:val="0"/>
      <w:marRight w:val="0"/>
      <w:marTop w:val="0"/>
      <w:marBottom w:val="0"/>
      <w:divBdr>
        <w:top w:val="none" w:sz="0" w:space="0" w:color="auto"/>
        <w:left w:val="none" w:sz="0" w:space="0" w:color="auto"/>
        <w:bottom w:val="none" w:sz="0" w:space="0" w:color="auto"/>
        <w:right w:val="none" w:sz="0" w:space="0" w:color="auto"/>
      </w:divBdr>
    </w:div>
    <w:div w:id="950429347">
      <w:bodyDiv w:val="1"/>
      <w:marLeft w:val="0"/>
      <w:marRight w:val="0"/>
      <w:marTop w:val="0"/>
      <w:marBottom w:val="0"/>
      <w:divBdr>
        <w:top w:val="none" w:sz="0" w:space="0" w:color="auto"/>
        <w:left w:val="none" w:sz="0" w:space="0" w:color="auto"/>
        <w:bottom w:val="none" w:sz="0" w:space="0" w:color="auto"/>
        <w:right w:val="none" w:sz="0" w:space="0" w:color="auto"/>
      </w:divBdr>
    </w:div>
    <w:div w:id="1373306913">
      <w:bodyDiv w:val="1"/>
      <w:marLeft w:val="0"/>
      <w:marRight w:val="0"/>
      <w:marTop w:val="0"/>
      <w:marBottom w:val="0"/>
      <w:divBdr>
        <w:top w:val="none" w:sz="0" w:space="0" w:color="auto"/>
        <w:left w:val="none" w:sz="0" w:space="0" w:color="auto"/>
        <w:bottom w:val="none" w:sz="0" w:space="0" w:color="auto"/>
        <w:right w:val="none" w:sz="0" w:space="0" w:color="auto"/>
      </w:divBdr>
    </w:div>
    <w:div w:id="1596205574">
      <w:bodyDiv w:val="1"/>
      <w:marLeft w:val="0"/>
      <w:marRight w:val="0"/>
      <w:marTop w:val="0"/>
      <w:marBottom w:val="0"/>
      <w:divBdr>
        <w:top w:val="none" w:sz="0" w:space="0" w:color="auto"/>
        <w:left w:val="none" w:sz="0" w:space="0" w:color="auto"/>
        <w:bottom w:val="none" w:sz="0" w:space="0" w:color="auto"/>
        <w:right w:val="none" w:sz="0" w:space="0" w:color="auto"/>
      </w:divBdr>
    </w:div>
    <w:div w:id="17570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reativecommons.org/licenses/by/4.0/"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nfrastructure.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publishing@communications.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arts.gov.au" TargetMode="External"/><Relationship Id="rId28" Type="http://schemas.openxmlformats.org/officeDocument/2006/relationships/hyperlink" Target="https://www.communications.gov.au/publications/cultural-and-creative-activity-australia-2008-09-2016-17" TargetMode="External"/><Relationship Id="rId10" Type="http://schemas.openxmlformats.org/officeDocument/2006/relationships/endnotes" Target="endnotes.xml"/><Relationship Id="rId19" Type="http://schemas.openxmlformats.org/officeDocument/2006/relationships/hyperlink" Target="http://www.pmc.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communications.gov.au" TargetMode="External"/><Relationship Id="rId27" Type="http://schemas.openxmlformats.org/officeDocument/2006/relationships/footer" Target="footer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BCAR">
      <a:dk1>
        <a:srgbClr val="231F20"/>
      </a:dk1>
      <a:lt1>
        <a:srgbClr val="FFFFFF"/>
      </a:lt1>
      <a:dk2>
        <a:srgbClr val="0066AB"/>
      </a:dk2>
      <a:lt2>
        <a:srgbClr val="E4E4E4"/>
      </a:lt2>
      <a:accent1>
        <a:srgbClr val="00B8B7"/>
      </a:accent1>
      <a:accent2>
        <a:srgbClr val="BAD764"/>
      </a:accent2>
      <a:accent3>
        <a:srgbClr val="FFCB05"/>
      </a:accent3>
      <a:accent4>
        <a:srgbClr val="2E3192"/>
      </a:accent4>
      <a:accent5>
        <a:srgbClr val="C49A6C"/>
      </a:accent5>
      <a:accent6>
        <a:srgbClr val="76848F"/>
      </a:accent6>
      <a:hlink>
        <a:srgbClr val="0066AB"/>
      </a:hlink>
      <a:folHlink>
        <a:srgbClr val="0066AB"/>
      </a:folHlink>
    </a:clrScheme>
    <a:fontScheme name="BCAR">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F0AD8882F24144BE6798EF2B31EE8F" ma:contentTypeVersion="0" ma:contentTypeDescription="Create a new document." ma:contentTypeScope="" ma:versionID="54d94fd4d9cac5a043b085296b3b0ee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49252-79DE-4C64-9C46-4F1369E8F68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C96AC3E5-88DC-44B5-90DC-A42943DCD1FF}">
  <ds:schemaRefs>
    <ds:schemaRef ds:uri="http://schemas.microsoft.com/sharepoint/v3/contenttype/forms"/>
  </ds:schemaRefs>
</ds:datastoreItem>
</file>

<file path=customXml/itemProps3.xml><?xml version="1.0" encoding="utf-8"?>
<ds:datastoreItem xmlns:ds="http://schemas.openxmlformats.org/officeDocument/2006/customXml" ds:itemID="{8992EB17-2996-49DF-A1C5-D7822218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416C2B-7B89-4BB6-91E2-59F13085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3877</Words>
  <Characters>22102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Cultural and creative activity in Australia, 2008–09 to 2017–18—explanatory notes</vt:lpstr>
    </vt:vector>
  </TitlesOfParts>
  <Company>Department of Infrastructure, Transport, Regional Development and Communications</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and creative activity in Australia, 2008–09 to 2017–18—explanatory notes</dc:title>
  <dc:subject/>
  <dc:creator>Department of Infrastructure, Transport, Regional Development and Communications</dc:creator>
  <cp:keywords/>
  <dc:description>9 April 2019</dc:description>
  <cp:lastModifiedBy>Hall, Theresa</cp:lastModifiedBy>
  <cp:revision>5</cp:revision>
  <cp:lastPrinted>2019-11-11T00:49:00Z</cp:lastPrinted>
  <dcterms:created xsi:type="dcterms:W3CDTF">2020-07-07T01:48:00Z</dcterms:created>
  <dcterms:modified xsi:type="dcterms:W3CDTF">2020-10-19T23:21:00Z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0x01010025F0AD8882F24144BE6798EF2B31EE8F</vt:lpwstr>
  </property>
  <property fmtid="{D5CDD505-2E9C-101B-9397-08002B2CF9AE}" pid="3" name="TrimRevisionNumber">
    <vt:i4>26</vt:i4>
  </property>
</Properties>
</file>