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93C" w:rsidRDefault="0041093C" w:rsidP="002F1EC5">
      <w:pPr>
        <w:tabs>
          <w:tab w:val="right" w:pos="9026"/>
        </w:tabs>
        <w:ind w:left="-142"/>
      </w:pPr>
      <w:r>
        <w:rPr>
          <w:noProof/>
          <w:lang w:eastAsia="en-AU"/>
        </w:rPr>
        <w:drawing>
          <wp:inline distT="0" distB="0" distL="0" distR="0" wp14:anchorId="77C397DF" wp14:editId="3AAEF452">
            <wp:extent cx="6106206" cy="1197428"/>
            <wp:effectExtent l="0" t="0" r="0" b="3175"/>
            <wp:docPr id="8" name="Picture 8" descr="Logo: Australian Government, Department of Communications and the Arts.&#10;&#10;Logo: Bureau of Communications Research.&#10;&#10;www.communications.gov.au/BCAR&#10;#CommsAuB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car-and-department-logos--stack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8560" cy="1201812"/>
                    </a:xfrm>
                    <a:prstGeom prst="rect">
                      <a:avLst/>
                    </a:prstGeom>
                  </pic:spPr>
                </pic:pic>
              </a:graphicData>
            </a:graphic>
          </wp:inline>
        </w:drawing>
      </w:r>
    </w:p>
    <w:p w:rsidR="00DA7A04" w:rsidRDefault="00DA7A04" w:rsidP="002F1EC5">
      <w:pPr>
        <w:tabs>
          <w:tab w:val="right" w:pos="9026"/>
        </w:tabs>
        <w:ind w:left="-142"/>
        <w:sectPr w:rsidR="00DA7A04" w:rsidSect="0041093C">
          <w:headerReference w:type="even" r:id="rId12"/>
          <w:headerReference w:type="default" r:id="rId13"/>
          <w:footerReference w:type="default" r:id="rId14"/>
          <w:headerReference w:type="first" r:id="rId15"/>
          <w:footerReference w:type="first" r:id="rId16"/>
          <w:footnotePr>
            <w:numFmt w:val="lowerRoman"/>
          </w:footnotePr>
          <w:endnotePr>
            <w:numFmt w:val="decimal"/>
          </w:endnotePr>
          <w:type w:val="continuous"/>
          <w:pgSz w:w="11906" w:h="16838"/>
          <w:pgMar w:top="426" w:right="1440" w:bottom="1440" w:left="1440" w:header="0" w:footer="0" w:gutter="0"/>
          <w:cols w:space="708"/>
          <w:docGrid w:linePitch="360"/>
        </w:sectPr>
      </w:pPr>
    </w:p>
    <w:p w:rsidR="002117E6" w:rsidRDefault="00932371" w:rsidP="000D0611">
      <w:pPr>
        <w:pStyle w:val="Heading1"/>
      </w:pPr>
      <w:bookmarkStart w:id="0" w:name="_GoBack"/>
      <w:r>
        <w:t>Creative skills for the future economy</w:t>
      </w:r>
    </w:p>
    <w:bookmarkEnd w:id="0"/>
    <w:p w:rsidR="00400E77" w:rsidRDefault="00A1229E" w:rsidP="00EB40A5">
      <w:pPr>
        <w:rPr>
          <w:lang w:eastAsia="en-US"/>
        </w:rPr>
      </w:pPr>
      <w:r>
        <w:t>January 2019</w:t>
      </w:r>
    </w:p>
    <w:p w:rsidR="005866D9" w:rsidRDefault="00315ED7" w:rsidP="00B840AC">
      <w:pPr>
        <w:spacing w:after="480"/>
        <w:rPr>
          <w:b/>
          <w:color w:val="0066AB"/>
          <w:sz w:val="28"/>
          <w:szCs w:val="28"/>
          <w:lang w:eastAsia="en-US"/>
        </w:rPr>
      </w:pPr>
      <w:r w:rsidRPr="00734DE1">
        <w:rPr>
          <w:b/>
          <w:color w:val="0066AB"/>
          <w:sz w:val="28"/>
          <w:szCs w:val="28"/>
          <w:lang w:eastAsia="en-US"/>
        </w:rPr>
        <w:t>Working paper</w:t>
      </w:r>
    </w:p>
    <w:p w:rsidR="00400E77" w:rsidRDefault="00400E77" w:rsidP="000721C8">
      <w:pPr>
        <w:spacing w:after="0"/>
        <w:jc w:val="center"/>
        <w:rPr>
          <w:lang w:eastAsia="en-US"/>
        </w:rPr>
      </w:pPr>
      <w:r>
        <w:rPr>
          <w:lang w:eastAsia="en-US"/>
        </w:rPr>
        <w:br w:type="page"/>
      </w:r>
    </w:p>
    <w:p w:rsidR="00625397" w:rsidRPr="00BE07A7" w:rsidRDefault="00625397" w:rsidP="00EC3073">
      <w:pPr>
        <w:pStyle w:val="Heading2-notshowing"/>
      </w:pPr>
      <w:r w:rsidRPr="00BE07A7">
        <w:lastRenderedPageBreak/>
        <w:t>Disclaimer</w:t>
      </w:r>
    </w:p>
    <w:p w:rsidR="00625397" w:rsidRPr="00E76BD1" w:rsidRDefault="00625397" w:rsidP="00625397">
      <w:pPr>
        <w:spacing w:after="120"/>
      </w:pPr>
      <w:r w:rsidRPr="00E76BD1">
        <w:t xml:space="preserve">The material in </w:t>
      </w:r>
      <w:r w:rsidR="009468A3" w:rsidRPr="00E76BD1">
        <w:t xml:space="preserve">this </w:t>
      </w:r>
      <w:r w:rsidRPr="00E76BD1">
        <w:t xml:space="preserve">report is of a general nature and should not be regarded as legal advice or relied on for assistance in any particular circumstance or emergency situation. In any important matter, you should seek appropriate independent professional advice in relation to your own circumstances. The Commonwealth accepts no responsibility or liability for any damage, loss or expense incurred as a result of the reliance on information contained in </w:t>
      </w:r>
      <w:r w:rsidR="009468A3" w:rsidRPr="00E76BD1">
        <w:t>this report</w:t>
      </w:r>
      <w:r w:rsidRPr="00E76BD1">
        <w:t>.</w:t>
      </w:r>
    </w:p>
    <w:p w:rsidR="00625397" w:rsidRPr="00BE07A7" w:rsidRDefault="009468A3" w:rsidP="00625397">
      <w:pPr>
        <w:spacing w:after="120"/>
      </w:pPr>
      <w:r w:rsidRPr="00E76BD1">
        <w:t>This report</w:t>
      </w:r>
      <w:r w:rsidR="00625397" w:rsidRPr="00E76BD1">
        <w:t xml:space="preserve"> been prepared for consultation purposes only and does not indicate the Commonwealth’s commitment to a particular course of action. Additionally, any third party views or recommendations included in </w:t>
      </w:r>
      <w:r w:rsidRPr="00E76BD1">
        <w:t>this report</w:t>
      </w:r>
      <w:r w:rsidR="00625397" w:rsidRPr="00E76BD1">
        <w:t xml:space="preserve"> do not reflect the views of the Commonwealth, or indicate its commitment to a particular course of action.</w:t>
      </w:r>
    </w:p>
    <w:p w:rsidR="00625397" w:rsidRPr="00BE07A7" w:rsidRDefault="00625397" w:rsidP="00625397">
      <w:pPr>
        <w:pStyle w:val="Heading2-notshowing"/>
      </w:pPr>
      <w:r w:rsidRPr="00BE07A7">
        <w:t>Copyright</w:t>
      </w:r>
    </w:p>
    <w:p w:rsidR="00625397" w:rsidRPr="00BE07A7" w:rsidRDefault="00625397" w:rsidP="00625397">
      <w:pPr>
        <w:spacing w:after="120"/>
      </w:pPr>
      <w:r w:rsidRPr="00BE07A7">
        <w:t xml:space="preserve">© Commonwealth of Australia </w:t>
      </w:r>
      <w:r w:rsidR="001F285E">
        <w:t>2018</w:t>
      </w:r>
    </w:p>
    <w:p w:rsidR="00625397" w:rsidRPr="00BE07A7" w:rsidRDefault="00625397" w:rsidP="00625397">
      <w:pPr>
        <w:spacing w:after="120"/>
      </w:pPr>
      <w:r w:rsidRPr="00BE07A7">
        <w:rPr>
          <w:noProof/>
          <w:lang w:eastAsia="en-AU"/>
        </w:rPr>
        <w:drawing>
          <wp:inline distT="0" distB="0" distL="0" distR="0" wp14:anchorId="73DE2062" wp14:editId="2B8D4E3B">
            <wp:extent cx="836930" cy="293370"/>
            <wp:effectExtent l="0" t="0" r="1270" b="0"/>
            <wp:docPr id="3" name="Picture 3" descr="Logo:  Creative Commons."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4DB8.C9F87BE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836930" cy="293370"/>
                    </a:xfrm>
                    <a:prstGeom prst="rect">
                      <a:avLst/>
                    </a:prstGeom>
                    <a:noFill/>
                    <a:ln>
                      <a:noFill/>
                    </a:ln>
                  </pic:spPr>
                </pic:pic>
              </a:graphicData>
            </a:graphic>
          </wp:inline>
        </w:drawing>
      </w:r>
      <w:r w:rsidRPr="00BE07A7">
        <w:t xml:space="preserve">  The material in </w:t>
      </w:r>
      <w:r w:rsidR="009468A3">
        <w:t xml:space="preserve">this report </w:t>
      </w:r>
      <w:r w:rsidRPr="00BE07A7">
        <w:t>is licensed under a Creative Commons Attribution—4.0 International license, with the exception of:</w:t>
      </w:r>
    </w:p>
    <w:p w:rsidR="00625397" w:rsidRPr="00BE07A7" w:rsidRDefault="00625397" w:rsidP="00625397">
      <w:pPr>
        <w:pStyle w:val="Bulletlevel1"/>
      </w:pPr>
      <w:r w:rsidRPr="00BE07A7">
        <w:t>the Commonwealth Coat of Arms</w:t>
      </w:r>
    </w:p>
    <w:p w:rsidR="00625397" w:rsidRPr="00BE07A7" w:rsidRDefault="00625397" w:rsidP="00625397">
      <w:pPr>
        <w:pStyle w:val="Bulletlevel1"/>
      </w:pPr>
      <w:r w:rsidRPr="00BE07A7">
        <w:t>this Department’s logo</w:t>
      </w:r>
    </w:p>
    <w:p w:rsidR="00625397" w:rsidRPr="00BE07A7" w:rsidRDefault="00625397" w:rsidP="00625397">
      <w:pPr>
        <w:pStyle w:val="Bulletlevel1"/>
      </w:pPr>
      <w:r w:rsidRPr="00BE07A7">
        <w:t>any third party material</w:t>
      </w:r>
    </w:p>
    <w:p w:rsidR="00625397" w:rsidRPr="00BE07A7" w:rsidRDefault="00625397" w:rsidP="00625397">
      <w:pPr>
        <w:pStyle w:val="Bulletlevel1"/>
      </w:pPr>
      <w:r w:rsidRPr="00BE07A7">
        <w:t>any material protected by a trademark, and</w:t>
      </w:r>
    </w:p>
    <w:p w:rsidR="00625397" w:rsidRPr="00BE07A7" w:rsidRDefault="00625397" w:rsidP="00625397">
      <w:pPr>
        <w:pStyle w:val="Bulletlevel1"/>
      </w:pPr>
      <w:r w:rsidRPr="00BE07A7">
        <w:t>any images and/or photographs.</w:t>
      </w:r>
    </w:p>
    <w:p w:rsidR="00625397" w:rsidRPr="00BE07A7" w:rsidRDefault="00625397" w:rsidP="00625397">
      <w:pPr>
        <w:spacing w:after="120"/>
      </w:pPr>
      <w:r w:rsidRPr="00BE07A7">
        <w:t>More information on this CC BY license is set out as follows:</w:t>
      </w:r>
    </w:p>
    <w:p w:rsidR="00625397" w:rsidRPr="00BE07A7" w:rsidRDefault="00625397" w:rsidP="00625397">
      <w:pPr>
        <w:pStyle w:val="Bulletlevel1"/>
      </w:pPr>
      <w:r w:rsidRPr="00BE07A7">
        <w:t>Creative Commons website—</w:t>
      </w:r>
      <w:hyperlink r:id="rId19" w:history="1">
        <w:r w:rsidRPr="00BE07A7">
          <w:rPr>
            <w:rStyle w:val="Hyperlink"/>
          </w:rPr>
          <w:t>www.creativecommons.org</w:t>
        </w:r>
      </w:hyperlink>
    </w:p>
    <w:p w:rsidR="00625397" w:rsidRPr="00B55D92" w:rsidRDefault="00625397" w:rsidP="00EC3073">
      <w:pPr>
        <w:pStyle w:val="Bulletlevel1"/>
      </w:pPr>
      <w:r w:rsidRPr="00B55D92">
        <w:t>Attribution 4.0 international (CC by 4.0)—</w:t>
      </w:r>
      <w:hyperlink r:id="rId20" w:history="1">
        <w:r w:rsidR="00761500" w:rsidRPr="00EC3073">
          <w:rPr>
            <w:rStyle w:val="Hyperlink"/>
          </w:rPr>
          <w:t>www.creativecommons.org/licenses/by/4.0</w:t>
        </w:r>
      </w:hyperlink>
      <w:r w:rsidRPr="00B55D92">
        <w:t>.</w:t>
      </w:r>
    </w:p>
    <w:p w:rsidR="00625397" w:rsidRPr="00BE07A7" w:rsidRDefault="00625397" w:rsidP="00625397">
      <w:pPr>
        <w:spacing w:after="120"/>
      </w:pPr>
      <w:r w:rsidRPr="00BE07A7">
        <w:t xml:space="preserve">Enquiries about this license and any use of this discussion paper can be sent to: </w:t>
      </w:r>
      <w:hyperlink r:id="rId21" w:history="1">
        <w:r w:rsidRPr="00BE07A7">
          <w:rPr>
            <w:rStyle w:val="Hyperlink"/>
          </w:rPr>
          <w:t>copyright@communica</w:t>
        </w:r>
        <w:r w:rsidRPr="00B840AC">
          <w:rPr>
            <w:rStyle w:val="Hyperlink"/>
          </w:rPr>
          <w:t>tions.gov.au</w:t>
        </w:r>
      </w:hyperlink>
      <w:r w:rsidRPr="00BE07A7">
        <w:t>.</w:t>
      </w:r>
    </w:p>
    <w:p w:rsidR="00625397" w:rsidRPr="00BE07A7" w:rsidRDefault="00625397" w:rsidP="00625397">
      <w:pPr>
        <w:pStyle w:val="Heading3-notshowing"/>
      </w:pPr>
      <w:bookmarkStart w:id="1" w:name="_Toc490666776"/>
      <w:bookmarkStart w:id="2" w:name="_Toc490744403"/>
      <w:r w:rsidRPr="00BE07A7">
        <w:t>Third party copyright</w:t>
      </w:r>
    </w:p>
    <w:p w:rsidR="00625397" w:rsidRPr="00BE07A7" w:rsidRDefault="00625397" w:rsidP="00625397">
      <w:pPr>
        <w:spacing w:after="120"/>
      </w:pPr>
      <w:r w:rsidRPr="00BE07A7">
        <w:t>The Department has made all reasonable efforts to clearly identify material where the copyright is owned by a third party. Permission may need to be obtained from third parties to re-use their material.</w:t>
      </w:r>
    </w:p>
    <w:p w:rsidR="00625397" w:rsidRPr="00BE07A7" w:rsidRDefault="00625397" w:rsidP="00625397">
      <w:pPr>
        <w:pStyle w:val="Heading3-notshowing"/>
      </w:pPr>
      <w:r w:rsidRPr="00BE07A7">
        <w:t>Attribution</w:t>
      </w:r>
      <w:bookmarkEnd w:id="1"/>
      <w:bookmarkEnd w:id="2"/>
    </w:p>
    <w:p w:rsidR="00625397" w:rsidRPr="00BE07A7" w:rsidRDefault="00625397" w:rsidP="00625397">
      <w:pPr>
        <w:spacing w:after="120"/>
      </w:pPr>
      <w:bookmarkStart w:id="3" w:name="_Toc356292522"/>
      <w:r w:rsidRPr="00BE07A7">
        <w:t>The CC BY licence is a standard form licence agreement that allows you to copy and redistribute the material in any medium or format, as well as remix, transform, and build upon the material, on the condition that you provide a link to the licence, you indicate if changes were made, and you attribute the material as follows:</w:t>
      </w:r>
    </w:p>
    <w:bookmarkEnd w:id="3"/>
    <w:p w:rsidR="00625397" w:rsidRPr="00BE07A7" w:rsidRDefault="00625397" w:rsidP="00625397">
      <w:pPr>
        <w:spacing w:after="120"/>
        <w:ind w:left="567"/>
      </w:pPr>
      <w:r w:rsidRPr="00BE07A7">
        <w:t>Licensed from the Commonwealth of Australia under a Creative Commons Attribution 4.0 International licence.</w:t>
      </w:r>
    </w:p>
    <w:p w:rsidR="00625397" w:rsidRPr="00BE07A7" w:rsidRDefault="00625397" w:rsidP="00625397">
      <w:pPr>
        <w:spacing w:after="120"/>
      </w:pPr>
      <w:r w:rsidRPr="00BE07A7">
        <w:t>Enquiries about the use of any material in this publication can be sent to</w:t>
      </w:r>
      <w:r>
        <w:t>:</w:t>
      </w:r>
      <w:r w:rsidRPr="00BE07A7">
        <w:t xml:space="preserve"> </w:t>
      </w:r>
      <w:hyperlink r:id="rId22" w:history="1">
        <w:r w:rsidRPr="00BE07A7">
          <w:rPr>
            <w:rStyle w:val="Hyperlink"/>
          </w:rPr>
          <w:t>copyright@</w:t>
        </w:r>
        <w:r w:rsidRPr="00107501">
          <w:rPr>
            <w:rStyle w:val="Hyperlink"/>
          </w:rPr>
          <w:t>communications</w:t>
        </w:r>
        <w:r w:rsidRPr="00BE07A7">
          <w:rPr>
            <w:rStyle w:val="Hyperlink"/>
          </w:rPr>
          <w:t>.gov.au</w:t>
        </w:r>
      </w:hyperlink>
      <w:r w:rsidRPr="00BE07A7">
        <w:t>.</w:t>
      </w:r>
    </w:p>
    <w:p w:rsidR="00625397" w:rsidRPr="00BE07A7" w:rsidRDefault="00625397" w:rsidP="00625397">
      <w:pPr>
        <w:pStyle w:val="Heading2-notshowing"/>
      </w:pPr>
      <w:r w:rsidRPr="00BE07A7">
        <w:lastRenderedPageBreak/>
        <w:t>Using the Commonwealth Coat of Arms</w:t>
      </w:r>
    </w:p>
    <w:p w:rsidR="00597F9B" w:rsidRDefault="00625397" w:rsidP="00625397">
      <w:pPr>
        <w:spacing w:after="120"/>
        <w:rPr>
          <w:lang w:eastAsia="en-US"/>
        </w:rPr>
      </w:pPr>
      <w:r w:rsidRPr="00BE07A7">
        <w:t>Guidelines for using the Commonwealth Coat of Arms are available from the Department of Prime Minister and Cabinet website at</w:t>
      </w:r>
      <w:r w:rsidR="00761500">
        <w:t xml:space="preserve"> </w:t>
      </w:r>
      <w:hyperlink r:id="rId23" w:history="1">
        <w:r w:rsidR="00761500" w:rsidRPr="005C73E4">
          <w:rPr>
            <w:rStyle w:val="Hyperlink"/>
          </w:rPr>
          <w:t>www.pmc.gov.au/government/its-honour</w:t>
        </w:r>
      </w:hyperlink>
      <w:r w:rsidRPr="00BE07A7">
        <w:t>.</w:t>
      </w:r>
      <w:r w:rsidR="00597F9B">
        <w:rPr>
          <w:lang w:eastAsia="en-US"/>
        </w:rPr>
        <w:br w:type="page"/>
      </w:r>
    </w:p>
    <w:p w:rsidR="00400E77" w:rsidRDefault="00597F9B" w:rsidP="00597F9B">
      <w:pPr>
        <w:pStyle w:val="Heading2-notshowing"/>
      </w:pPr>
      <w:r>
        <w:lastRenderedPageBreak/>
        <w:t>Contents</w:t>
      </w:r>
    </w:p>
    <w:p w:rsidR="00094568" w:rsidRDefault="00597F9B">
      <w:pPr>
        <w:pStyle w:val="TOC1"/>
        <w:rPr>
          <w:b w:val="0"/>
          <w:noProof/>
          <w:color w:val="auto"/>
          <w:sz w:val="22"/>
          <w:lang w:eastAsia="en-AU"/>
        </w:rPr>
      </w:pPr>
      <w:r>
        <w:rPr>
          <w:color w:val="0F293A"/>
          <w:lang w:eastAsia="en-US"/>
        </w:rPr>
        <w:fldChar w:fldCharType="begin"/>
      </w:r>
      <w:r>
        <w:rPr>
          <w:lang w:eastAsia="en-US"/>
        </w:rPr>
        <w:instrText xml:space="preserve"> TOC \h \z \t "Heading 2,1,Heading 3,2,Heading 4,3" </w:instrText>
      </w:r>
      <w:r>
        <w:rPr>
          <w:color w:val="0F293A"/>
          <w:lang w:eastAsia="en-US"/>
        </w:rPr>
        <w:fldChar w:fldCharType="separate"/>
      </w:r>
      <w:hyperlink w:anchor="_Toc531801731" w:history="1">
        <w:r w:rsidR="00094568" w:rsidRPr="00F1316F">
          <w:rPr>
            <w:rStyle w:val="Hyperlink"/>
            <w:noProof/>
          </w:rPr>
          <w:t>Executive summary</w:t>
        </w:r>
        <w:r w:rsidR="00094568">
          <w:rPr>
            <w:noProof/>
            <w:webHidden/>
          </w:rPr>
          <w:tab/>
        </w:r>
        <w:r w:rsidR="00094568">
          <w:rPr>
            <w:noProof/>
            <w:webHidden/>
          </w:rPr>
          <w:fldChar w:fldCharType="begin"/>
        </w:r>
        <w:r w:rsidR="00094568">
          <w:rPr>
            <w:noProof/>
            <w:webHidden/>
          </w:rPr>
          <w:instrText xml:space="preserve"> PAGEREF _Toc531801731 \h </w:instrText>
        </w:r>
        <w:r w:rsidR="00094568">
          <w:rPr>
            <w:noProof/>
            <w:webHidden/>
          </w:rPr>
        </w:r>
        <w:r w:rsidR="00094568">
          <w:rPr>
            <w:noProof/>
            <w:webHidden/>
          </w:rPr>
          <w:fldChar w:fldCharType="separate"/>
        </w:r>
        <w:r w:rsidR="00A96F3F">
          <w:rPr>
            <w:noProof/>
            <w:webHidden/>
          </w:rPr>
          <w:t>1</w:t>
        </w:r>
        <w:r w:rsidR="00094568">
          <w:rPr>
            <w:noProof/>
            <w:webHidden/>
          </w:rPr>
          <w:fldChar w:fldCharType="end"/>
        </w:r>
      </w:hyperlink>
    </w:p>
    <w:p w:rsidR="00094568" w:rsidRDefault="000E442A">
      <w:pPr>
        <w:pStyle w:val="TOC1"/>
        <w:rPr>
          <w:b w:val="0"/>
          <w:noProof/>
          <w:color w:val="auto"/>
          <w:sz w:val="22"/>
          <w:lang w:eastAsia="en-AU"/>
        </w:rPr>
      </w:pPr>
      <w:hyperlink w:anchor="_Toc531801732" w:history="1">
        <w:r w:rsidR="00094568" w:rsidRPr="00F1316F">
          <w:rPr>
            <w:rStyle w:val="Hyperlink"/>
            <w:noProof/>
          </w:rPr>
          <w:t>Automation is changing skills</w:t>
        </w:r>
        <w:r w:rsidR="00094568">
          <w:rPr>
            <w:noProof/>
            <w:webHidden/>
          </w:rPr>
          <w:tab/>
        </w:r>
        <w:r w:rsidR="00094568">
          <w:rPr>
            <w:noProof/>
            <w:webHidden/>
          </w:rPr>
          <w:fldChar w:fldCharType="begin"/>
        </w:r>
        <w:r w:rsidR="00094568">
          <w:rPr>
            <w:noProof/>
            <w:webHidden/>
          </w:rPr>
          <w:instrText xml:space="preserve"> PAGEREF _Toc531801732 \h </w:instrText>
        </w:r>
        <w:r w:rsidR="00094568">
          <w:rPr>
            <w:noProof/>
            <w:webHidden/>
          </w:rPr>
        </w:r>
        <w:r w:rsidR="00094568">
          <w:rPr>
            <w:noProof/>
            <w:webHidden/>
          </w:rPr>
          <w:fldChar w:fldCharType="separate"/>
        </w:r>
        <w:r w:rsidR="00A96F3F">
          <w:rPr>
            <w:noProof/>
            <w:webHidden/>
          </w:rPr>
          <w:t>2</w:t>
        </w:r>
        <w:r w:rsidR="00094568">
          <w:rPr>
            <w:noProof/>
            <w:webHidden/>
          </w:rPr>
          <w:fldChar w:fldCharType="end"/>
        </w:r>
      </w:hyperlink>
    </w:p>
    <w:p w:rsidR="00094568" w:rsidRDefault="000E442A">
      <w:pPr>
        <w:pStyle w:val="TOC2"/>
        <w:rPr>
          <w:noProof/>
          <w:lang w:eastAsia="en-AU"/>
        </w:rPr>
      </w:pPr>
      <w:hyperlink w:anchor="_Toc531801733" w:history="1">
        <w:r w:rsidR="00094568" w:rsidRPr="00F1316F">
          <w:rPr>
            <w:rStyle w:val="Hyperlink"/>
            <w:noProof/>
          </w:rPr>
          <w:t>Automation is shaping the future of work</w:t>
        </w:r>
        <w:r w:rsidR="00094568">
          <w:rPr>
            <w:noProof/>
            <w:webHidden/>
          </w:rPr>
          <w:tab/>
        </w:r>
        <w:r w:rsidR="00094568">
          <w:rPr>
            <w:noProof/>
            <w:webHidden/>
          </w:rPr>
          <w:fldChar w:fldCharType="begin"/>
        </w:r>
        <w:r w:rsidR="00094568">
          <w:rPr>
            <w:noProof/>
            <w:webHidden/>
          </w:rPr>
          <w:instrText xml:space="preserve"> PAGEREF _Toc531801733 \h </w:instrText>
        </w:r>
        <w:r w:rsidR="00094568">
          <w:rPr>
            <w:noProof/>
            <w:webHidden/>
          </w:rPr>
        </w:r>
        <w:r w:rsidR="00094568">
          <w:rPr>
            <w:noProof/>
            <w:webHidden/>
          </w:rPr>
          <w:fldChar w:fldCharType="separate"/>
        </w:r>
        <w:r w:rsidR="00A96F3F">
          <w:rPr>
            <w:noProof/>
            <w:webHidden/>
          </w:rPr>
          <w:t>2</w:t>
        </w:r>
        <w:r w:rsidR="00094568">
          <w:rPr>
            <w:noProof/>
            <w:webHidden/>
          </w:rPr>
          <w:fldChar w:fldCharType="end"/>
        </w:r>
      </w:hyperlink>
    </w:p>
    <w:p w:rsidR="00094568" w:rsidRDefault="000E442A">
      <w:pPr>
        <w:pStyle w:val="TOC2"/>
        <w:rPr>
          <w:noProof/>
          <w:lang w:eastAsia="en-AU"/>
        </w:rPr>
      </w:pPr>
      <w:hyperlink w:anchor="_Toc531801734" w:history="1">
        <w:r w:rsidR="00094568" w:rsidRPr="00F1316F">
          <w:rPr>
            <w:rStyle w:val="Hyperlink"/>
            <w:noProof/>
          </w:rPr>
          <w:t>The scale and scope of change will differ by sector</w:t>
        </w:r>
        <w:r w:rsidR="00094568">
          <w:rPr>
            <w:noProof/>
            <w:webHidden/>
          </w:rPr>
          <w:tab/>
        </w:r>
        <w:r w:rsidR="00094568">
          <w:rPr>
            <w:noProof/>
            <w:webHidden/>
          </w:rPr>
          <w:fldChar w:fldCharType="begin"/>
        </w:r>
        <w:r w:rsidR="00094568">
          <w:rPr>
            <w:noProof/>
            <w:webHidden/>
          </w:rPr>
          <w:instrText xml:space="preserve"> PAGEREF _Toc531801734 \h </w:instrText>
        </w:r>
        <w:r w:rsidR="00094568">
          <w:rPr>
            <w:noProof/>
            <w:webHidden/>
          </w:rPr>
        </w:r>
        <w:r w:rsidR="00094568">
          <w:rPr>
            <w:noProof/>
            <w:webHidden/>
          </w:rPr>
          <w:fldChar w:fldCharType="separate"/>
        </w:r>
        <w:r w:rsidR="00A96F3F">
          <w:rPr>
            <w:noProof/>
            <w:webHidden/>
          </w:rPr>
          <w:t>3</w:t>
        </w:r>
        <w:r w:rsidR="00094568">
          <w:rPr>
            <w:noProof/>
            <w:webHidden/>
          </w:rPr>
          <w:fldChar w:fldCharType="end"/>
        </w:r>
      </w:hyperlink>
    </w:p>
    <w:p w:rsidR="00094568" w:rsidRDefault="000E442A">
      <w:pPr>
        <w:pStyle w:val="TOC2"/>
        <w:rPr>
          <w:noProof/>
          <w:lang w:eastAsia="en-AU"/>
        </w:rPr>
      </w:pPr>
      <w:hyperlink w:anchor="_Toc531801735" w:history="1">
        <w:r w:rsidR="00094568" w:rsidRPr="00F1316F">
          <w:rPr>
            <w:rStyle w:val="Hyperlink"/>
            <w:noProof/>
          </w:rPr>
          <w:t>Creative skills are likely to experience relatively higher demand</w:t>
        </w:r>
        <w:r w:rsidR="00094568">
          <w:rPr>
            <w:noProof/>
            <w:webHidden/>
          </w:rPr>
          <w:tab/>
        </w:r>
        <w:r w:rsidR="00094568">
          <w:rPr>
            <w:noProof/>
            <w:webHidden/>
          </w:rPr>
          <w:fldChar w:fldCharType="begin"/>
        </w:r>
        <w:r w:rsidR="00094568">
          <w:rPr>
            <w:noProof/>
            <w:webHidden/>
          </w:rPr>
          <w:instrText xml:space="preserve"> PAGEREF _Toc531801735 \h </w:instrText>
        </w:r>
        <w:r w:rsidR="00094568">
          <w:rPr>
            <w:noProof/>
            <w:webHidden/>
          </w:rPr>
        </w:r>
        <w:r w:rsidR="00094568">
          <w:rPr>
            <w:noProof/>
            <w:webHidden/>
          </w:rPr>
          <w:fldChar w:fldCharType="separate"/>
        </w:r>
        <w:r w:rsidR="00A96F3F">
          <w:rPr>
            <w:noProof/>
            <w:webHidden/>
          </w:rPr>
          <w:t>5</w:t>
        </w:r>
        <w:r w:rsidR="00094568">
          <w:rPr>
            <w:noProof/>
            <w:webHidden/>
          </w:rPr>
          <w:fldChar w:fldCharType="end"/>
        </w:r>
      </w:hyperlink>
    </w:p>
    <w:p w:rsidR="00094568" w:rsidRDefault="000E442A">
      <w:pPr>
        <w:pStyle w:val="TOC1"/>
        <w:rPr>
          <w:b w:val="0"/>
          <w:noProof/>
          <w:color w:val="auto"/>
          <w:sz w:val="22"/>
          <w:lang w:eastAsia="en-AU"/>
        </w:rPr>
      </w:pPr>
      <w:hyperlink w:anchor="_Toc531801736" w:history="1">
        <w:r w:rsidR="00094568" w:rsidRPr="00F1316F">
          <w:rPr>
            <w:rStyle w:val="Hyperlink"/>
            <w:noProof/>
          </w:rPr>
          <w:t>Defining creativity and creative skills</w:t>
        </w:r>
        <w:r w:rsidR="00094568">
          <w:rPr>
            <w:noProof/>
            <w:webHidden/>
          </w:rPr>
          <w:tab/>
        </w:r>
        <w:r w:rsidR="00094568">
          <w:rPr>
            <w:noProof/>
            <w:webHidden/>
          </w:rPr>
          <w:fldChar w:fldCharType="begin"/>
        </w:r>
        <w:r w:rsidR="00094568">
          <w:rPr>
            <w:noProof/>
            <w:webHidden/>
          </w:rPr>
          <w:instrText xml:space="preserve"> PAGEREF _Toc531801736 \h </w:instrText>
        </w:r>
        <w:r w:rsidR="00094568">
          <w:rPr>
            <w:noProof/>
            <w:webHidden/>
          </w:rPr>
        </w:r>
        <w:r w:rsidR="00094568">
          <w:rPr>
            <w:noProof/>
            <w:webHidden/>
          </w:rPr>
          <w:fldChar w:fldCharType="separate"/>
        </w:r>
        <w:r w:rsidR="00A96F3F">
          <w:rPr>
            <w:noProof/>
            <w:webHidden/>
          </w:rPr>
          <w:t>6</w:t>
        </w:r>
        <w:r w:rsidR="00094568">
          <w:rPr>
            <w:noProof/>
            <w:webHidden/>
          </w:rPr>
          <w:fldChar w:fldCharType="end"/>
        </w:r>
      </w:hyperlink>
    </w:p>
    <w:p w:rsidR="00094568" w:rsidRDefault="000E442A">
      <w:pPr>
        <w:pStyle w:val="TOC2"/>
        <w:rPr>
          <w:noProof/>
          <w:lang w:eastAsia="en-AU"/>
        </w:rPr>
      </w:pPr>
      <w:hyperlink w:anchor="_Toc531801737" w:history="1">
        <w:r w:rsidR="00094568" w:rsidRPr="00F1316F">
          <w:rPr>
            <w:rStyle w:val="Hyperlink"/>
            <w:noProof/>
          </w:rPr>
          <w:t>What is creativity and what does it enable?</w:t>
        </w:r>
        <w:r w:rsidR="00094568">
          <w:rPr>
            <w:noProof/>
            <w:webHidden/>
          </w:rPr>
          <w:tab/>
        </w:r>
        <w:r w:rsidR="00094568">
          <w:rPr>
            <w:noProof/>
            <w:webHidden/>
          </w:rPr>
          <w:fldChar w:fldCharType="begin"/>
        </w:r>
        <w:r w:rsidR="00094568">
          <w:rPr>
            <w:noProof/>
            <w:webHidden/>
          </w:rPr>
          <w:instrText xml:space="preserve"> PAGEREF _Toc531801737 \h </w:instrText>
        </w:r>
        <w:r w:rsidR="00094568">
          <w:rPr>
            <w:noProof/>
            <w:webHidden/>
          </w:rPr>
        </w:r>
        <w:r w:rsidR="00094568">
          <w:rPr>
            <w:noProof/>
            <w:webHidden/>
          </w:rPr>
          <w:fldChar w:fldCharType="separate"/>
        </w:r>
        <w:r w:rsidR="00A96F3F">
          <w:rPr>
            <w:noProof/>
            <w:webHidden/>
          </w:rPr>
          <w:t>6</w:t>
        </w:r>
        <w:r w:rsidR="00094568">
          <w:rPr>
            <w:noProof/>
            <w:webHidden/>
          </w:rPr>
          <w:fldChar w:fldCharType="end"/>
        </w:r>
      </w:hyperlink>
    </w:p>
    <w:p w:rsidR="00094568" w:rsidRDefault="000E442A">
      <w:pPr>
        <w:pStyle w:val="TOC2"/>
        <w:rPr>
          <w:noProof/>
          <w:lang w:eastAsia="en-AU"/>
        </w:rPr>
      </w:pPr>
      <w:hyperlink w:anchor="_Toc531801738" w:history="1">
        <w:r w:rsidR="00094568" w:rsidRPr="00F1316F">
          <w:rPr>
            <w:rStyle w:val="Hyperlink"/>
            <w:noProof/>
          </w:rPr>
          <w:t>Occupational information can be used to identify creative roles</w:t>
        </w:r>
        <w:r w:rsidR="00094568">
          <w:rPr>
            <w:noProof/>
            <w:webHidden/>
          </w:rPr>
          <w:tab/>
        </w:r>
        <w:r w:rsidR="00094568">
          <w:rPr>
            <w:noProof/>
            <w:webHidden/>
          </w:rPr>
          <w:fldChar w:fldCharType="begin"/>
        </w:r>
        <w:r w:rsidR="00094568">
          <w:rPr>
            <w:noProof/>
            <w:webHidden/>
          </w:rPr>
          <w:instrText xml:space="preserve"> PAGEREF _Toc531801738 \h </w:instrText>
        </w:r>
        <w:r w:rsidR="00094568">
          <w:rPr>
            <w:noProof/>
            <w:webHidden/>
          </w:rPr>
        </w:r>
        <w:r w:rsidR="00094568">
          <w:rPr>
            <w:noProof/>
            <w:webHidden/>
          </w:rPr>
          <w:fldChar w:fldCharType="separate"/>
        </w:r>
        <w:r w:rsidR="00A96F3F">
          <w:rPr>
            <w:noProof/>
            <w:webHidden/>
          </w:rPr>
          <w:t>7</w:t>
        </w:r>
        <w:r w:rsidR="00094568">
          <w:rPr>
            <w:noProof/>
            <w:webHidden/>
          </w:rPr>
          <w:fldChar w:fldCharType="end"/>
        </w:r>
      </w:hyperlink>
    </w:p>
    <w:p w:rsidR="00094568" w:rsidRDefault="000E442A">
      <w:pPr>
        <w:pStyle w:val="TOC2"/>
        <w:rPr>
          <w:noProof/>
          <w:lang w:eastAsia="en-AU"/>
        </w:rPr>
      </w:pPr>
      <w:hyperlink w:anchor="_Toc531801739" w:history="1">
        <w:r w:rsidR="00094568" w:rsidRPr="00F1316F">
          <w:rPr>
            <w:rStyle w:val="Hyperlink"/>
            <w:noProof/>
          </w:rPr>
          <w:t>Determining creative skills from creative occupations</w:t>
        </w:r>
        <w:r w:rsidR="00094568">
          <w:rPr>
            <w:noProof/>
            <w:webHidden/>
          </w:rPr>
          <w:tab/>
        </w:r>
        <w:r w:rsidR="00094568">
          <w:rPr>
            <w:noProof/>
            <w:webHidden/>
          </w:rPr>
          <w:fldChar w:fldCharType="begin"/>
        </w:r>
        <w:r w:rsidR="00094568">
          <w:rPr>
            <w:noProof/>
            <w:webHidden/>
          </w:rPr>
          <w:instrText xml:space="preserve"> PAGEREF _Toc531801739 \h </w:instrText>
        </w:r>
        <w:r w:rsidR="00094568">
          <w:rPr>
            <w:noProof/>
            <w:webHidden/>
          </w:rPr>
        </w:r>
        <w:r w:rsidR="00094568">
          <w:rPr>
            <w:noProof/>
            <w:webHidden/>
          </w:rPr>
          <w:fldChar w:fldCharType="separate"/>
        </w:r>
        <w:r w:rsidR="00A96F3F">
          <w:rPr>
            <w:noProof/>
            <w:webHidden/>
          </w:rPr>
          <w:t>8</w:t>
        </w:r>
        <w:r w:rsidR="00094568">
          <w:rPr>
            <w:noProof/>
            <w:webHidden/>
          </w:rPr>
          <w:fldChar w:fldCharType="end"/>
        </w:r>
      </w:hyperlink>
    </w:p>
    <w:p w:rsidR="00094568" w:rsidRDefault="000E442A">
      <w:pPr>
        <w:pStyle w:val="TOC2"/>
        <w:rPr>
          <w:noProof/>
          <w:lang w:eastAsia="en-AU"/>
        </w:rPr>
      </w:pPr>
      <w:hyperlink w:anchor="_Toc531801740" w:history="1">
        <w:r w:rsidR="00094568" w:rsidRPr="00F1316F">
          <w:rPr>
            <w:rStyle w:val="Hyperlink"/>
            <w:noProof/>
          </w:rPr>
          <w:t>Where are these creative skills being used?</w:t>
        </w:r>
        <w:r w:rsidR="00094568">
          <w:rPr>
            <w:noProof/>
            <w:webHidden/>
          </w:rPr>
          <w:tab/>
        </w:r>
        <w:r w:rsidR="00094568">
          <w:rPr>
            <w:noProof/>
            <w:webHidden/>
          </w:rPr>
          <w:fldChar w:fldCharType="begin"/>
        </w:r>
        <w:r w:rsidR="00094568">
          <w:rPr>
            <w:noProof/>
            <w:webHidden/>
          </w:rPr>
          <w:instrText xml:space="preserve"> PAGEREF _Toc531801740 \h </w:instrText>
        </w:r>
        <w:r w:rsidR="00094568">
          <w:rPr>
            <w:noProof/>
            <w:webHidden/>
          </w:rPr>
        </w:r>
        <w:r w:rsidR="00094568">
          <w:rPr>
            <w:noProof/>
            <w:webHidden/>
          </w:rPr>
          <w:fldChar w:fldCharType="separate"/>
        </w:r>
        <w:r w:rsidR="00A96F3F">
          <w:rPr>
            <w:noProof/>
            <w:webHidden/>
          </w:rPr>
          <w:t>11</w:t>
        </w:r>
        <w:r w:rsidR="00094568">
          <w:rPr>
            <w:noProof/>
            <w:webHidden/>
          </w:rPr>
          <w:fldChar w:fldCharType="end"/>
        </w:r>
      </w:hyperlink>
    </w:p>
    <w:p w:rsidR="00094568" w:rsidRDefault="000E442A">
      <w:pPr>
        <w:pStyle w:val="TOC1"/>
        <w:rPr>
          <w:b w:val="0"/>
          <w:noProof/>
          <w:color w:val="auto"/>
          <w:sz w:val="22"/>
          <w:lang w:eastAsia="en-AU"/>
        </w:rPr>
      </w:pPr>
      <w:hyperlink w:anchor="_Toc531801741" w:history="1">
        <w:r w:rsidR="00094568" w:rsidRPr="00F1316F">
          <w:rPr>
            <w:rStyle w:val="Hyperlink"/>
            <w:noProof/>
          </w:rPr>
          <w:t>Demand for creative skills is growing</w:t>
        </w:r>
        <w:r w:rsidR="00094568">
          <w:rPr>
            <w:noProof/>
            <w:webHidden/>
          </w:rPr>
          <w:tab/>
        </w:r>
        <w:r w:rsidR="00094568">
          <w:rPr>
            <w:noProof/>
            <w:webHidden/>
          </w:rPr>
          <w:fldChar w:fldCharType="begin"/>
        </w:r>
        <w:r w:rsidR="00094568">
          <w:rPr>
            <w:noProof/>
            <w:webHidden/>
          </w:rPr>
          <w:instrText xml:space="preserve"> PAGEREF _Toc531801741 \h </w:instrText>
        </w:r>
        <w:r w:rsidR="00094568">
          <w:rPr>
            <w:noProof/>
            <w:webHidden/>
          </w:rPr>
        </w:r>
        <w:r w:rsidR="00094568">
          <w:rPr>
            <w:noProof/>
            <w:webHidden/>
          </w:rPr>
          <w:fldChar w:fldCharType="separate"/>
        </w:r>
        <w:r w:rsidR="00A96F3F">
          <w:rPr>
            <w:noProof/>
            <w:webHidden/>
          </w:rPr>
          <w:t>13</w:t>
        </w:r>
        <w:r w:rsidR="00094568">
          <w:rPr>
            <w:noProof/>
            <w:webHidden/>
          </w:rPr>
          <w:fldChar w:fldCharType="end"/>
        </w:r>
      </w:hyperlink>
    </w:p>
    <w:p w:rsidR="00094568" w:rsidRDefault="000E442A">
      <w:pPr>
        <w:pStyle w:val="TOC2"/>
        <w:rPr>
          <w:noProof/>
          <w:lang w:eastAsia="en-AU"/>
        </w:rPr>
      </w:pPr>
      <w:hyperlink w:anchor="_Toc531801742" w:history="1">
        <w:r w:rsidR="00094568" w:rsidRPr="00F1316F">
          <w:rPr>
            <w:rStyle w:val="Hyperlink"/>
            <w:noProof/>
          </w:rPr>
          <w:t>Faster-growing occupations and industries are likely to need creative skills</w:t>
        </w:r>
        <w:r w:rsidR="00094568">
          <w:rPr>
            <w:noProof/>
            <w:webHidden/>
          </w:rPr>
          <w:tab/>
        </w:r>
        <w:r w:rsidR="00094568">
          <w:rPr>
            <w:noProof/>
            <w:webHidden/>
          </w:rPr>
          <w:fldChar w:fldCharType="begin"/>
        </w:r>
        <w:r w:rsidR="00094568">
          <w:rPr>
            <w:noProof/>
            <w:webHidden/>
          </w:rPr>
          <w:instrText xml:space="preserve"> PAGEREF _Toc531801742 \h </w:instrText>
        </w:r>
        <w:r w:rsidR="00094568">
          <w:rPr>
            <w:noProof/>
            <w:webHidden/>
          </w:rPr>
        </w:r>
        <w:r w:rsidR="00094568">
          <w:rPr>
            <w:noProof/>
            <w:webHidden/>
          </w:rPr>
          <w:fldChar w:fldCharType="separate"/>
        </w:r>
        <w:r w:rsidR="00A96F3F">
          <w:rPr>
            <w:noProof/>
            <w:webHidden/>
          </w:rPr>
          <w:t>13</w:t>
        </w:r>
        <w:r w:rsidR="00094568">
          <w:rPr>
            <w:noProof/>
            <w:webHidden/>
          </w:rPr>
          <w:fldChar w:fldCharType="end"/>
        </w:r>
      </w:hyperlink>
    </w:p>
    <w:p w:rsidR="00094568" w:rsidRDefault="000E442A">
      <w:pPr>
        <w:pStyle w:val="TOC2"/>
        <w:rPr>
          <w:noProof/>
          <w:lang w:eastAsia="en-AU"/>
        </w:rPr>
      </w:pPr>
      <w:hyperlink w:anchor="_Toc531801743" w:history="1">
        <w:r w:rsidR="00094568" w:rsidRPr="00F1316F">
          <w:rPr>
            <w:rStyle w:val="Hyperlink"/>
            <w:noProof/>
          </w:rPr>
          <w:t>Creative skills contribute to innovation-intensive industries</w:t>
        </w:r>
        <w:r w:rsidR="00094568">
          <w:rPr>
            <w:noProof/>
            <w:webHidden/>
          </w:rPr>
          <w:tab/>
        </w:r>
        <w:r w:rsidR="00094568">
          <w:rPr>
            <w:noProof/>
            <w:webHidden/>
          </w:rPr>
          <w:fldChar w:fldCharType="begin"/>
        </w:r>
        <w:r w:rsidR="00094568">
          <w:rPr>
            <w:noProof/>
            <w:webHidden/>
          </w:rPr>
          <w:instrText xml:space="preserve"> PAGEREF _Toc531801743 \h </w:instrText>
        </w:r>
        <w:r w:rsidR="00094568">
          <w:rPr>
            <w:noProof/>
            <w:webHidden/>
          </w:rPr>
        </w:r>
        <w:r w:rsidR="00094568">
          <w:rPr>
            <w:noProof/>
            <w:webHidden/>
          </w:rPr>
          <w:fldChar w:fldCharType="separate"/>
        </w:r>
        <w:r w:rsidR="00A96F3F">
          <w:rPr>
            <w:noProof/>
            <w:webHidden/>
          </w:rPr>
          <w:t>14</w:t>
        </w:r>
        <w:r w:rsidR="00094568">
          <w:rPr>
            <w:noProof/>
            <w:webHidden/>
          </w:rPr>
          <w:fldChar w:fldCharType="end"/>
        </w:r>
      </w:hyperlink>
    </w:p>
    <w:p w:rsidR="00094568" w:rsidRDefault="000E442A">
      <w:pPr>
        <w:pStyle w:val="TOC2"/>
        <w:rPr>
          <w:noProof/>
          <w:lang w:eastAsia="en-AU"/>
        </w:rPr>
      </w:pPr>
      <w:hyperlink w:anchor="_Toc531801744" w:history="1">
        <w:r w:rsidR="00094568" w:rsidRPr="00F1316F">
          <w:rPr>
            <w:rStyle w:val="Hyperlink"/>
            <w:noProof/>
          </w:rPr>
          <w:t>Indirect demand for creative skills is considerable and complex</w:t>
        </w:r>
        <w:r w:rsidR="00094568">
          <w:rPr>
            <w:noProof/>
            <w:webHidden/>
          </w:rPr>
          <w:tab/>
        </w:r>
        <w:r w:rsidR="00094568">
          <w:rPr>
            <w:noProof/>
            <w:webHidden/>
          </w:rPr>
          <w:fldChar w:fldCharType="begin"/>
        </w:r>
        <w:r w:rsidR="00094568">
          <w:rPr>
            <w:noProof/>
            <w:webHidden/>
          </w:rPr>
          <w:instrText xml:space="preserve"> PAGEREF _Toc531801744 \h </w:instrText>
        </w:r>
        <w:r w:rsidR="00094568">
          <w:rPr>
            <w:noProof/>
            <w:webHidden/>
          </w:rPr>
        </w:r>
        <w:r w:rsidR="00094568">
          <w:rPr>
            <w:noProof/>
            <w:webHidden/>
          </w:rPr>
          <w:fldChar w:fldCharType="separate"/>
        </w:r>
        <w:r w:rsidR="00A96F3F">
          <w:rPr>
            <w:noProof/>
            <w:webHidden/>
          </w:rPr>
          <w:t>14</w:t>
        </w:r>
        <w:r w:rsidR="00094568">
          <w:rPr>
            <w:noProof/>
            <w:webHidden/>
          </w:rPr>
          <w:fldChar w:fldCharType="end"/>
        </w:r>
      </w:hyperlink>
    </w:p>
    <w:p w:rsidR="00094568" w:rsidRDefault="000E442A">
      <w:pPr>
        <w:pStyle w:val="TOC3"/>
        <w:rPr>
          <w:noProof/>
          <w:lang w:eastAsia="en-AU"/>
        </w:rPr>
      </w:pPr>
      <w:hyperlink w:anchor="_Toc531801745" w:history="1">
        <w:r w:rsidR="00094568" w:rsidRPr="00F1316F">
          <w:rPr>
            <w:rStyle w:val="Hyperlink"/>
            <w:noProof/>
          </w:rPr>
          <w:t>The flow of creative exports is significant</w:t>
        </w:r>
        <w:r w:rsidR="00094568">
          <w:rPr>
            <w:noProof/>
            <w:webHidden/>
          </w:rPr>
          <w:tab/>
        </w:r>
        <w:r w:rsidR="00094568">
          <w:rPr>
            <w:noProof/>
            <w:webHidden/>
          </w:rPr>
          <w:fldChar w:fldCharType="begin"/>
        </w:r>
        <w:r w:rsidR="00094568">
          <w:rPr>
            <w:noProof/>
            <w:webHidden/>
          </w:rPr>
          <w:instrText xml:space="preserve"> PAGEREF _Toc531801745 \h </w:instrText>
        </w:r>
        <w:r w:rsidR="00094568">
          <w:rPr>
            <w:noProof/>
            <w:webHidden/>
          </w:rPr>
        </w:r>
        <w:r w:rsidR="00094568">
          <w:rPr>
            <w:noProof/>
            <w:webHidden/>
          </w:rPr>
          <w:fldChar w:fldCharType="separate"/>
        </w:r>
        <w:r w:rsidR="00A96F3F">
          <w:rPr>
            <w:noProof/>
            <w:webHidden/>
          </w:rPr>
          <w:t>18</w:t>
        </w:r>
        <w:r w:rsidR="00094568">
          <w:rPr>
            <w:noProof/>
            <w:webHidden/>
          </w:rPr>
          <w:fldChar w:fldCharType="end"/>
        </w:r>
      </w:hyperlink>
    </w:p>
    <w:p w:rsidR="00094568" w:rsidRDefault="000E442A">
      <w:pPr>
        <w:pStyle w:val="TOC1"/>
        <w:rPr>
          <w:b w:val="0"/>
          <w:noProof/>
          <w:color w:val="auto"/>
          <w:sz w:val="22"/>
          <w:lang w:eastAsia="en-AU"/>
        </w:rPr>
      </w:pPr>
      <w:hyperlink w:anchor="_Toc531801746" w:history="1">
        <w:r w:rsidR="00094568" w:rsidRPr="00F1316F">
          <w:rPr>
            <w:rStyle w:val="Hyperlink"/>
            <w:noProof/>
          </w:rPr>
          <w:t>Appendix A: How creative skills, occupations and industries are determined</w:t>
        </w:r>
        <w:r w:rsidR="00094568">
          <w:rPr>
            <w:noProof/>
            <w:webHidden/>
          </w:rPr>
          <w:tab/>
        </w:r>
        <w:r w:rsidR="00094568">
          <w:rPr>
            <w:noProof/>
            <w:webHidden/>
          </w:rPr>
          <w:fldChar w:fldCharType="begin"/>
        </w:r>
        <w:r w:rsidR="00094568">
          <w:rPr>
            <w:noProof/>
            <w:webHidden/>
          </w:rPr>
          <w:instrText xml:space="preserve"> PAGEREF _Toc531801746 \h </w:instrText>
        </w:r>
        <w:r w:rsidR="00094568">
          <w:rPr>
            <w:noProof/>
            <w:webHidden/>
          </w:rPr>
        </w:r>
        <w:r w:rsidR="00094568">
          <w:rPr>
            <w:noProof/>
            <w:webHidden/>
          </w:rPr>
          <w:fldChar w:fldCharType="separate"/>
        </w:r>
        <w:r w:rsidR="00A96F3F">
          <w:rPr>
            <w:noProof/>
            <w:webHidden/>
          </w:rPr>
          <w:t>20</w:t>
        </w:r>
        <w:r w:rsidR="00094568">
          <w:rPr>
            <w:noProof/>
            <w:webHidden/>
          </w:rPr>
          <w:fldChar w:fldCharType="end"/>
        </w:r>
      </w:hyperlink>
    </w:p>
    <w:p w:rsidR="00094568" w:rsidRDefault="000E442A">
      <w:pPr>
        <w:pStyle w:val="TOC1"/>
        <w:rPr>
          <w:b w:val="0"/>
          <w:noProof/>
          <w:color w:val="auto"/>
          <w:sz w:val="22"/>
          <w:lang w:eastAsia="en-AU"/>
        </w:rPr>
      </w:pPr>
      <w:hyperlink w:anchor="_Toc531801747" w:history="1">
        <w:r w:rsidR="00094568" w:rsidRPr="00F1316F">
          <w:rPr>
            <w:rStyle w:val="Hyperlink"/>
            <w:noProof/>
          </w:rPr>
          <w:t>Appendix B: Use of input-output data and creative industries</w:t>
        </w:r>
        <w:r w:rsidR="00094568">
          <w:rPr>
            <w:noProof/>
            <w:webHidden/>
          </w:rPr>
          <w:tab/>
        </w:r>
        <w:r w:rsidR="00094568">
          <w:rPr>
            <w:noProof/>
            <w:webHidden/>
          </w:rPr>
          <w:fldChar w:fldCharType="begin"/>
        </w:r>
        <w:r w:rsidR="00094568">
          <w:rPr>
            <w:noProof/>
            <w:webHidden/>
          </w:rPr>
          <w:instrText xml:space="preserve"> PAGEREF _Toc531801747 \h </w:instrText>
        </w:r>
        <w:r w:rsidR="00094568">
          <w:rPr>
            <w:noProof/>
            <w:webHidden/>
          </w:rPr>
        </w:r>
        <w:r w:rsidR="00094568">
          <w:rPr>
            <w:noProof/>
            <w:webHidden/>
          </w:rPr>
          <w:fldChar w:fldCharType="separate"/>
        </w:r>
        <w:r w:rsidR="00A96F3F">
          <w:rPr>
            <w:noProof/>
            <w:webHidden/>
          </w:rPr>
          <w:t>26</w:t>
        </w:r>
        <w:r w:rsidR="00094568">
          <w:rPr>
            <w:noProof/>
            <w:webHidden/>
          </w:rPr>
          <w:fldChar w:fldCharType="end"/>
        </w:r>
      </w:hyperlink>
    </w:p>
    <w:p w:rsidR="00094568" w:rsidRDefault="000E442A">
      <w:pPr>
        <w:pStyle w:val="TOC1"/>
        <w:rPr>
          <w:b w:val="0"/>
          <w:noProof/>
          <w:color w:val="auto"/>
          <w:sz w:val="22"/>
          <w:lang w:eastAsia="en-AU"/>
        </w:rPr>
      </w:pPr>
      <w:hyperlink w:anchor="_Toc531801748" w:history="1">
        <w:r w:rsidR="00094568" w:rsidRPr="00F1316F">
          <w:rPr>
            <w:rStyle w:val="Hyperlink"/>
            <w:noProof/>
          </w:rPr>
          <w:t>Appendix C: What information could better inform analysis of creative skills?</w:t>
        </w:r>
        <w:r w:rsidR="00094568">
          <w:rPr>
            <w:noProof/>
            <w:webHidden/>
          </w:rPr>
          <w:tab/>
        </w:r>
        <w:r w:rsidR="00094568">
          <w:rPr>
            <w:noProof/>
            <w:webHidden/>
          </w:rPr>
          <w:fldChar w:fldCharType="begin"/>
        </w:r>
        <w:r w:rsidR="00094568">
          <w:rPr>
            <w:noProof/>
            <w:webHidden/>
          </w:rPr>
          <w:instrText xml:space="preserve"> PAGEREF _Toc531801748 \h </w:instrText>
        </w:r>
        <w:r w:rsidR="00094568">
          <w:rPr>
            <w:noProof/>
            <w:webHidden/>
          </w:rPr>
        </w:r>
        <w:r w:rsidR="00094568">
          <w:rPr>
            <w:noProof/>
            <w:webHidden/>
          </w:rPr>
          <w:fldChar w:fldCharType="separate"/>
        </w:r>
        <w:r w:rsidR="00A96F3F">
          <w:rPr>
            <w:noProof/>
            <w:webHidden/>
          </w:rPr>
          <w:t>27</w:t>
        </w:r>
        <w:r w:rsidR="00094568">
          <w:rPr>
            <w:noProof/>
            <w:webHidden/>
          </w:rPr>
          <w:fldChar w:fldCharType="end"/>
        </w:r>
      </w:hyperlink>
    </w:p>
    <w:p w:rsidR="00094568" w:rsidRDefault="000E442A">
      <w:pPr>
        <w:pStyle w:val="TOC1"/>
        <w:rPr>
          <w:b w:val="0"/>
          <w:noProof/>
          <w:color w:val="auto"/>
          <w:sz w:val="22"/>
          <w:lang w:eastAsia="en-AU"/>
        </w:rPr>
      </w:pPr>
      <w:hyperlink w:anchor="_Toc531801749" w:history="1">
        <w:r w:rsidR="00094568" w:rsidRPr="00F1316F">
          <w:rPr>
            <w:rStyle w:val="Hyperlink"/>
            <w:noProof/>
          </w:rPr>
          <w:t>References</w:t>
        </w:r>
        <w:r w:rsidR="00094568">
          <w:rPr>
            <w:noProof/>
            <w:webHidden/>
          </w:rPr>
          <w:tab/>
        </w:r>
        <w:r w:rsidR="00094568">
          <w:rPr>
            <w:noProof/>
            <w:webHidden/>
          </w:rPr>
          <w:fldChar w:fldCharType="begin"/>
        </w:r>
        <w:r w:rsidR="00094568">
          <w:rPr>
            <w:noProof/>
            <w:webHidden/>
          </w:rPr>
          <w:instrText xml:space="preserve"> PAGEREF _Toc531801749 \h </w:instrText>
        </w:r>
        <w:r w:rsidR="00094568">
          <w:rPr>
            <w:noProof/>
            <w:webHidden/>
          </w:rPr>
        </w:r>
        <w:r w:rsidR="00094568">
          <w:rPr>
            <w:noProof/>
            <w:webHidden/>
          </w:rPr>
          <w:fldChar w:fldCharType="separate"/>
        </w:r>
        <w:r w:rsidR="00A96F3F">
          <w:rPr>
            <w:noProof/>
            <w:webHidden/>
          </w:rPr>
          <w:t>28</w:t>
        </w:r>
        <w:r w:rsidR="00094568">
          <w:rPr>
            <w:noProof/>
            <w:webHidden/>
          </w:rPr>
          <w:fldChar w:fldCharType="end"/>
        </w:r>
      </w:hyperlink>
    </w:p>
    <w:p w:rsidR="00597F9B" w:rsidRDefault="00597F9B" w:rsidP="00400E77">
      <w:pPr>
        <w:rPr>
          <w:lang w:eastAsia="en-US"/>
        </w:rPr>
      </w:pPr>
      <w:r>
        <w:rPr>
          <w:lang w:eastAsia="en-US"/>
        </w:rPr>
        <w:fldChar w:fldCharType="end"/>
      </w:r>
    </w:p>
    <w:p w:rsidR="00597F9B" w:rsidRDefault="00705B86" w:rsidP="00705B86">
      <w:pPr>
        <w:pStyle w:val="Heading2-notshowing"/>
      </w:pPr>
      <w:r>
        <w:t>Tables / images</w:t>
      </w:r>
      <w:r w:rsidR="003064E7">
        <w:t xml:space="preserve"> / charts</w:t>
      </w:r>
      <w:r w:rsidR="007267B7">
        <w:t xml:space="preserve"> contents</w:t>
      </w:r>
    </w:p>
    <w:p w:rsidR="00C519A4" w:rsidRDefault="00705B86">
      <w:pPr>
        <w:pStyle w:val="TOC4"/>
        <w:rPr>
          <w:noProof/>
          <w:lang w:eastAsia="en-AU"/>
        </w:rPr>
      </w:pPr>
      <w:r>
        <w:rPr>
          <w:lang w:eastAsia="en-US"/>
        </w:rPr>
        <w:fldChar w:fldCharType="begin"/>
      </w:r>
      <w:r>
        <w:rPr>
          <w:lang w:eastAsia="en-US"/>
        </w:rPr>
        <w:instrText xml:space="preserve"> TOC \h \z \t "Table/figure heading,4,Table heading,4" </w:instrText>
      </w:r>
      <w:r>
        <w:rPr>
          <w:lang w:eastAsia="en-US"/>
        </w:rPr>
        <w:fldChar w:fldCharType="separate"/>
      </w:r>
      <w:hyperlink w:anchor="_Toc532208384" w:history="1">
        <w:r w:rsidR="00C519A4" w:rsidRPr="005B2040">
          <w:rPr>
            <w:rStyle w:val="Hyperlink"/>
            <w:noProof/>
          </w:rPr>
          <w:t>Table 1: Key studies that have examined the impact of automation on workforces</w:t>
        </w:r>
        <w:r w:rsidR="00C519A4">
          <w:rPr>
            <w:noProof/>
            <w:webHidden/>
          </w:rPr>
          <w:tab/>
        </w:r>
        <w:r w:rsidR="00C519A4">
          <w:rPr>
            <w:noProof/>
            <w:webHidden/>
          </w:rPr>
          <w:fldChar w:fldCharType="begin"/>
        </w:r>
        <w:r w:rsidR="00C519A4">
          <w:rPr>
            <w:noProof/>
            <w:webHidden/>
          </w:rPr>
          <w:instrText xml:space="preserve"> PAGEREF _Toc532208384 \h </w:instrText>
        </w:r>
        <w:r w:rsidR="00C519A4">
          <w:rPr>
            <w:noProof/>
            <w:webHidden/>
          </w:rPr>
        </w:r>
        <w:r w:rsidR="00C519A4">
          <w:rPr>
            <w:noProof/>
            <w:webHidden/>
          </w:rPr>
          <w:fldChar w:fldCharType="separate"/>
        </w:r>
        <w:r w:rsidR="00A96F3F">
          <w:rPr>
            <w:noProof/>
            <w:webHidden/>
          </w:rPr>
          <w:t>2</w:t>
        </w:r>
        <w:r w:rsidR="00C519A4">
          <w:rPr>
            <w:noProof/>
            <w:webHidden/>
          </w:rPr>
          <w:fldChar w:fldCharType="end"/>
        </w:r>
      </w:hyperlink>
    </w:p>
    <w:p w:rsidR="00C519A4" w:rsidRDefault="000E442A">
      <w:pPr>
        <w:pStyle w:val="TOC4"/>
        <w:rPr>
          <w:noProof/>
          <w:lang w:eastAsia="en-AU"/>
        </w:rPr>
      </w:pPr>
      <w:hyperlink w:anchor="_Toc532208385" w:history="1">
        <w:r w:rsidR="00C519A4" w:rsidRPr="005B2040">
          <w:rPr>
            <w:rStyle w:val="Hyperlink"/>
            <w:noProof/>
          </w:rPr>
          <w:t>Figure 1: Share of tasks susceptible to automation by industry</w:t>
        </w:r>
        <w:r w:rsidR="00C519A4">
          <w:rPr>
            <w:noProof/>
            <w:webHidden/>
          </w:rPr>
          <w:tab/>
        </w:r>
        <w:r w:rsidR="00C519A4">
          <w:rPr>
            <w:noProof/>
            <w:webHidden/>
          </w:rPr>
          <w:fldChar w:fldCharType="begin"/>
        </w:r>
        <w:r w:rsidR="00C519A4">
          <w:rPr>
            <w:noProof/>
            <w:webHidden/>
          </w:rPr>
          <w:instrText xml:space="preserve"> PAGEREF _Toc532208385 \h </w:instrText>
        </w:r>
        <w:r w:rsidR="00C519A4">
          <w:rPr>
            <w:noProof/>
            <w:webHidden/>
          </w:rPr>
        </w:r>
        <w:r w:rsidR="00C519A4">
          <w:rPr>
            <w:noProof/>
            <w:webHidden/>
          </w:rPr>
          <w:fldChar w:fldCharType="separate"/>
        </w:r>
        <w:r w:rsidR="00A96F3F">
          <w:rPr>
            <w:noProof/>
            <w:webHidden/>
          </w:rPr>
          <w:t>4</w:t>
        </w:r>
        <w:r w:rsidR="00C519A4">
          <w:rPr>
            <w:noProof/>
            <w:webHidden/>
          </w:rPr>
          <w:fldChar w:fldCharType="end"/>
        </w:r>
      </w:hyperlink>
    </w:p>
    <w:p w:rsidR="00C519A4" w:rsidRDefault="000E442A">
      <w:pPr>
        <w:pStyle w:val="TOC4"/>
        <w:rPr>
          <w:noProof/>
          <w:lang w:eastAsia="en-AU"/>
        </w:rPr>
      </w:pPr>
      <w:hyperlink w:anchor="_Toc532208386" w:history="1">
        <w:r w:rsidR="00C519A4" w:rsidRPr="005B2040">
          <w:rPr>
            <w:rStyle w:val="Hyperlink"/>
            <w:noProof/>
          </w:rPr>
          <w:t>Table 2: Review of definitions of creativity</w:t>
        </w:r>
        <w:r w:rsidR="00C519A4">
          <w:rPr>
            <w:noProof/>
            <w:webHidden/>
          </w:rPr>
          <w:tab/>
        </w:r>
        <w:r w:rsidR="00C519A4">
          <w:rPr>
            <w:noProof/>
            <w:webHidden/>
          </w:rPr>
          <w:fldChar w:fldCharType="begin"/>
        </w:r>
        <w:r w:rsidR="00C519A4">
          <w:rPr>
            <w:noProof/>
            <w:webHidden/>
          </w:rPr>
          <w:instrText xml:space="preserve"> PAGEREF _Toc532208386 \h </w:instrText>
        </w:r>
        <w:r w:rsidR="00C519A4">
          <w:rPr>
            <w:noProof/>
            <w:webHidden/>
          </w:rPr>
        </w:r>
        <w:r w:rsidR="00C519A4">
          <w:rPr>
            <w:noProof/>
            <w:webHidden/>
          </w:rPr>
          <w:fldChar w:fldCharType="separate"/>
        </w:r>
        <w:r w:rsidR="00A96F3F">
          <w:rPr>
            <w:noProof/>
            <w:webHidden/>
          </w:rPr>
          <w:t>6</w:t>
        </w:r>
        <w:r w:rsidR="00C519A4">
          <w:rPr>
            <w:noProof/>
            <w:webHidden/>
          </w:rPr>
          <w:fldChar w:fldCharType="end"/>
        </w:r>
      </w:hyperlink>
    </w:p>
    <w:p w:rsidR="00C519A4" w:rsidRDefault="000E442A">
      <w:pPr>
        <w:pStyle w:val="TOC4"/>
        <w:rPr>
          <w:noProof/>
          <w:lang w:eastAsia="en-AU"/>
        </w:rPr>
      </w:pPr>
      <w:hyperlink w:anchor="_Toc532208387" w:history="1">
        <w:r w:rsidR="00C519A4" w:rsidRPr="005B2040">
          <w:rPr>
            <w:rStyle w:val="Hyperlink"/>
            <w:noProof/>
          </w:rPr>
          <w:t>Figure 2: The qualifications more likely to be held by those employed in creative occupations, 2016</w:t>
        </w:r>
        <w:r w:rsidR="00C519A4">
          <w:rPr>
            <w:noProof/>
            <w:webHidden/>
          </w:rPr>
          <w:tab/>
        </w:r>
        <w:r w:rsidR="00C519A4">
          <w:rPr>
            <w:noProof/>
            <w:webHidden/>
          </w:rPr>
          <w:fldChar w:fldCharType="begin"/>
        </w:r>
        <w:r w:rsidR="00C519A4">
          <w:rPr>
            <w:noProof/>
            <w:webHidden/>
          </w:rPr>
          <w:instrText xml:space="preserve"> PAGEREF _Toc532208387 \h </w:instrText>
        </w:r>
        <w:r w:rsidR="00C519A4">
          <w:rPr>
            <w:noProof/>
            <w:webHidden/>
          </w:rPr>
        </w:r>
        <w:r w:rsidR="00C519A4">
          <w:rPr>
            <w:noProof/>
            <w:webHidden/>
          </w:rPr>
          <w:fldChar w:fldCharType="separate"/>
        </w:r>
        <w:r w:rsidR="00A96F3F">
          <w:rPr>
            <w:noProof/>
            <w:webHidden/>
          </w:rPr>
          <w:t>10</w:t>
        </w:r>
        <w:r w:rsidR="00C519A4">
          <w:rPr>
            <w:noProof/>
            <w:webHidden/>
          </w:rPr>
          <w:fldChar w:fldCharType="end"/>
        </w:r>
      </w:hyperlink>
    </w:p>
    <w:p w:rsidR="00C519A4" w:rsidRDefault="000E442A">
      <w:pPr>
        <w:pStyle w:val="TOC4"/>
        <w:rPr>
          <w:noProof/>
          <w:lang w:eastAsia="en-AU"/>
        </w:rPr>
      </w:pPr>
      <w:hyperlink w:anchor="_Toc532208388" w:history="1">
        <w:r w:rsidR="00C519A4" w:rsidRPr="005B2040">
          <w:rPr>
            <w:rStyle w:val="Hyperlink"/>
            <w:noProof/>
          </w:rPr>
          <w:t>Table 3: List of creative skills, identified using qualification data</w:t>
        </w:r>
        <w:r w:rsidR="00C519A4">
          <w:rPr>
            <w:noProof/>
            <w:webHidden/>
          </w:rPr>
          <w:tab/>
        </w:r>
        <w:r w:rsidR="00C519A4">
          <w:rPr>
            <w:noProof/>
            <w:webHidden/>
          </w:rPr>
          <w:fldChar w:fldCharType="begin"/>
        </w:r>
        <w:r w:rsidR="00C519A4">
          <w:rPr>
            <w:noProof/>
            <w:webHidden/>
          </w:rPr>
          <w:instrText xml:space="preserve"> PAGEREF _Toc532208388 \h </w:instrText>
        </w:r>
        <w:r w:rsidR="00C519A4">
          <w:rPr>
            <w:noProof/>
            <w:webHidden/>
          </w:rPr>
        </w:r>
        <w:r w:rsidR="00C519A4">
          <w:rPr>
            <w:noProof/>
            <w:webHidden/>
          </w:rPr>
          <w:fldChar w:fldCharType="separate"/>
        </w:r>
        <w:r w:rsidR="00A96F3F">
          <w:rPr>
            <w:noProof/>
            <w:webHidden/>
          </w:rPr>
          <w:t>11</w:t>
        </w:r>
        <w:r w:rsidR="00C519A4">
          <w:rPr>
            <w:noProof/>
            <w:webHidden/>
          </w:rPr>
          <w:fldChar w:fldCharType="end"/>
        </w:r>
      </w:hyperlink>
    </w:p>
    <w:p w:rsidR="00C519A4" w:rsidRDefault="000E442A">
      <w:pPr>
        <w:pStyle w:val="TOC4"/>
        <w:rPr>
          <w:noProof/>
          <w:lang w:eastAsia="en-AU"/>
        </w:rPr>
      </w:pPr>
      <w:hyperlink w:anchor="_Toc532208389" w:history="1">
        <w:r w:rsidR="00C519A4" w:rsidRPr="005B2040">
          <w:rPr>
            <w:rStyle w:val="Hyperlink"/>
            <w:noProof/>
          </w:rPr>
          <w:t>Figure 3: Share of employees with creative qualifications, by industry, 2016</w:t>
        </w:r>
        <w:r w:rsidR="00C519A4">
          <w:rPr>
            <w:noProof/>
            <w:webHidden/>
          </w:rPr>
          <w:tab/>
        </w:r>
        <w:r w:rsidR="00C519A4">
          <w:rPr>
            <w:noProof/>
            <w:webHidden/>
          </w:rPr>
          <w:fldChar w:fldCharType="begin"/>
        </w:r>
        <w:r w:rsidR="00C519A4">
          <w:rPr>
            <w:noProof/>
            <w:webHidden/>
          </w:rPr>
          <w:instrText xml:space="preserve"> PAGEREF _Toc532208389 \h </w:instrText>
        </w:r>
        <w:r w:rsidR="00C519A4">
          <w:rPr>
            <w:noProof/>
            <w:webHidden/>
          </w:rPr>
        </w:r>
        <w:r w:rsidR="00C519A4">
          <w:rPr>
            <w:noProof/>
            <w:webHidden/>
          </w:rPr>
          <w:fldChar w:fldCharType="separate"/>
        </w:r>
        <w:r w:rsidR="00A96F3F">
          <w:rPr>
            <w:noProof/>
            <w:webHidden/>
          </w:rPr>
          <w:t>12</w:t>
        </w:r>
        <w:r w:rsidR="00C519A4">
          <w:rPr>
            <w:noProof/>
            <w:webHidden/>
          </w:rPr>
          <w:fldChar w:fldCharType="end"/>
        </w:r>
      </w:hyperlink>
    </w:p>
    <w:p w:rsidR="00C519A4" w:rsidRDefault="000E442A">
      <w:pPr>
        <w:pStyle w:val="TOC4"/>
        <w:rPr>
          <w:noProof/>
          <w:lang w:eastAsia="en-AU"/>
        </w:rPr>
      </w:pPr>
      <w:hyperlink w:anchor="_Toc532208390" w:history="1">
        <w:r w:rsidR="00C519A4" w:rsidRPr="005B2040">
          <w:rPr>
            <w:rStyle w:val="Hyperlink"/>
            <w:noProof/>
          </w:rPr>
          <w:t>Figure 4: Value of creative inputs used by different sectors, 2014–15</w:t>
        </w:r>
        <w:r w:rsidR="00C519A4">
          <w:rPr>
            <w:noProof/>
            <w:webHidden/>
          </w:rPr>
          <w:tab/>
        </w:r>
        <w:r w:rsidR="00C519A4">
          <w:rPr>
            <w:noProof/>
            <w:webHidden/>
          </w:rPr>
          <w:fldChar w:fldCharType="begin"/>
        </w:r>
        <w:r w:rsidR="00C519A4">
          <w:rPr>
            <w:noProof/>
            <w:webHidden/>
          </w:rPr>
          <w:instrText xml:space="preserve"> PAGEREF _Toc532208390 \h </w:instrText>
        </w:r>
        <w:r w:rsidR="00C519A4">
          <w:rPr>
            <w:noProof/>
            <w:webHidden/>
          </w:rPr>
        </w:r>
        <w:r w:rsidR="00C519A4">
          <w:rPr>
            <w:noProof/>
            <w:webHidden/>
          </w:rPr>
          <w:fldChar w:fldCharType="separate"/>
        </w:r>
        <w:r w:rsidR="00A96F3F">
          <w:rPr>
            <w:noProof/>
            <w:webHidden/>
          </w:rPr>
          <w:t>16</w:t>
        </w:r>
        <w:r w:rsidR="00C519A4">
          <w:rPr>
            <w:noProof/>
            <w:webHidden/>
          </w:rPr>
          <w:fldChar w:fldCharType="end"/>
        </w:r>
      </w:hyperlink>
    </w:p>
    <w:p w:rsidR="00C519A4" w:rsidRDefault="000E442A">
      <w:pPr>
        <w:pStyle w:val="TOC4"/>
        <w:rPr>
          <w:noProof/>
          <w:lang w:eastAsia="en-AU"/>
        </w:rPr>
      </w:pPr>
      <w:hyperlink w:anchor="_Toc532208391" w:history="1">
        <w:r w:rsidR="00C519A4" w:rsidRPr="005B2040">
          <w:rPr>
            <w:rStyle w:val="Hyperlink"/>
            <w:noProof/>
          </w:rPr>
          <w:t>Figure 5: Intensity of creative goods and services used in production, 2014–15</w:t>
        </w:r>
        <w:r w:rsidR="00C519A4">
          <w:rPr>
            <w:noProof/>
            <w:webHidden/>
          </w:rPr>
          <w:tab/>
        </w:r>
        <w:r w:rsidR="00C519A4">
          <w:rPr>
            <w:noProof/>
            <w:webHidden/>
          </w:rPr>
          <w:fldChar w:fldCharType="begin"/>
        </w:r>
        <w:r w:rsidR="00C519A4">
          <w:rPr>
            <w:noProof/>
            <w:webHidden/>
          </w:rPr>
          <w:instrText xml:space="preserve"> PAGEREF _Toc532208391 \h </w:instrText>
        </w:r>
        <w:r w:rsidR="00C519A4">
          <w:rPr>
            <w:noProof/>
            <w:webHidden/>
          </w:rPr>
        </w:r>
        <w:r w:rsidR="00C519A4">
          <w:rPr>
            <w:noProof/>
            <w:webHidden/>
          </w:rPr>
          <w:fldChar w:fldCharType="separate"/>
        </w:r>
        <w:r w:rsidR="00A96F3F">
          <w:rPr>
            <w:noProof/>
            <w:webHidden/>
          </w:rPr>
          <w:t>17</w:t>
        </w:r>
        <w:r w:rsidR="00C519A4">
          <w:rPr>
            <w:noProof/>
            <w:webHidden/>
          </w:rPr>
          <w:fldChar w:fldCharType="end"/>
        </w:r>
      </w:hyperlink>
    </w:p>
    <w:p w:rsidR="00C519A4" w:rsidRDefault="000E442A">
      <w:pPr>
        <w:pStyle w:val="TOC4"/>
        <w:rPr>
          <w:noProof/>
          <w:lang w:eastAsia="en-AU"/>
        </w:rPr>
      </w:pPr>
      <w:hyperlink w:anchor="_Toc532208392" w:history="1">
        <w:r w:rsidR="00C519A4" w:rsidRPr="005B2040">
          <w:rPr>
            <w:rStyle w:val="Hyperlink"/>
            <w:noProof/>
          </w:rPr>
          <w:t>Figure 6: Exports as a share of gross output, by industry, 2014–15</w:t>
        </w:r>
        <w:r w:rsidR="00C519A4">
          <w:rPr>
            <w:noProof/>
            <w:webHidden/>
          </w:rPr>
          <w:tab/>
        </w:r>
        <w:r w:rsidR="00C519A4">
          <w:rPr>
            <w:noProof/>
            <w:webHidden/>
          </w:rPr>
          <w:fldChar w:fldCharType="begin"/>
        </w:r>
        <w:r w:rsidR="00C519A4">
          <w:rPr>
            <w:noProof/>
            <w:webHidden/>
          </w:rPr>
          <w:instrText xml:space="preserve"> PAGEREF _Toc532208392 \h </w:instrText>
        </w:r>
        <w:r w:rsidR="00C519A4">
          <w:rPr>
            <w:noProof/>
            <w:webHidden/>
          </w:rPr>
        </w:r>
        <w:r w:rsidR="00C519A4">
          <w:rPr>
            <w:noProof/>
            <w:webHidden/>
          </w:rPr>
          <w:fldChar w:fldCharType="separate"/>
        </w:r>
        <w:r w:rsidR="00A96F3F">
          <w:rPr>
            <w:noProof/>
            <w:webHidden/>
          </w:rPr>
          <w:t>18</w:t>
        </w:r>
        <w:r w:rsidR="00C519A4">
          <w:rPr>
            <w:noProof/>
            <w:webHidden/>
          </w:rPr>
          <w:fldChar w:fldCharType="end"/>
        </w:r>
      </w:hyperlink>
    </w:p>
    <w:p w:rsidR="00C519A4" w:rsidRDefault="000E442A">
      <w:pPr>
        <w:pStyle w:val="TOC4"/>
        <w:rPr>
          <w:noProof/>
          <w:lang w:eastAsia="en-AU"/>
        </w:rPr>
      </w:pPr>
      <w:hyperlink w:anchor="_Toc532208393" w:history="1">
        <w:r w:rsidR="00C519A4" w:rsidRPr="005B2040">
          <w:rPr>
            <w:rStyle w:val="Hyperlink"/>
            <w:noProof/>
          </w:rPr>
          <w:t>Table A.1: List of creative occupations</w:t>
        </w:r>
        <w:r w:rsidR="00C519A4">
          <w:rPr>
            <w:noProof/>
            <w:webHidden/>
          </w:rPr>
          <w:tab/>
        </w:r>
        <w:r w:rsidR="00C519A4">
          <w:rPr>
            <w:noProof/>
            <w:webHidden/>
          </w:rPr>
          <w:fldChar w:fldCharType="begin"/>
        </w:r>
        <w:r w:rsidR="00C519A4">
          <w:rPr>
            <w:noProof/>
            <w:webHidden/>
          </w:rPr>
          <w:instrText xml:space="preserve"> PAGEREF _Toc532208393 \h </w:instrText>
        </w:r>
        <w:r w:rsidR="00C519A4">
          <w:rPr>
            <w:noProof/>
            <w:webHidden/>
          </w:rPr>
        </w:r>
        <w:r w:rsidR="00C519A4">
          <w:rPr>
            <w:noProof/>
            <w:webHidden/>
          </w:rPr>
          <w:fldChar w:fldCharType="separate"/>
        </w:r>
        <w:r w:rsidR="00A96F3F">
          <w:rPr>
            <w:noProof/>
            <w:webHidden/>
          </w:rPr>
          <w:t>20</w:t>
        </w:r>
        <w:r w:rsidR="00C519A4">
          <w:rPr>
            <w:noProof/>
            <w:webHidden/>
          </w:rPr>
          <w:fldChar w:fldCharType="end"/>
        </w:r>
      </w:hyperlink>
    </w:p>
    <w:p w:rsidR="00C519A4" w:rsidRDefault="000E442A">
      <w:pPr>
        <w:pStyle w:val="TOC4"/>
        <w:rPr>
          <w:noProof/>
          <w:lang w:eastAsia="en-AU"/>
        </w:rPr>
      </w:pPr>
      <w:hyperlink w:anchor="_Toc532208394" w:history="1">
        <w:r w:rsidR="00C519A4" w:rsidRPr="005B2040">
          <w:rPr>
            <w:rStyle w:val="Hyperlink"/>
            <w:noProof/>
          </w:rPr>
          <w:t>Table A.2: List of creative industries</w:t>
        </w:r>
        <w:r w:rsidR="00C519A4">
          <w:rPr>
            <w:noProof/>
            <w:webHidden/>
          </w:rPr>
          <w:tab/>
        </w:r>
        <w:r w:rsidR="00C519A4">
          <w:rPr>
            <w:noProof/>
            <w:webHidden/>
          </w:rPr>
          <w:fldChar w:fldCharType="begin"/>
        </w:r>
        <w:r w:rsidR="00C519A4">
          <w:rPr>
            <w:noProof/>
            <w:webHidden/>
          </w:rPr>
          <w:instrText xml:space="preserve"> PAGEREF _Toc532208394 \h </w:instrText>
        </w:r>
        <w:r w:rsidR="00C519A4">
          <w:rPr>
            <w:noProof/>
            <w:webHidden/>
          </w:rPr>
        </w:r>
        <w:r w:rsidR="00C519A4">
          <w:rPr>
            <w:noProof/>
            <w:webHidden/>
          </w:rPr>
          <w:fldChar w:fldCharType="separate"/>
        </w:r>
        <w:r w:rsidR="00A96F3F">
          <w:rPr>
            <w:noProof/>
            <w:webHidden/>
          </w:rPr>
          <w:t>23</w:t>
        </w:r>
        <w:r w:rsidR="00C519A4">
          <w:rPr>
            <w:noProof/>
            <w:webHidden/>
          </w:rPr>
          <w:fldChar w:fldCharType="end"/>
        </w:r>
      </w:hyperlink>
    </w:p>
    <w:p w:rsidR="00C519A4" w:rsidRDefault="000E442A">
      <w:pPr>
        <w:pStyle w:val="TOC4"/>
        <w:rPr>
          <w:noProof/>
          <w:lang w:eastAsia="en-AU"/>
        </w:rPr>
      </w:pPr>
      <w:hyperlink w:anchor="_Toc532208395" w:history="1">
        <w:r w:rsidR="00C519A4" w:rsidRPr="005B2040">
          <w:rPr>
            <w:rStyle w:val="Hyperlink"/>
            <w:noProof/>
          </w:rPr>
          <w:t>Table A.3: List of creative skills, identified using qualification data</w:t>
        </w:r>
        <w:r w:rsidR="00C519A4">
          <w:rPr>
            <w:noProof/>
            <w:webHidden/>
          </w:rPr>
          <w:tab/>
        </w:r>
        <w:r w:rsidR="00C519A4">
          <w:rPr>
            <w:noProof/>
            <w:webHidden/>
          </w:rPr>
          <w:fldChar w:fldCharType="begin"/>
        </w:r>
        <w:r w:rsidR="00C519A4">
          <w:rPr>
            <w:noProof/>
            <w:webHidden/>
          </w:rPr>
          <w:instrText xml:space="preserve"> PAGEREF _Toc532208395 \h </w:instrText>
        </w:r>
        <w:r w:rsidR="00C519A4">
          <w:rPr>
            <w:noProof/>
            <w:webHidden/>
          </w:rPr>
        </w:r>
        <w:r w:rsidR="00C519A4">
          <w:rPr>
            <w:noProof/>
            <w:webHidden/>
          </w:rPr>
          <w:fldChar w:fldCharType="separate"/>
        </w:r>
        <w:r w:rsidR="00A96F3F">
          <w:rPr>
            <w:noProof/>
            <w:webHidden/>
          </w:rPr>
          <w:t>24</w:t>
        </w:r>
        <w:r w:rsidR="00C519A4">
          <w:rPr>
            <w:noProof/>
            <w:webHidden/>
          </w:rPr>
          <w:fldChar w:fldCharType="end"/>
        </w:r>
      </w:hyperlink>
    </w:p>
    <w:p w:rsidR="00C519A4" w:rsidRDefault="000E442A">
      <w:pPr>
        <w:pStyle w:val="TOC4"/>
        <w:rPr>
          <w:noProof/>
          <w:lang w:eastAsia="en-AU"/>
        </w:rPr>
      </w:pPr>
      <w:hyperlink w:anchor="_Toc532208396" w:history="1">
        <w:r w:rsidR="00C519A4" w:rsidRPr="005B2040">
          <w:rPr>
            <w:rStyle w:val="Hyperlink"/>
            <w:noProof/>
          </w:rPr>
          <w:t>Table B.1: List of creative industries from input-output tables</w:t>
        </w:r>
        <w:r w:rsidR="00C519A4">
          <w:rPr>
            <w:noProof/>
            <w:webHidden/>
          </w:rPr>
          <w:tab/>
        </w:r>
        <w:r w:rsidR="00C519A4">
          <w:rPr>
            <w:noProof/>
            <w:webHidden/>
          </w:rPr>
          <w:fldChar w:fldCharType="begin"/>
        </w:r>
        <w:r w:rsidR="00C519A4">
          <w:rPr>
            <w:noProof/>
            <w:webHidden/>
          </w:rPr>
          <w:instrText xml:space="preserve"> PAGEREF _Toc532208396 \h </w:instrText>
        </w:r>
        <w:r w:rsidR="00C519A4">
          <w:rPr>
            <w:noProof/>
            <w:webHidden/>
          </w:rPr>
        </w:r>
        <w:r w:rsidR="00C519A4">
          <w:rPr>
            <w:noProof/>
            <w:webHidden/>
          </w:rPr>
          <w:fldChar w:fldCharType="separate"/>
        </w:r>
        <w:r w:rsidR="00A96F3F">
          <w:rPr>
            <w:noProof/>
            <w:webHidden/>
          </w:rPr>
          <w:t>26</w:t>
        </w:r>
        <w:r w:rsidR="00C519A4">
          <w:rPr>
            <w:noProof/>
            <w:webHidden/>
          </w:rPr>
          <w:fldChar w:fldCharType="end"/>
        </w:r>
      </w:hyperlink>
    </w:p>
    <w:p w:rsidR="00597F9B" w:rsidRDefault="00705B86" w:rsidP="00400E77">
      <w:pPr>
        <w:rPr>
          <w:lang w:eastAsia="en-US"/>
        </w:rPr>
      </w:pPr>
      <w:r>
        <w:rPr>
          <w:lang w:eastAsia="en-US"/>
        </w:rPr>
        <w:fldChar w:fldCharType="end"/>
      </w:r>
    </w:p>
    <w:p w:rsidR="00BB2DE6" w:rsidRDefault="00BB2DE6">
      <w:pPr>
        <w:spacing w:after="160" w:line="259" w:lineRule="auto"/>
        <w:rPr>
          <w:lang w:eastAsia="en-US"/>
        </w:rPr>
        <w:sectPr w:rsidR="00BB2DE6" w:rsidSect="00BF7E49">
          <w:headerReference w:type="even" r:id="rId24"/>
          <w:headerReference w:type="default" r:id="rId25"/>
          <w:footerReference w:type="even" r:id="rId26"/>
          <w:footerReference w:type="default" r:id="rId27"/>
          <w:headerReference w:type="first" r:id="rId28"/>
          <w:footnotePr>
            <w:numFmt w:val="lowerRoman"/>
          </w:footnotePr>
          <w:endnotePr>
            <w:numFmt w:val="decimal"/>
          </w:endnotePr>
          <w:type w:val="continuous"/>
          <w:pgSz w:w="11906" w:h="16838"/>
          <w:pgMar w:top="1843" w:right="1133" w:bottom="0" w:left="1440" w:header="0" w:footer="567" w:gutter="0"/>
          <w:pgNumType w:fmt="lowerRoman"/>
          <w:cols w:space="708"/>
          <w:docGrid w:linePitch="360"/>
        </w:sectPr>
      </w:pPr>
    </w:p>
    <w:p w:rsidR="00BB2DE6" w:rsidRDefault="00BB2DE6">
      <w:pPr>
        <w:spacing w:after="160" w:line="259" w:lineRule="auto"/>
      </w:pPr>
      <w:bookmarkStart w:id="4" w:name="_Toc531801731"/>
      <w:r>
        <w:br w:type="page"/>
      </w:r>
    </w:p>
    <w:p w:rsidR="00BB2DE6" w:rsidRDefault="00BB2DE6" w:rsidP="00BB2DE6">
      <w:pPr>
        <w:sectPr w:rsidR="00BB2DE6" w:rsidSect="007B2D94">
          <w:headerReference w:type="even" r:id="rId29"/>
          <w:headerReference w:type="first" r:id="rId30"/>
          <w:footerReference w:type="first" r:id="rId31"/>
          <w:footnotePr>
            <w:numFmt w:val="lowerRoman"/>
          </w:footnotePr>
          <w:endnotePr>
            <w:numFmt w:val="decimal"/>
          </w:endnotePr>
          <w:type w:val="continuous"/>
          <w:pgSz w:w="11906" w:h="16838"/>
          <w:pgMar w:top="1985" w:right="1133" w:bottom="1276" w:left="1440" w:header="0" w:footer="567" w:gutter="0"/>
          <w:pgNumType w:start="1"/>
          <w:cols w:space="708"/>
          <w:docGrid w:linePitch="360"/>
        </w:sectPr>
      </w:pPr>
    </w:p>
    <w:p w:rsidR="002117E6" w:rsidRDefault="00315ED7" w:rsidP="002117E6">
      <w:pPr>
        <w:pStyle w:val="Heading2"/>
      </w:pPr>
      <w:r>
        <w:lastRenderedPageBreak/>
        <w:t>Executive summary</w:t>
      </w:r>
      <w:bookmarkEnd w:id="4"/>
    </w:p>
    <w:p w:rsidR="00D511E2" w:rsidRDefault="009C2D6B" w:rsidP="009C2D6B">
      <w:r>
        <w:t>New technologies are having, and will continue to have, a pervasive effect on the future of work. As a consequence, employment in digital-intensive industries has more than doubled over the past 30 years</w:t>
      </w:r>
      <w:r w:rsidR="00D511E2">
        <w:t>.</w:t>
      </w:r>
    </w:p>
    <w:p w:rsidR="009C2D6B" w:rsidRDefault="009C2D6B" w:rsidP="009C2D6B">
      <w:r>
        <w:t>However, the effects are broader than just these industries. The majority of employment growth over that period has been in occupations that cannot easily be automated. This has seen an increase in what are termed ‘non-routine cognitive jobs’ which occur in fields such as education, healthcare, professional services, arts and design.</w:t>
      </w:r>
      <w:r w:rsidR="00AA60C1">
        <w:t xml:space="preserve"> This is also reflected in the growth of </w:t>
      </w:r>
      <w:r w:rsidR="00A96F3F">
        <w:t>those employed</w:t>
      </w:r>
      <w:r w:rsidR="00AA60C1">
        <w:t xml:space="preserve"> in creative occupations, which grew at around double the rate of other occupations between 2011 and 2016.</w:t>
      </w:r>
    </w:p>
    <w:p w:rsidR="00D511E2" w:rsidRDefault="009C2D6B" w:rsidP="009C2D6B">
      <w:r>
        <w:t xml:space="preserve">As this trend continues, new employment opportunities are </w:t>
      </w:r>
      <w:r w:rsidR="00881D29">
        <w:t xml:space="preserve">more </w:t>
      </w:r>
      <w:r>
        <w:t xml:space="preserve">likely to require skills which are </w:t>
      </w:r>
      <w:r w:rsidR="009A7083">
        <w:t>resistant to mechanisation</w:t>
      </w:r>
      <w:r>
        <w:t>.</w:t>
      </w:r>
      <w:r w:rsidR="00FB1623">
        <w:t xml:space="preserve"> </w:t>
      </w:r>
      <w:r w:rsidR="00280CE7">
        <w:t xml:space="preserve">Creative skills, requiring original thought and innovation, are particularly resistant and are likely to face relatively higher demand in the future. </w:t>
      </w:r>
      <w:r w:rsidR="00FB1623">
        <w:t xml:space="preserve">This paper contributes to the evidence base on the </w:t>
      </w:r>
      <w:r w:rsidR="00B714FC">
        <w:t>importance of</w:t>
      </w:r>
      <w:r w:rsidR="00FB1623">
        <w:t xml:space="preserve"> creative skills for future economic outcomes</w:t>
      </w:r>
      <w:r w:rsidR="00D511E2">
        <w:t>.</w:t>
      </w:r>
    </w:p>
    <w:p w:rsidR="009C2D6B" w:rsidRDefault="00280CE7" w:rsidP="009C2D6B">
      <w:r>
        <w:t>A</w:t>
      </w:r>
      <w:r w:rsidR="009C2D6B">
        <w:t xml:space="preserve"> common misconception is that these skills are predominantly found solely in ‘creative’ fields, such as the performing and visual arts. </w:t>
      </w:r>
      <w:r>
        <w:t>In fact</w:t>
      </w:r>
      <w:r w:rsidR="009C2D6B">
        <w:t>, 9.5 per</w:t>
      </w:r>
      <w:r w:rsidR="00172E5F">
        <w:t xml:space="preserve"> cent of those employed</w:t>
      </w:r>
      <w:r w:rsidR="009A7083">
        <w:t xml:space="preserve"> in Australia</w:t>
      </w:r>
      <w:r w:rsidR="00172E5F">
        <w:t xml:space="preserve"> in 2016</w:t>
      </w:r>
      <w:r w:rsidR="00D511E2">
        <w:t>—</w:t>
      </w:r>
      <w:r w:rsidR="00172E5F">
        <w:t>around a million workers</w:t>
      </w:r>
      <w:r w:rsidR="00D511E2">
        <w:t>—</w:t>
      </w:r>
      <w:r w:rsidR="009C2D6B">
        <w:t>held a ‘creative’ qualification</w:t>
      </w:r>
      <w:r w:rsidR="00830D91">
        <w:t xml:space="preserve"> as their highest level of qualification</w:t>
      </w:r>
      <w:r w:rsidR="009C2D6B">
        <w:t>. The</w:t>
      </w:r>
      <w:r w:rsidR="00484670">
        <w:t xml:space="preserve"> most prevalent of the</w:t>
      </w:r>
      <w:r w:rsidR="009C2D6B">
        <w:t>se qualifications included:</w:t>
      </w:r>
    </w:p>
    <w:p w:rsidR="009C2D6B" w:rsidRDefault="009C2D6B" w:rsidP="00C019B7">
      <w:pPr>
        <w:pStyle w:val="Bulletlevel1"/>
      </w:pPr>
      <w:r>
        <w:t>communication and media studies, graphic and design studies, visual arts and crafts and performing arts</w:t>
      </w:r>
    </w:p>
    <w:p w:rsidR="009C2D6B" w:rsidRDefault="009C2D6B" w:rsidP="00C019B7">
      <w:pPr>
        <w:pStyle w:val="Bulletlevel1"/>
      </w:pPr>
      <w:r>
        <w:t>management and commerce, particularly sales and marketing</w:t>
      </w:r>
    </w:p>
    <w:p w:rsidR="009C2D6B" w:rsidRDefault="009C2D6B" w:rsidP="00C019B7">
      <w:pPr>
        <w:pStyle w:val="Bulletlevel1"/>
      </w:pPr>
      <w:r>
        <w:t>information technology, including computer science</w:t>
      </w:r>
    </w:p>
    <w:p w:rsidR="009C2D6B" w:rsidRDefault="009C2D6B" w:rsidP="00C019B7">
      <w:pPr>
        <w:pStyle w:val="Bulletlevel1"/>
      </w:pPr>
      <w:r>
        <w:t>architecture and building.</w:t>
      </w:r>
    </w:p>
    <w:p w:rsidR="009C2D6B" w:rsidRDefault="00BD50EC" w:rsidP="009C2D6B">
      <w:r>
        <w:t>This underestimate</w:t>
      </w:r>
      <w:r w:rsidR="0088229E">
        <w:t>s</w:t>
      </w:r>
      <w:r>
        <w:t xml:space="preserve"> the true prevalence of these creative skills. </w:t>
      </w:r>
      <w:r w:rsidR="00280CE7">
        <w:t>This is because the</w:t>
      </w:r>
      <w:r w:rsidR="00FA059C">
        <w:t xml:space="preserve"> </w:t>
      </w:r>
      <w:r>
        <w:t xml:space="preserve">data </w:t>
      </w:r>
      <w:r w:rsidR="00280CE7">
        <w:t>includes</w:t>
      </w:r>
      <w:r w:rsidR="007C3116">
        <w:t xml:space="preserve"> </w:t>
      </w:r>
      <w:r>
        <w:t>formal qualifications (including vocational and non-award qualifications</w:t>
      </w:r>
      <w:r w:rsidR="00280CE7">
        <w:t>) not</w:t>
      </w:r>
      <w:r>
        <w:t xml:space="preserve"> </w:t>
      </w:r>
      <w:r w:rsidR="009C2D6B">
        <w:t>self-taught skills and ‘learning by doing’</w:t>
      </w:r>
      <w:r w:rsidR="00881D29">
        <w:t>, which</w:t>
      </w:r>
      <w:r w:rsidR="004D5C93" w:rsidDel="004D5C93">
        <w:t xml:space="preserve"> </w:t>
      </w:r>
      <w:r w:rsidR="009C2D6B">
        <w:t>are essential to creators</w:t>
      </w:r>
      <w:r w:rsidR="008A0A2E">
        <w:t xml:space="preserve"> and creative industries</w:t>
      </w:r>
      <w:r>
        <w:t>.</w:t>
      </w:r>
    </w:p>
    <w:p w:rsidR="009C2D6B" w:rsidRDefault="009C2D6B" w:rsidP="009C2D6B">
      <w:r>
        <w:t>Creative skills already have a substantial influence on the economy</w:t>
      </w:r>
      <w:r w:rsidR="00C218AA">
        <w:t>.</w:t>
      </w:r>
      <w:r w:rsidR="009A7083">
        <w:t xml:space="preserve"> Creative skills:</w:t>
      </w:r>
    </w:p>
    <w:p w:rsidR="009C2D6B" w:rsidRDefault="00C56765" w:rsidP="009A7083">
      <w:pPr>
        <w:pStyle w:val="Bulletlevel1"/>
      </w:pPr>
      <w:r>
        <w:t>A</w:t>
      </w:r>
      <w:r w:rsidR="009C2D6B">
        <w:t xml:space="preserve">re critical to industries that provide inputs to produce a wide range of goods and services. In </w:t>
      </w:r>
      <w:r w:rsidR="00BA70F9">
        <w:t>2014–15</w:t>
      </w:r>
      <w:r w:rsidR="009C2D6B">
        <w:t xml:space="preserve">, </w:t>
      </w:r>
      <w:r w:rsidR="00C218AA">
        <w:t>Australian businesses relied on around $87 b</w:t>
      </w:r>
      <w:r w:rsidR="002915CB">
        <w:t xml:space="preserve">illion worth of creative </w:t>
      </w:r>
      <w:r w:rsidR="00B7176E">
        <w:t xml:space="preserve">industries </w:t>
      </w:r>
      <w:r w:rsidR="002915CB">
        <w:t>inputs</w:t>
      </w:r>
      <w:r>
        <w:t>.</w:t>
      </w:r>
    </w:p>
    <w:p w:rsidR="009C2D6B" w:rsidRDefault="00C75C80" w:rsidP="009A7083">
      <w:pPr>
        <w:pStyle w:val="Bulletlevel1"/>
      </w:pPr>
      <w:r>
        <w:t>Have been</w:t>
      </w:r>
      <w:r w:rsidR="009C2D6B">
        <w:t xml:space="preserve"> integral to</w:t>
      </w:r>
      <w:r>
        <w:t xml:space="preserve"> fast-growing</w:t>
      </w:r>
      <w:r w:rsidR="009C2D6B">
        <w:t xml:space="preserve"> industries over the past decade. Around a quarter of those employed in Information, Media and Telecommunications, and a fifth of those employed in Professional, Scientific and Technical services hold a </w:t>
      </w:r>
      <w:r w:rsidR="00C218AA">
        <w:t xml:space="preserve">formal </w:t>
      </w:r>
      <w:r w:rsidR="009C2D6B">
        <w:t>qualification in a creative skill</w:t>
      </w:r>
      <w:r w:rsidR="00C56765">
        <w:t>.</w:t>
      </w:r>
    </w:p>
    <w:p w:rsidR="009C2D6B" w:rsidRDefault="00C56765" w:rsidP="009A7083">
      <w:pPr>
        <w:pStyle w:val="Bulletlevel1"/>
      </w:pPr>
      <w:r>
        <w:t>A</w:t>
      </w:r>
      <w:r w:rsidR="007C3116">
        <w:t>re significant in some innovation-intensive industries.</w:t>
      </w:r>
      <w:r w:rsidR="001531C1">
        <w:t xml:space="preserve"> </w:t>
      </w:r>
      <w:r w:rsidR="001750B1">
        <w:t>Of the top five most innovation</w:t>
      </w:r>
      <w:r w:rsidR="001531C1">
        <w:t>-active industries,</w:t>
      </w:r>
      <w:r w:rsidR="009C2D6B">
        <w:t xml:space="preserve"> </w:t>
      </w:r>
      <w:r w:rsidR="001531C1">
        <w:t>between 10 and 2</w:t>
      </w:r>
      <w:r w:rsidR="007C3116">
        <w:t>8</w:t>
      </w:r>
      <w:r w:rsidR="001531C1">
        <w:t xml:space="preserve"> per cent of employees hold a creative qualification</w:t>
      </w:r>
      <w:r>
        <w:t>.</w:t>
      </w:r>
    </w:p>
    <w:p w:rsidR="009C2D6B" w:rsidRDefault="00C56765" w:rsidP="009A7083">
      <w:pPr>
        <w:pStyle w:val="Bulletlevel1"/>
      </w:pPr>
      <w:r>
        <w:t>S</w:t>
      </w:r>
      <w:r w:rsidR="009C2D6B">
        <w:t xml:space="preserve">upport Australia’s participation in the global economy. </w:t>
      </w:r>
      <w:r w:rsidR="007C3116">
        <w:t xml:space="preserve">The share of exports in what Australia produces that can be attributed to complete or partially creative industries is 4.5 </w:t>
      </w:r>
      <w:r w:rsidR="002915CB">
        <w:t>per cent</w:t>
      </w:r>
      <w:r>
        <w:t>.</w:t>
      </w:r>
    </w:p>
    <w:p w:rsidR="00D511E2" w:rsidRDefault="00C56765" w:rsidP="009A7083">
      <w:pPr>
        <w:pStyle w:val="Bulletlevel1"/>
      </w:pPr>
      <w:r>
        <w:lastRenderedPageBreak/>
        <w:t>W</w:t>
      </w:r>
      <w:r w:rsidR="009C2D6B">
        <w:t>ill be vit</w:t>
      </w:r>
      <w:r w:rsidR="00E240B1">
        <w:t xml:space="preserve">al to future employment growth. </w:t>
      </w:r>
      <w:r w:rsidR="00D35480">
        <w:t>Around</w:t>
      </w:r>
      <w:r w:rsidR="00E240B1">
        <w:t xml:space="preserve"> one in seven workers currently in the industries projected to grow the fastest over the next five years hold</w:t>
      </w:r>
      <w:r w:rsidR="0017056B">
        <w:t>s</w:t>
      </w:r>
      <w:r w:rsidR="00E240B1">
        <w:t xml:space="preserve"> a creative qualification</w:t>
      </w:r>
      <w:r w:rsidR="00D511E2">
        <w:t>.</w:t>
      </w:r>
    </w:p>
    <w:p w:rsidR="00830D91" w:rsidRDefault="009C2D6B" w:rsidP="003D1A35">
      <w:r>
        <w:t>As the trend to automation continues, so does the likelihood that expanding industries will rely on creative skills. Understanding their role and influence will be critical to positioning Australia to benefit fully from new technologies and sources of growth.</w:t>
      </w:r>
      <w:bookmarkStart w:id="5" w:name="_Toc475458959"/>
    </w:p>
    <w:p w:rsidR="00097414" w:rsidRDefault="00097414" w:rsidP="005F44EF">
      <w:pPr>
        <w:pStyle w:val="Heading2"/>
      </w:pPr>
      <w:bookmarkStart w:id="6" w:name="_Toc531801732"/>
      <w:r>
        <w:lastRenderedPageBreak/>
        <w:t xml:space="preserve">Automation is </w:t>
      </w:r>
      <w:r w:rsidR="008F59C1">
        <w:t>changing</w:t>
      </w:r>
      <w:r>
        <w:t xml:space="preserve"> skills</w:t>
      </w:r>
      <w:bookmarkEnd w:id="6"/>
    </w:p>
    <w:p w:rsidR="003B30C1" w:rsidRDefault="003B30C1" w:rsidP="00C019B7">
      <w:pPr>
        <w:pStyle w:val="Heading3"/>
      </w:pPr>
      <w:r>
        <w:t>Key points:</w:t>
      </w:r>
    </w:p>
    <w:p w:rsidR="00D511E2" w:rsidRDefault="00D409B6" w:rsidP="003B30C1">
      <w:pPr>
        <w:pStyle w:val="Bulletlevel1"/>
      </w:pPr>
      <w:r>
        <w:t>Technological change</w:t>
      </w:r>
      <w:r w:rsidR="002D52D0">
        <w:t xml:space="preserve"> </w:t>
      </w:r>
      <w:r>
        <w:t xml:space="preserve">is affecting the nature of work in Australia and </w:t>
      </w:r>
      <w:r w:rsidR="008F59C1">
        <w:t>other countries</w:t>
      </w:r>
      <w:r w:rsidR="00D511E2">
        <w:t>.</w:t>
      </w:r>
    </w:p>
    <w:p w:rsidR="00D511E2" w:rsidRDefault="002D52D0" w:rsidP="003B30C1">
      <w:pPr>
        <w:pStyle w:val="Bulletlevel1"/>
      </w:pPr>
      <w:r>
        <w:t xml:space="preserve">While </w:t>
      </w:r>
      <w:r w:rsidR="007C3116">
        <w:t>predictions</w:t>
      </w:r>
      <w:r w:rsidR="003E2FAC">
        <w:t xml:space="preserve"> </w:t>
      </w:r>
      <w:r w:rsidR="00C74856">
        <w:t xml:space="preserve">vary about </w:t>
      </w:r>
      <w:r>
        <w:t>how the nature of work will change</w:t>
      </w:r>
      <w:r w:rsidR="007C3116">
        <w:t>, many suggest that</w:t>
      </w:r>
      <w:r w:rsidR="003E2FAC">
        <w:t xml:space="preserve"> </w:t>
      </w:r>
      <w:r w:rsidR="00974314">
        <w:t>technological change will continue or accelerate the trend of automation of routine or ‘non</w:t>
      </w:r>
      <w:r w:rsidR="003E2FAC">
        <w:noBreakHyphen/>
      </w:r>
      <w:r w:rsidR="00974314">
        <w:t>cognitive’ roles and occupations</w:t>
      </w:r>
      <w:r w:rsidR="00D511E2">
        <w:t>.</w:t>
      </w:r>
    </w:p>
    <w:p w:rsidR="00D409B6" w:rsidRDefault="008F59C1" w:rsidP="003B30C1">
      <w:pPr>
        <w:pStyle w:val="Bulletlevel1"/>
      </w:pPr>
      <w:r>
        <w:t>This implies</w:t>
      </w:r>
      <w:r w:rsidR="007173AD">
        <w:t xml:space="preserve"> that there will be relatively higher demand for occupations that are harder to automate, which in turn will have an impact on demand for different skills in the future.</w:t>
      </w:r>
    </w:p>
    <w:p w:rsidR="00097414" w:rsidRDefault="00097414" w:rsidP="00097414">
      <w:pPr>
        <w:pStyle w:val="Heading3"/>
      </w:pPr>
      <w:bookmarkStart w:id="7" w:name="_Toc531801733"/>
      <w:r>
        <w:t>Automation is shaping the future of work</w:t>
      </w:r>
      <w:bookmarkEnd w:id="7"/>
    </w:p>
    <w:p w:rsidR="00097414" w:rsidRDefault="0043583D" w:rsidP="00097414">
      <w:r>
        <w:t>The</w:t>
      </w:r>
      <w:r w:rsidR="00905392">
        <w:t xml:space="preserve"> </w:t>
      </w:r>
      <w:r w:rsidR="00097414" w:rsidRPr="003258E1">
        <w:t>nature of work</w:t>
      </w:r>
      <w:r w:rsidR="00D511E2">
        <w:t>—</w:t>
      </w:r>
      <w:r w:rsidR="00905392">
        <w:t xml:space="preserve">the occupations, skills, methods of organisation and </w:t>
      </w:r>
      <w:r>
        <w:t>its</w:t>
      </w:r>
      <w:r w:rsidR="00905392">
        <w:t xml:space="preserve"> impact on individuals and society</w:t>
      </w:r>
      <w:r w:rsidR="00D511E2">
        <w:t>—</w:t>
      </w:r>
      <w:r>
        <w:t>is</w:t>
      </w:r>
      <w:r w:rsidR="00905392">
        <w:t xml:space="preserve"> </w:t>
      </w:r>
      <w:r w:rsidR="00097414" w:rsidRPr="003258E1">
        <w:t>changing.</w:t>
      </w:r>
      <w:r w:rsidR="00905392">
        <w:rPr>
          <w:rStyle w:val="EndnoteReference"/>
        </w:rPr>
        <w:endnoteReference w:id="2"/>
      </w:r>
      <w:r w:rsidR="00097414" w:rsidRPr="003258E1">
        <w:t xml:space="preserve"> New technologies</w:t>
      </w:r>
      <w:r w:rsidR="00D511E2">
        <w:t>—</w:t>
      </w:r>
      <w:r w:rsidR="00097414" w:rsidRPr="003258E1">
        <w:t>including interconnected collaborative robots, machine learning, artificial intelligence (AI), and the internet of things (IoT)</w:t>
      </w:r>
      <w:r w:rsidR="00D511E2">
        <w:t>—</w:t>
      </w:r>
      <w:r w:rsidR="00097414" w:rsidRPr="003258E1">
        <w:t>are transforming the production of goods and services. These changes are expected to be far-reaching, with some describing the scale of change as the ‘Fourth Industrial Revolution’.</w:t>
      </w:r>
      <w:r w:rsidR="00097414" w:rsidRPr="003258E1">
        <w:rPr>
          <w:vertAlign w:val="superscript"/>
        </w:rPr>
        <w:endnoteReference w:id="3"/>
      </w:r>
    </w:p>
    <w:p w:rsidR="0043583D" w:rsidRDefault="00097414" w:rsidP="00097414">
      <w:r>
        <w:t>Robots and computers now have the capacity to perform routine tasks more efficiently than human workers.</w:t>
      </w:r>
      <w:r>
        <w:rPr>
          <w:rStyle w:val="EndnoteReference"/>
        </w:rPr>
        <w:endnoteReference w:id="4"/>
      </w:r>
      <w:r>
        <w:t xml:space="preserve"> These activities generally include repetitive and predictable tasks in highly structured environments, such as manufacturing processes.</w:t>
      </w:r>
      <w:r>
        <w:rPr>
          <w:rStyle w:val="EndnoteReference"/>
        </w:rPr>
        <w:endnoteReference w:id="5"/>
      </w:r>
    </w:p>
    <w:p w:rsidR="0043583D" w:rsidRDefault="00097414" w:rsidP="00097414">
      <w:r>
        <w:t>However, with recent technological developments, robots and computers are increasingly able to perform complex activities requiring cognitive capabilities.</w:t>
      </w:r>
      <w:r>
        <w:rPr>
          <w:rStyle w:val="EndnoteReference"/>
        </w:rPr>
        <w:endnoteReference w:id="6"/>
      </w:r>
      <w:r>
        <w:t xml:space="preserve"> For example, developments in AI, robotics and other digital technologies are producing innovations such as driverless cars.</w:t>
      </w:r>
      <w:r>
        <w:rPr>
          <w:rStyle w:val="EndnoteReference"/>
        </w:rPr>
        <w:endnoteReference w:id="7"/>
      </w:r>
    </w:p>
    <w:p w:rsidR="00097414" w:rsidRDefault="00097414" w:rsidP="00097414">
      <w:r w:rsidRPr="00A503C6">
        <w:t xml:space="preserve">This has </w:t>
      </w:r>
      <w:r w:rsidR="001B4261">
        <w:t xml:space="preserve">prompted </w:t>
      </w:r>
      <w:r w:rsidR="007841F2">
        <w:t>a range of studies</w:t>
      </w:r>
      <w:r w:rsidRPr="00A503C6">
        <w:t xml:space="preserve"> about the future of work</w:t>
      </w:r>
      <w:r w:rsidR="007C3116">
        <w:t xml:space="preserve">, </w:t>
      </w:r>
      <w:r w:rsidRPr="00A503C6">
        <w:t>especially whether particular occupations are at</w:t>
      </w:r>
      <w:r>
        <w:t xml:space="preserve"> risk of automation (table </w:t>
      </w:r>
      <w:r w:rsidR="0098638D">
        <w:t>1</w:t>
      </w:r>
      <w:r>
        <w:t>)</w:t>
      </w:r>
      <w:r w:rsidR="00C85FB5">
        <w:t>.</w:t>
      </w:r>
    </w:p>
    <w:p w:rsidR="00097414" w:rsidRDefault="0098638D" w:rsidP="00B714FC">
      <w:pPr>
        <w:pStyle w:val="Tablefigureheading"/>
      </w:pPr>
      <w:bookmarkStart w:id="8" w:name="_Toc532208384"/>
      <w:r>
        <w:t>Table 1</w:t>
      </w:r>
      <w:r w:rsidR="00097414">
        <w:t>: Key studies that have examined the impact of automation on workforces</w:t>
      </w:r>
      <w:bookmarkEnd w:id="8"/>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1: Key studies that have examined the impact of automation on workforces"/>
      </w:tblPr>
      <w:tblGrid>
        <w:gridCol w:w="2127"/>
        <w:gridCol w:w="7087"/>
      </w:tblGrid>
      <w:tr w:rsidR="00097414" w:rsidTr="00097414">
        <w:trPr>
          <w:cantSplit/>
          <w:tblHeader/>
        </w:trPr>
        <w:tc>
          <w:tcPr>
            <w:tcW w:w="2127" w:type="dxa"/>
            <w:tcBorders>
              <w:top w:val="nil"/>
              <w:left w:val="nil"/>
              <w:bottom w:val="thickThinLargeGap" w:sz="24" w:space="0" w:color="auto"/>
              <w:right w:val="nil"/>
            </w:tcBorders>
            <w:shd w:val="clear" w:color="auto" w:fill="0066AB"/>
            <w:hideMark/>
          </w:tcPr>
          <w:p w:rsidR="00097414" w:rsidRDefault="00097414" w:rsidP="00097414">
            <w:pPr>
              <w:pStyle w:val="Tablerowcolumnheading"/>
            </w:pPr>
            <w:r>
              <w:t>Study</w:t>
            </w:r>
          </w:p>
        </w:tc>
        <w:tc>
          <w:tcPr>
            <w:tcW w:w="7087" w:type="dxa"/>
            <w:tcBorders>
              <w:top w:val="nil"/>
              <w:left w:val="nil"/>
              <w:bottom w:val="thickThinLargeGap" w:sz="24" w:space="0" w:color="auto"/>
              <w:right w:val="nil"/>
            </w:tcBorders>
            <w:shd w:val="clear" w:color="auto" w:fill="0066AB"/>
            <w:hideMark/>
          </w:tcPr>
          <w:p w:rsidR="00097414" w:rsidRDefault="00097414" w:rsidP="00097414">
            <w:pPr>
              <w:pStyle w:val="Tablerowcolumnheadingcentred"/>
              <w:jc w:val="left"/>
            </w:pPr>
            <w:r>
              <w:t>Finding</w:t>
            </w:r>
          </w:p>
        </w:tc>
      </w:tr>
      <w:tr w:rsidR="00097414" w:rsidTr="00097414">
        <w:trPr>
          <w:cantSplit/>
        </w:trPr>
        <w:tc>
          <w:tcPr>
            <w:tcW w:w="2127" w:type="dxa"/>
            <w:tcBorders>
              <w:top w:val="thickThinLargeGap" w:sz="24" w:space="0" w:color="auto"/>
              <w:left w:val="nil"/>
              <w:bottom w:val="single" w:sz="4" w:space="0" w:color="auto"/>
              <w:right w:val="nil"/>
            </w:tcBorders>
            <w:shd w:val="clear" w:color="auto" w:fill="auto"/>
            <w:hideMark/>
          </w:tcPr>
          <w:p w:rsidR="00097414" w:rsidRPr="004D0C53" w:rsidRDefault="00097414" w:rsidP="00097414">
            <w:pPr>
              <w:pStyle w:val="Tabletext"/>
            </w:pPr>
            <w:r w:rsidRPr="004D0C53">
              <w:t>Frey and Osborne (2013)</w:t>
            </w:r>
            <w:r w:rsidRPr="004D0C53">
              <w:rPr>
                <w:rStyle w:val="EndnoteReference"/>
              </w:rPr>
              <w:endnoteReference w:id="8"/>
            </w:r>
          </w:p>
        </w:tc>
        <w:tc>
          <w:tcPr>
            <w:tcW w:w="7087" w:type="dxa"/>
            <w:tcBorders>
              <w:top w:val="thickThinLargeGap" w:sz="24" w:space="0" w:color="auto"/>
              <w:left w:val="nil"/>
              <w:bottom w:val="single" w:sz="4" w:space="0" w:color="auto"/>
              <w:right w:val="nil"/>
            </w:tcBorders>
            <w:shd w:val="clear" w:color="auto" w:fill="auto"/>
            <w:hideMark/>
          </w:tcPr>
          <w:p w:rsidR="00097414" w:rsidRPr="00431AE8" w:rsidRDefault="00097414" w:rsidP="00097414">
            <w:pPr>
              <w:pStyle w:val="Tabletext"/>
            </w:pPr>
            <w:r w:rsidRPr="00746BA1">
              <w:t xml:space="preserve">47 per cent of occupations in the US </w:t>
            </w:r>
            <w:r>
              <w:t>are at a high risk of computerisation</w:t>
            </w:r>
            <w:r w:rsidRPr="00746BA1">
              <w:t xml:space="preserve"> over the next couple of decades</w:t>
            </w:r>
            <w:r>
              <w:t>.</w:t>
            </w:r>
          </w:p>
        </w:tc>
      </w:tr>
      <w:tr w:rsidR="00097414" w:rsidTr="00097414">
        <w:trPr>
          <w:cantSplit/>
        </w:trPr>
        <w:tc>
          <w:tcPr>
            <w:tcW w:w="2127" w:type="dxa"/>
            <w:tcBorders>
              <w:top w:val="single" w:sz="4" w:space="0" w:color="auto"/>
              <w:left w:val="nil"/>
              <w:bottom w:val="single" w:sz="4" w:space="0" w:color="auto"/>
              <w:right w:val="nil"/>
            </w:tcBorders>
            <w:shd w:val="clear" w:color="auto" w:fill="auto"/>
            <w:hideMark/>
          </w:tcPr>
          <w:p w:rsidR="00097414" w:rsidRPr="004D0C53" w:rsidRDefault="00097414" w:rsidP="00097414">
            <w:pPr>
              <w:pStyle w:val="Tabletext"/>
            </w:pPr>
            <w:r w:rsidRPr="004D0C53">
              <w:t>Edmonds and Bradley (2015)</w:t>
            </w:r>
            <w:r w:rsidRPr="004D0C53">
              <w:rPr>
                <w:rStyle w:val="EndnoteReference"/>
              </w:rPr>
              <w:endnoteReference w:id="9"/>
            </w:r>
          </w:p>
        </w:tc>
        <w:tc>
          <w:tcPr>
            <w:tcW w:w="7087" w:type="dxa"/>
            <w:tcBorders>
              <w:top w:val="single" w:sz="4" w:space="0" w:color="auto"/>
              <w:left w:val="nil"/>
              <w:bottom w:val="single" w:sz="4" w:space="0" w:color="auto"/>
              <w:right w:val="nil"/>
            </w:tcBorders>
            <w:shd w:val="clear" w:color="auto" w:fill="auto"/>
            <w:hideMark/>
          </w:tcPr>
          <w:p w:rsidR="00097414" w:rsidRPr="00431AE8" w:rsidRDefault="00097414" w:rsidP="00097414">
            <w:pPr>
              <w:pStyle w:val="Tabletext"/>
            </w:pPr>
            <w:r>
              <w:t>44 per cent of Australian occupations are highly susceptible to automation, while 33 per cent have a limited susceptibility.</w:t>
            </w:r>
          </w:p>
        </w:tc>
      </w:tr>
      <w:tr w:rsidR="00097414" w:rsidTr="00097414">
        <w:trPr>
          <w:cantSplit/>
        </w:trPr>
        <w:tc>
          <w:tcPr>
            <w:tcW w:w="2127" w:type="dxa"/>
            <w:tcBorders>
              <w:top w:val="single" w:sz="4" w:space="0" w:color="auto"/>
              <w:left w:val="nil"/>
              <w:bottom w:val="single" w:sz="4" w:space="0" w:color="auto"/>
              <w:right w:val="nil"/>
            </w:tcBorders>
            <w:shd w:val="clear" w:color="auto" w:fill="auto"/>
          </w:tcPr>
          <w:p w:rsidR="00097414" w:rsidRPr="004D0C53" w:rsidRDefault="00097414" w:rsidP="00097414">
            <w:pPr>
              <w:pStyle w:val="Tabletext"/>
            </w:pPr>
            <w:r w:rsidRPr="004D0C53">
              <w:t>Arntz, Gregory and Zierahn (2016)</w:t>
            </w:r>
            <w:r w:rsidRPr="004D0C53">
              <w:rPr>
                <w:rStyle w:val="EndnoteReference"/>
              </w:rPr>
              <w:endnoteReference w:id="10"/>
            </w:r>
          </w:p>
        </w:tc>
        <w:tc>
          <w:tcPr>
            <w:tcW w:w="7087" w:type="dxa"/>
            <w:tcBorders>
              <w:top w:val="single" w:sz="4" w:space="0" w:color="auto"/>
              <w:left w:val="nil"/>
              <w:bottom w:val="single" w:sz="4" w:space="0" w:color="auto"/>
              <w:right w:val="nil"/>
            </w:tcBorders>
            <w:shd w:val="clear" w:color="auto" w:fill="auto"/>
          </w:tcPr>
          <w:p w:rsidR="00097414" w:rsidRPr="00431AE8" w:rsidRDefault="00097414" w:rsidP="00097414">
            <w:pPr>
              <w:pStyle w:val="Tabletext"/>
            </w:pPr>
            <w:r>
              <w:t>O</w:t>
            </w:r>
            <w:r w:rsidRPr="004C0EEE">
              <w:t>n average across 2</w:t>
            </w:r>
            <w:r>
              <w:t>1 OECD countries,</w:t>
            </w:r>
            <w:r w:rsidRPr="004C0EEE">
              <w:t xml:space="preserve"> 9 per cent of jobs are</w:t>
            </w:r>
            <w:r>
              <w:t xml:space="preserve"> potentially</w:t>
            </w:r>
            <w:r w:rsidRPr="004C0EEE">
              <w:t xml:space="preserve"> fully automatable</w:t>
            </w:r>
            <w:r>
              <w:t>.</w:t>
            </w:r>
          </w:p>
        </w:tc>
      </w:tr>
      <w:tr w:rsidR="00097414" w:rsidTr="00097414">
        <w:trPr>
          <w:cantSplit/>
        </w:trPr>
        <w:tc>
          <w:tcPr>
            <w:tcW w:w="2127" w:type="dxa"/>
            <w:tcBorders>
              <w:top w:val="single" w:sz="4" w:space="0" w:color="auto"/>
              <w:left w:val="nil"/>
              <w:bottom w:val="single" w:sz="4" w:space="0" w:color="auto"/>
              <w:right w:val="nil"/>
            </w:tcBorders>
            <w:shd w:val="clear" w:color="auto" w:fill="auto"/>
          </w:tcPr>
          <w:p w:rsidR="00097414" w:rsidRPr="004D0C53" w:rsidRDefault="00097414" w:rsidP="00097414">
            <w:pPr>
              <w:pStyle w:val="Tabletext"/>
            </w:pPr>
            <w:r w:rsidRPr="004D0C53">
              <w:t>McKinsey Global Institute (2017)</w:t>
            </w:r>
            <w:r w:rsidRPr="004D0C53">
              <w:rPr>
                <w:rStyle w:val="EndnoteReference"/>
              </w:rPr>
              <w:endnoteReference w:id="11"/>
            </w:r>
          </w:p>
        </w:tc>
        <w:tc>
          <w:tcPr>
            <w:tcW w:w="7087" w:type="dxa"/>
            <w:tcBorders>
              <w:top w:val="single" w:sz="4" w:space="0" w:color="auto"/>
              <w:left w:val="nil"/>
              <w:bottom w:val="single" w:sz="4" w:space="0" w:color="auto"/>
              <w:right w:val="nil"/>
            </w:tcBorders>
            <w:shd w:val="clear" w:color="auto" w:fill="auto"/>
          </w:tcPr>
          <w:p w:rsidR="00097414" w:rsidRPr="00431AE8" w:rsidRDefault="00097414" w:rsidP="00097414">
            <w:pPr>
              <w:pStyle w:val="Tabletext"/>
            </w:pPr>
            <w:r w:rsidRPr="00C439CB">
              <w:rPr>
                <w:bCs/>
              </w:rPr>
              <w:t>49 per cent of the activities that people are paid to do in the global economy have the potential to be automated using currently demonstrated technology, but only less than 5 per cent of occupations have the potential to be fully automated</w:t>
            </w:r>
            <w:r>
              <w:rPr>
                <w:bCs/>
              </w:rPr>
              <w:t>.</w:t>
            </w:r>
          </w:p>
        </w:tc>
      </w:tr>
      <w:tr w:rsidR="00097414" w:rsidTr="00097414">
        <w:trPr>
          <w:cantSplit/>
        </w:trPr>
        <w:tc>
          <w:tcPr>
            <w:tcW w:w="2127" w:type="dxa"/>
            <w:tcBorders>
              <w:top w:val="single" w:sz="4" w:space="0" w:color="auto"/>
              <w:left w:val="nil"/>
              <w:bottom w:val="single" w:sz="4" w:space="0" w:color="auto"/>
              <w:right w:val="nil"/>
            </w:tcBorders>
            <w:shd w:val="clear" w:color="auto" w:fill="FFFFFF" w:themeFill="background1"/>
          </w:tcPr>
          <w:p w:rsidR="00097414" w:rsidRPr="004D0C53" w:rsidRDefault="00097414" w:rsidP="00097414">
            <w:pPr>
              <w:pStyle w:val="Tabletext"/>
            </w:pPr>
            <w:r w:rsidRPr="004D0C53">
              <w:t>PwC (2017)</w:t>
            </w:r>
            <w:r w:rsidRPr="004D0C53">
              <w:rPr>
                <w:rStyle w:val="EndnoteReference"/>
              </w:rPr>
              <w:endnoteReference w:id="12"/>
            </w:r>
          </w:p>
        </w:tc>
        <w:tc>
          <w:tcPr>
            <w:tcW w:w="7087" w:type="dxa"/>
            <w:tcBorders>
              <w:top w:val="single" w:sz="4" w:space="0" w:color="auto"/>
              <w:left w:val="nil"/>
              <w:bottom w:val="single" w:sz="4" w:space="0" w:color="auto"/>
              <w:right w:val="nil"/>
            </w:tcBorders>
            <w:shd w:val="clear" w:color="auto" w:fill="FFFFFF" w:themeFill="background1"/>
          </w:tcPr>
          <w:p w:rsidR="00097414" w:rsidRPr="00431AE8" w:rsidRDefault="00097414" w:rsidP="00097414">
            <w:pPr>
              <w:pStyle w:val="Tabletext"/>
            </w:pPr>
            <w:r>
              <w:t>U</w:t>
            </w:r>
            <w:r w:rsidRPr="00746BA1">
              <w:t>p to 30 per cent of UK jobs could potentially be at high risk of automation by the 2030s, compared to the US (38 per cent), Germany (35 per cent) and Japan (21 per cent).</w:t>
            </w:r>
          </w:p>
        </w:tc>
      </w:tr>
      <w:tr w:rsidR="00097414" w:rsidTr="00097414">
        <w:trPr>
          <w:cantSplit/>
        </w:trPr>
        <w:tc>
          <w:tcPr>
            <w:tcW w:w="2127" w:type="dxa"/>
            <w:tcBorders>
              <w:top w:val="single" w:sz="4" w:space="0" w:color="auto"/>
              <w:left w:val="nil"/>
              <w:bottom w:val="single" w:sz="4" w:space="0" w:color="auto"/>
              <w:right w:val="nil"/>
            </w:tcBorders>
            <w:shd w:val="clear" w:color="auto" w:fill="FFFFFF" w:themeFill="background1"/>
          </w:tcPr>
          <w:p w:rsidR="00097414" w:rsidRPr="004D0C53" w:rsidRDefault="00097414" w:rsidP="00097414">
            <w:pPr>
              <w:pStyle w:val="Tabletext"/>
            </w:pPr>
            <w:r w:rsidRPr="004D0C53">
              <w:t>PwC (2017)</w:t>
            </w:r>
            <w:r w:rsidRPr="004D0C53">
              <w:rPr>
                <w:rStyle w:val="EndnoteReference"/>
              </w:rPr>
              <w:endnoteReference w:id="13"/>
            </w:r>
          </w:p>
        </w:tc>
        <w:tc>
          <w:tcPr>
            <w:tcW w:w="7087" w:type="dxa"/>
            <w:tcBorders>
              <w:top w:val="single" w:sz="4" w:space="0" w:color="auto"/>
              <w:left w:val="nil"/>
              <w:bottom w:val="single" w:sz="4" w:space="0" w:color="auto"/>
              <w:right w:val="nil"/>
            </w:tcBorders>
            <w:shd w:val="clear" w:color="auto" w:fill="FFFFFF" w:themeFill="background1"/>
          </w:tcPr>
          <w:p w:rsidR="00097414" w:rsidRPr="00431AE8" w:rsidRDefault="00097414" w:rsidP="0004795C">
            <w:pPr>
              <w:pStyle w:val="Tabletext"/>
            </w:pPr>
            <w:r>
              <w:t xml:space="preserve">Across 27 OECD countries, as well as Russia and Singapore, the potential for automation of existing occupations is estimated to vary widely from </w:t>
            </w:r>
            <w:r>
              <w:lastRenderedPageBreak/>
              <w:t>22</w:t>
            </w:r>
            <w:r w:rsidR="0004795C">
              <w:t> </w:t>
            </w:r>
            <w:r>
              <w:t>per cent of occupations in South Korea and Finland to 44 per cent of occupations in Slovakia.</w:t>
            </w:r>
          </w:p>
        </w:tc>
      </w:tr>
      <w:tr w:rsidR="00097414" w:rsidTr="00097414">
        <w:trPr>
          <w:cantSplit/>
        </w:trPr>
        <w:tc>
          <w:tcPr>
            <w:tcW w:w="2127" w:type="dxa"/>
            <w:tcBorders>
              <w:top w:val="single" w:sz="4" w:space="0" w:color="auto"/>
              <w:left w:val="nil"/>
              <w:bottom w:val="single" w:sz="4" w:space="0" w:color="auto"/>
              <w:right w:val="nil"/>
            </w:tcBorders>
            <w:shd w:val="clear" w:color="auto" w:fill="FFFFFF" w:themeFill="background1"/>
          </w:tcPr>
          <w:p w:rsidR="00097414" w:rsidRPr="004D0C53" w:rsidRDefault="00097414" w:rsidP="00097414">
            <w:pPr>
              <w:pStyle w:val="Tabletext"/>
            </w:pPr>
            <w:r w:rsidRPr="004D0C53">
              <w:lastRenderedPageBreak/>
              <w:t>Bakhshi, Downing, Osborne and Schneider (2017)</w:t>
            </w:r>
            <w:r w:rsidRPr="004D0C53">
              <w:rPr>
                <w:rStyle w:val="EndnoteReference"/>
              </w:rPr>
              <w:endnoteReference w:id="14"/>
            </w:r>
          </w:p>
        </w:tc>
        <w:tc>
          <w:tcPr>
            <w:tcW w:w="7087" w:type="dxa"/>
            <w:tcBorders>
              <w:top w:val="single" w:sz="4" w:space="0" w:color="auto"/>
              <w:left w:val="nil"/>
              <w:bottom w:val="single" w:sz="4" w:space="0" w:color="auto"/>
              <w:right w:val="nil"/>
            </w:tcBorders>
            <w:shd w:val="clear" w:color="auto" w:fill="FFFFFF" w:themeFill="background1"/>
          </w:tcPr>
          <w:p w:rsidR="00097414" w:rsidRPr="00431AE8" w:rsidRDefault="00097414" w:rsidP="00097414">
            <w:pPr>
              <w:pStyle w:val="Tabletext"/>
            </w:pPr>
            <w:r w:rsidRPr="00897A8A">
              <w:rPr>
                <w:bCs/>
              </w:rPr>
              <w:t>9.6 per cent</w:t>
            </w:r>
            <w:r>
              <w:rPr>
                <w:bCs/>
              </w:rPr>
              <w:t xml:space="preserve"> (8.0 per cent)</w:t>
            </w:r>
            <w:r w:rsidRPr="00897A8A">
              <w:rPr>
                <w:bCs/>
              </w:rPr>
              <w:t xml:space="preserve"> of the current US</w:t>
            </w:r>
            <w:r>
              <w:rPr>
                <w:bCs/>
              </w:rPr>
              <w:t xml:space="preserve"> (UK)</w:t>
            </w:r>
            <w:r w:rsidRPr="00897A8A">
              <w:rPr>
                <w:bCs/>
              </w:rPr>
              <w:t xml:space="preserve"> workforce are in occupations </w:t>
            </w:r>
            <w:r>
              <w:rPr>
                <w:bCs/>
              </w:rPr>
              <w:t>expected to</w:t>
            </w:r>
            <w:r w:rsidRPr="00897A8A">
              <w:rPr>
                <w:bCs/>
              </w:rPr>
              <w:t xml:space="preserve"> experience an increase in workforce share and 18.7</w:t>
            </w:r>
            <w:r>
              <w:rPr>
                <w:bCs/>
              </w:rPr>
              <w:t xml:space="preserve"> per cent (21.2</w:t>
            </w:r>
            <w:r w:rsidRPr="00897A8A">
              <w:rPr>
                <w:bCs/>
              </w:rPr>
              <w:t xml:space="preserve"> per cent</w:t>
            </w:r>
            <w:r>
              <w:rPr>
                <w:bCs/>
              </w:rPr>
              <w:t>)</w:t>
            </w:r>
            <w:r w:rsidRPr="00897A8A">
              <w:rPr>
                <w:bCs/>
              </w:rPr>
              <w:t xml:space="preserve"> are in occupations </w:t>
            </w:r>
            <w:r>
              <w:rPr>
                <w:bCs/>
              </w:rPr>
              <w:t>expected to</w:t>
            </w:r>
            <w:r w:rsidRPr="00897A8A">
              <w:rPr>
                <w:bCs/>
              </w:rPr>
              <w:t xml:space="preserve"> experience a decline</w:t>
            </w:r>
            <w:r>
              <w:rPr>
                <w:bCs/>
              </w:rPr>
              <w:t>.</w:t>
            </w:r>
          </w:p>
        </w:tc>
      </w:tr>
      <w:tr w:rsidR="00097414" w:rsidTr="003D1A35">
        <w:trPr>
          <w:cantSplit/>
        </w:trPr>
        <w:tc>
          <w:tcPr>
            <w:tcW w:w="2127" w:type="dxa"/>
            <w:tcBorders>
              <w:top w:val="single" w:sz="4" w:space="0" w:color="auto"/>
              <w:left w:val="nil"/>
              <w:bottom w:val="single" w:sz="4" w:space="0" w:color="auto"/>
              <w:right w:val="nil"/>
            </w:tcBorders>
            <w:shd w:val="clear" w:color="auto" w:fill="FFFFFF" w:themeFill="background1"/>
          </w:tcPr>
          <w:p w:rsidR="00097414" w:rsidRPr="004D0C53" w:rsidRDefault="00097414" w:rsidP="00097414">
            <w:pPr>
              <w:pStyle w:val="Tabletext"/>
            </w:pPr>
            <w:r w:rsidRPr="004D0C53">
              <w:t>AlphaBeta (2017)</w:t>
            </w:r>
            <w:r w:rsidRPr="004D0C53">
              <w:rPr>
                <w:rStyle w:val="EndnoteReference"/>
              </w:rPr>
              <w:endnoteReference w:id="15"/>
            </w:r>
          </w:p>
        </w:tc>
        <w:tc>
          <w:tcPr>
            <w:tcW w:w="7087" w:type="dxa"/>
            <w:tcBorders>
              <w:top w:val="single" w:sz="4" w:space="0" w:color="auto"/>
              <w:left w:val="nil"/>
              <w:bottom w:val="single" w:sz="4" w:space="0" w:color="auto"/>
              <w:right w:val="nil"/>
            </w:tcBorders>
            <w:shd w:val="clear" w:color="auto" w:fill="FFFFFF" w:themeFill="background1"/>
          </w:tcPr>
          <w:p w:rsidR="00097414" w:rsidRPr="00431AE8" w:rsidRDefault="00097414" w:rsidP="00097414">
            <w:pPr>
              <w:pStyle w:val="Tabletext"/>
            </w:pPr>
            <w:r>
              <w:rPr>
                <w:bCs/>
              </w:rPr>
              <w:t>T</w:t>
            </w:r>
            <w:r w:rsidRPr="00671FAC">
              <w:rPr>
                <w:bCs/>
              </w:rPr>
              <w:t>he average Australian worker will spend 2 hours less per week on manual and routin</w:t>
            </w:r>
            <w:r>
              <w:rPr>
                <w:bCs/>
              </w:rPr>
              <w:t>e tasks by the 2030s. Some workers are at high-risk for</w:t>
            </w:r>
            <w:r w:rsidRPr="00671FAC">
              <w:rPr>
                <w:bCs/>
              </w:rPr>
              <w:t xml:space="preserve"> unemployment and are expected to require targeted retraining and job transition programs</w:t>
            </w:r>
            <w:r>
              <w:rPr>
                <w:bCs/>
              </w:rPr>
              <w:t>.</w:t>
            </w:r>
          </w:p>
        </w:tc>
      </w:tr>
      <w:tr w:rsidR="000711B8" w:rsidTr="00097414">
        <w:trPr>
          <w:cantSplit/>
        </w:trPr>
        <w:tc>
          <w:tcPr>
            <w:tcW w:w="2127" w:type="dxa"/>
            <w:tcBorders>
              <w:top w:val="single" w:sz="4" w:space="0" w:color="auto"/>
              <w:left w:val="nil"/>
              <w:bottom w:val="single" w:sz="12" w:space="0" w:color="auto"/>
              <w:right w:val="nil"/>
            </w:tcBorders>
            <w:shd w:val="clear" w:color="auto" w:fill="FFFFFF" w:themeFill="background1"/>
          </w:tcPr>
          <w:p w:rsidR="000711B8" w:rsidRPr="004D0C53" w:rsidRDefault="000711B8" w:rsidP="00051790">
            <w:pPr>
              <w:pStyle w:val="Tabletext"/>
            </w:pPr>
            <w:r>
              <w:t>Borland and Coell</w:t>
            </w:r>
            <w:r w:rsidR="00051790">
              <w:t>i</w:t>
            </w:r>
            <w:r>
              <w:t xml:space="preserve"> (2017)</w:t>
            </w:r>
            <w:r>
              <w:rPr>
                <w:rStyle w:val="EndnoteReference"/>
              </w:rPr>
              <w:endnoteReference w:id="16"/>
            </w:r>
          </w:p>
        </w:tc>
        <w:tc>
          <w:tcPr>
            <w:tcW w:w="7087" w:type="dxa"/>
            <w:tcBorders>
              <w:top w:val="single" w:sz="4" w:space="0" w:color="auto"/>
              <w:left w:val="nil"/>
              <w:bottom w:val="single" w:sz="12" w:space="0" w:color="auto"/>
              <w:right w:val="nil"/>
            </w:tcBorders>
            <w:shd w:val="clear" w:color="auto" w:fill="FFFFFF" w:themeFill="background1"/>
          </w:tcPr>
          <w:p w:rsidR="000711B8" w:rsidRDefault="00051790" w:rsidP="00051790">
            <w:pPr>
              <w:pStyle w:val="Tabletext"/>
              <w:rPr>
                <w:bCs/>
              </w:rPr>
            </w:pPr>
            <w:r>
              <w:rPr>
                <w:bCs/>
              </w:rPr>
              <w:t>C</w:t>
            </w:r>
            <w:r w:rsidR="002D60A4">
              <w:rPr>
                <w:bCs/>
              </w:rPr>
              <w:t>omputer-based technologies have not reduced the total amount of work available in Australia</w:t>
            </w:r>
            <w:r>
              <w:rPr>
                <w:bCs/>
              </w:rPr>
              <w:t>,</w:t>
            </w:r>
            <w:r w:rsidR="002D60A4">
              <w:rPr>
                <w:bCs/>
              </w:rPr>
              <w:t xml:space="preserve"> nor</w:t>
            </w:r>
            <w:r>
              <w:rPr>
                <w:bCs/>
              </w:rPr>
              <w:t xml:space="preserve"> accelerated the </w:t>
            </w:r>
            <w:r w:rsidR="002D60A4">
              <w:rPr>
                <w:bCs/>
              </w:rPr>
              <w:t>pace of structural cha</w:t>
            </w:r>
            <w:r>
              <w:rPr>
                <w:bCs/>
              </w:rPr>
              <w:t>nge and job turnover.</w:t>
            </w:r>
          </w:p>
        </w:tc>
      </w:tr>
    </w:tbl>
    <w:p w:rsidR="00097414" w:rsidRPr="00C16794" w:rsidRDefault="00097414" w:rsidP="00097414">
      <w:pPr>
        <w:pStyle w:val="Sourcenote"/>
      </w:pPr>
      <w:r>
        <w:t>Sources: As noted above.</w:t>
      </w:r>
    </w:p>
    <w:p w:rsidR="001B4261" w:rsidRDefault="00C85FB5" w:rsidP="00C85FB5">
      <w:r>
        <w:t xml:space="preserve">These studies suggest that although automation has </w:t>
      </w:r>
      <w:r w:rsidR="00FB1623">
        <w:t xml:space="preserve">the </w:t>
      </w:r>
      <w:r>
        <w:t xml:space="preserve">potential to displace labour, it may have a more significant impact on the </w:t>
      </w:r>
      <w:r w:rsidRPr="00CD2BC4">
        <w:t>nature</w:t>
      </w:r>
      <w:r>
        <w:t xml:space="preserve"> of work</w:t>
      </w:r>
      <w:r w:rsidR="00FB1623">
        <w:t xml:space="preserve"> itself</w:t>
      </w:r>
      <w:r>
        <w:t>. New technologies could act as a substitute or a complement for labour, depending on the task affected.</w:t>
      </w:r>
      <w:r>
        <w:rPr>
          <w:rStyle w:val="EndnoteReference"/>
        </w:rPr>
        <w:endnoteReference w:id="17"/>
      </w:r>
      <w:r>
        <w:t xml:space="preserve"> As automation becomes more common, workers are likely to perform a larger number of tasks that complement machines, as well as new and more complex tasks.</w:t>
      </w:r>
      <w:r>
        <w:rPr>
          <w:rStyle w:val="EndnoteReference"/>
        </w:rPr>
        <w:endnoteReference w:id="18"/>
      </w:r>
    </w:p>
    <w:p w:rsidR="00C85FB5" w:rsidRDefault="00C85FB5" w:rsidP="00C85FB5">
      <w:r>
        <w:t>As a result, automation is expected to change the nature of the tasks associated with particular occupations, even if the demand for labour does not fall.</w:t>
      </w:r>
      <w:r>
        <w:rPr>
          <w:rStyle w:val="EndnoteReference"/>
        </w:rPr>
        <w:endnoteReference w:id="19"/>
      </w:r>
    </w:p>
    <w:p w:rsidR="00097414" w:rsidRDefault="00097414" w:rsidP="00097414">
      <w:pPr>
        <w:pStyle w:val="Heading3"/>
      </w:pPr>
      <w:bookmarkStart w:id="9" w:name="_Toc531801734"/>
      <w:r>
        <w:t>The scale and scope of change will differ by sector</w:t>
      </w:r>
      <w:bookmarkEnd w:id="9"/>
    </w:p>
    <w:p w:rsidR="00D511E2" w:rsidRDefault="00097414" w:rsidP="00D511E2">
      <w:pPr>
        <w:keepLines/>
      </w:pPr>
      <w:r>
        <w:t>In the Australian context, Edmonds and Bradley (2015)</w:t>
      </w:r>
      <w:r w:rsidR="008F59C1">
        <w:rPr>
          <w:rStyle w:val="EndnoteReference"/>
        </w:rPr>
        <w:endnoteReference w:id="20"/>
      </w:r>
      <w:r>
        <w:t xml:space="preserve"> estimated the automation susceptibility of Australian occupations and industries. They define automation susceptibility as whether an algorithm could be developed to perform the tasks required by different occupations. </w:t>
      </w:r>
      <w:r w:rsidRPr="001C3436">
        <w:t>They find that digital and non</w:t>
      </w:r>
      <w:r>
        <w:t>-market sector industries generally have lower automation suscept</w:t>
      </w:r>
      <w:r w:rsidR="000B0F68">
        <w:t>ibility than other industries (f</w:t>
      </w:r>
      <w:r>
        <w:t xml:space="preserve">igure </w:t>
      </w:r>
      <w:r w:rsidR="0098638D">
        <w:t>1</w:t>
      </w:r>
      <w:r>
        <w:t>)</w:t>
      </w:r>
      <w:r w:rsidR="00D511E2">
        <w:t>.</w:t>
      </w:r>
    </w:p>
    <w:p w:rsidR="00097414" w:rsidRDefault="00097414" w:rsidP="00097414">
      <w:pPr>
        <w:pStyle w:val="Tablefigureheading"/>
      </w:pPr>
      <w:bookmarkStart w:id="10" w:name="_Toc532208385"/>
      <w:r>
        <w:lastRenderedPageBreak/>
        <w:t xml:space="preserve">Figure </w:t>
      </w:r>
      <w:r w:rsidR="0098638D">
        <w:t>1</w:t>
      </w:r>
      <w:r>
        <w:t xml:space="preserve">: </w:t>
      </w:r>
      <w:r w:rsidR="004F213B">
        <w:t>Share of</w:t>
      </w:r>
      <w:r w:rsidR="00740E7A">
        <w:t xml:space="preserve"> tasks</w:t>
      </w:r>
      <w:r w:rsidR="004F213B">
        <w:t xml:space="preserve"> susceptible to automation by industry</w:t>
      </w:r>
      <w:bookmarkEnd w:id="10"/>
    </w:p>
    <w:p w:rsidR="00C019B7" w:rsidRDefault="00097414" w:rsidP="00C019B7">
      <w:pPr>
        <w:spacing w:after="0"/>
        <w:rPr>
          <w:lang w:eastAsia="en-US"/>
        </w:rPr>
      </w:pPr>
      <w:r>
        <w:rPr>
          <w:noProof/>
          <w:lang w:eastAsia="en-AU"/>
        </w:rPr>
        <w:drawing>
          <wp:inline distT="0" distB="0" distL="0" distR="0" wp14:anchorId="39A7395D" wp14:editId="61C1BB9A">
            <wp:extent cx="4426739" cy="3886200"/>
            <wp:effectExtent l="0" t="0" r="0" b="0"/>
            <wp:docPr id="7" name="Picture 7" descr="Figure 1: Share of tasks susceptible to automation by industry. This figure is a bar chart that shows the proportion of tasks that are susceptible to automation by industry division. Different industry divisions are classified as digital industries, non-market services, physical industries or other industries. The most susceptible industries are other industries and some physical industries, including Retail Trade, Transport Services, Accommodation and Food, Rental Services, Manufacturing, and Construction. The key findings of the figure are discussed in the immediately preceding text." title="Figure 1: Share of tasks susceptible to automation by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mation char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28218" cy="3887498"/>
                    </a:xfrm>
                    <a:prstGeom prst="rect">
                      <a:avLst/>
                    </a:prstGeom>
                    <a:noFill/>
                    <a:ln>
                      <a:noFill/>
                    </a:ln>
                  </pic:spPr>
                </pic:pic>
              </a:graphicData>
            </a:graphic>
          </wp:inline>
        </w:drawing>
      </w:r>
    </w:p>
    <w:p w:rsidR="00097414" w:rsidRDefault="00097414" w:rsidP="00C019B7">
      <w:pPr>
        <w:pStyle w:val="Sourcenote"/>
      </w:pPr>
      <w:r>
        <w:rPr>
          <w:lang w:eastAsia="en-US"/>
        </w:rPr>
        <w:t xml:space="preserve">Source: Department of Industry, Innovation and Science </w:t>
      </w:r>
      <w:r>
        <w:t>Office of the Chief Economist</w:t>
      </w:r>
      <w:r w:rsidRPr="00BE34A5">
        <w:t xml:space="preserve"> calculations based on data from Edmonds and Bradley (2015).</w:t>
      </w:r>
    </w:p>
    <w:p w:rsidR="00D511E2" w:rsidRDefault="005659A6" w:rsidP="005659A6">
      <w:r>
        <w:t xml:space="preserve">A key reason for this </w:t>
      </w:r>
      <w:r w:rsidR="00FB6CC8">
        <w:t>is</w:t>
      </w:r>
      <w:r>
        <w:t xml:space="preserve"> that workers in these industries spend more time completing non</w:t>
      </w:r>
      <w:r>
        <w:noBreakHyphen/>
        <w:t>routine tasks that are more difficult to automate</w:t>
      </w:r>
      <w:r w:rsidR="00D511E2">
        <w:t>.</w:t>
      </w:r>
    </w:p>
    <w:p w:rsidR="005659A6" w:rsidRPr="009468A3" w:rsidRDefault="005659A6" w:rsidP="005659A6">
      <w:r>
        <w:t>On the other hand, industries with the highest automation susceptibility include retail trade, transport services, accommodation and food, and rental services. These industries contributed a significant amount to Australia’s gross value added in 2016</w:t>
      </w:r>
      <w:r w:rsidR="00BA70F9">
        <w:t>–</w:t>
      </w:r>
      <w:r>
        <w:t>17 at 15.2 per cent.</w:t>
      </w:r>
      <w:r>
        <w:rPr>
          <w:rStyle w:val="EndnoteReference"/>
        </w:rPr>
        <w:endnoteReference w:id="21"/>
      </w:r>
      <w:r>
        <w:t xml:space="preserve"> </w:t>
      </w:r>
    </w:p>
    <w:p w:rsidR="00097414" w:rsidRDefault="00097414" w:rsidP="005659A6">
      <w:r>
        <w:t>Automation also has the potential to have positive impacts on employment. New automation technologies could create new types of jobs that do</w:t>
      </w:r>
      <w:r w:rsidR="00F11D1D">
        <w:t xml:space="preserve"> no</w:t>
      </w:r>
      <w:r>
        <w:t xml:space="preserve">t currently exist, </w:t>
      </w:r>
      <w:r w:rsidR="00FB6CC8">
        <w:t>as</w:t>
      </w:r>
      <w:r>
        <w:t xml:space="preserve"> previous technological advances have.</w:t>
      </w:r>
      <w:r>
        <w:rPr>
          <w:rStyle w:val="EndnoteReference"/>
        </w:rPr>
        <w:endnoteReference w:id="22"/>
      </w:r>
      <w:r>
        <w:t xml:space="preserve"> For example, the advent of the per</w:t>
      </w:r>
      <w:r w:rsidR="00734DF5">
        <w:t>sonal computer</w:t>
      </w:r>
      <w:r>
        <w:t xml:space="preserve"> and the internet resulted in many new occupations. PwC calculated that 8 of the top 10 occupational categories in 2010 with the highest proportions of job types that did not exist in 1990 were directly related to computer technologies.</w:t>
      </w:r>
      <w:r>
        <w:rPr>
          <w:rStyle w:val="EndnoteReference"/>
        </w:rPr>
        <w:endnoteReference w:id="23"/>
      </w:r>
      <w:r>
        <w:t xml:space="preserve"> Although previous experience suggests it is likely that some new jobs will be created by automation, it is difficult to predict how many jobs will be created and what these jobs will be before new automation technologies are implemented.</w:t>
      </w:r>
      <w:r>
        <w:rPr>
          <w:rStyle w:val="EndnoteReference"/>
        </w:rPr>
        <w:endnoteReference w:id="24"/>
      </w:r>
    </w:p>
    <w:p w:rsidR="00097414" w:rsidRDefault="00097414" w:rsidP="00097414">
      <w:r>
        <w:t>Besides effects on employment, automation has the potential to provide a number of opportunities for businesses and the economy as a whole. These could include (for example) labour cost savings, increased productivity, higher quality goods and services and improved safety.</w:t>
      </w:r>
      <w:r>
        <w:rPr>
          <w:rStyle w:val="EndnoteReference"/>
        </w:rPr>
        <w:endnoteReference w:id="25"/>
      </w:r>
      <w:r>
        <w:t xml:space="preserve"> Increased productivity could generate higher income firms, which would flow through to the rest of the economy as this income is spent or invested elsewhere.</w:t>
      </w:r>
      <w:r>
        <w:rPr>
          <w:rStyle w:val="EndnoteReference"/>
        </w:rPr>
        <w:endnoteReference w:id="26"/>
      </w:r>
      <w:r>
        <w:t xml:space="preserve"> This could increase the demand for labour in sectors where automation is less suitable.</w:t>
      </w:r>
      <w:r>
        <w:rPr>
          <w:rStyle w:val="EndnoteReference"/>
        </w:rPr>
        <w:endnoteReference w:id="27"/>
      </w:r>
    </w:p>
    <w:p w:rsidR="00097414" w:rsidRPr="00A503C6" w:rsidRDefault="00097414" w:rsidP="00097414">
      <w:r>
        <w:lastRenderedPageBreak/>
        <w:t>Overall, the full impact of automation is unclear.</w:t>
      </w:r>
      <w:r w:rsidRPr="00A503C6">
        <w:t xml:space="preserve"> </w:t>
      </w:r>
      <w:r>
        <w:t>However</w:t>
      </w:r>
      <w:r w:rsidRPr="00A503C6">
        <w:t xml:space="preserve"> the scale of change will require organisations to be more flexible, imaginative, intuitive and resilient.</w:t>
      </w:r>
      <w:r w:rsidRPr="00A503C6">
        <w:rPr>
          <w:vertAlign w:val="superscript"/>
        </w:rPr>
        <w:endnoteReference w:id="28"/>
      </w:r>
      <w:r w:rsidRPr="00A503C6">
        <w:t xml:space="preserve"> </w:t>
      </w:r>
    </w:p>
    <w:p w:rsidR="00097414" w:rsidRPr="004D422E" w:rsidRDefault="00097414" w:rsidP="00097414">
      <w:pPr>
        <w:pStyle w:val="Heading3"/>
      </w:pPr>
      <w:bookmarkStart w:id="11" w:name="_Toc531801735"/>
      <w:r>
        <w:t>Creative skills are likely to experience relatively higher demand</w:t>
      </w:r>
      <w:bookmarkEnd w:id="11"/>
    </w:p>
    <w:p w:rsidR="00D511E2" w:rsidRDefault="00097414" w:rsidP="00097414">
      <w:r>
        <w:t>As</w:t>
      </w:r>
      <w:r w:rsidRPr="00011D7C">
        <w:t xml:space="preserve"> workers focus less on routine tasks</w:t>
      </w:r>
      <w:r>
        <w:t xml:space="preserve"> and more on tasks that complement machines, the skills desired by employers are expected to change, and workers may need to embrace new skill sets</w:t>
      </w:r>
      <w:r w:rsidR="00D511E2">
        <w:t>.</w:t>
      </w:r>
    </w:p>
    <w:p w:rsidR="00D511E2" w:rsidRDefault="00097414" w:rsidP="00097414">
      <w:r>
        <w:t>There is a growing expectation that workers will need more</w:t>
      </w:r>
      <w:r w:rsidRPr="00011D7C">
        <w:t xml:space="preserve"> ‘21st Century Skills’</w:t>
      </w:r>
      <w:r>
        <w:t>,</w:t>
      </w:r>
      <w:r w:rsidRPr="00011D7C">
        <w:rPr>
          <w:vertAlign w:val="superscript"/>
        </w:rPr>
        <w:endnoteReference w:id="29"/>
      </w:r>
      <w:r>
        <w:rPr>
          <w:vertAlign w:val="superscript"/>
        </w:rPr>
        <w:t xml:space="preserve"> </w:t>
      </w:r>
      <w:r>
        <w:t>including creative skills, higher</w:t>
      </w:r>
      <w:r>
        <w:noBreakHyphen/>
        <w:t>order cognitive skills, system</w:t>
      </w:r>
      <w:r>
        <w:noBreakHyphen/>
        <w:t>thinking skills, as well as interpersonal, emotional intelligence, and collaborative skills. Creativity is expected to be one of the key skills in demand in an automated world.</w:t>
      </w:r>
      <w:r>
        <w:rPr>
          <w:rStyle w:val="EndnoteReference"/>
        </w:rPr>
        <w:endnoteReference w:id="30"/>
      </w:r>
      <w:r>
        <w:t xml:space="preserve"> </w:t>
      </w:r>
      <w:r w:rsidRPr="00011D7C">
        <w:t>Nesta in the UK has examined some of these trends in detail</w:t>
      </w:r>
      <w:r>
        <w:t xml:space="preserve"> (box </w:t>
      </w:r>
      <w:r w:rsidR="0098638D">
        <w:t>1</w:t>
      </w:r>
      <w:r>
        <w:t>)</w:t>
      </w:r>
      <w:r w:rsidR="00D511E2">
        <w:t>.</w:t>
      </w:r>
    </w:p>
    <w:p w:rsidR="00097414" w:rsidRPr="00470D17" w:rsidRDefault="00097414" w:rsidP="000E442A">
      <w:pPr>
        <w:pStyle w:val="Heading4"/>
        <w:pBdr>
          <w:top w:val="single" w:sz="4" w:space="1" w:color="auto"/>
          <w:left w:val="single" w:sz="4" w:space="1" w:color="auto"/>
          <w:bottom w:val="single" w:sz="4" w:space="1" w:color="auto"/>
          <w:right w:val="single" w:sz="4" w:space="1" w:color="auto"/>
        </w:pBdr>
        <w:shd w:val="clear" w:color="auto" w:fill="E4E4E4"/>
      </w:pPr>
      <w:r w:rsidRPr="00470D17">
        <w:t xml:space="preserve">Box </w:t>
      </w:r>
      <w:r w:rsidR="0098638D" w:rsidRPr="00470D17">
        <w:t>1</w:t>
      </w:r>
      <w:r w:rsidRPr="00470D17">
        <w:t>: Analysis in the United Kingdom</w:t>
      </w:r>
      <w:r w:rsidR="00D511E2" w:rsidRPr="00470D17">
        <w:t>—</w:t>
      </w:r>
      <w:r w:rsidRPr="00470D17">
        <w:t>Nesta’s Future of Skills</w:t>
      </w:r>
    </w:p>
    <w:p w:rsidR="00097414" w:rsidRDefault="00097414" w:rsidP="000E442A">
      <w:pPr>
        <w:pBdr>
          <w:top w:val="single" w:sz="4" w:space="1" w:color="auto"/>
          <w:left w:val="single" w:sz="4" w:space="1" w:color="auto"/>
          <w:bottom w:val="single" w:sz="4" w:space="1" w:color="auto"/>
          <w:right w:val="single" w:sz="4" w:space="1" w:color="auto"/>
        </w:pBdr>
        <w:shd w:val="clear" w:color="auto" w:fill="E4E4E4"/>
      </w:pPr>
      <w:r>
        <w:t>Creative skills may be found outside of creative industries</w:t>
      </w:r>
      <w:r w:rsidR="00D511E2">
        <w:t>—</w:t>
      </w:r>
      <w:r>
        <w:t>in other sectors</w:t>
      </w:r>
      <w:r w:rsidR="00D511E2">
        <w:t>—</w:t>
      </w:r>
      <w:r>
        <w:t>and are likely to be in higher demand in the future. R</w:t>
      </w:r>
      <w:r w:rsidRPr="00B373EA">
        <w:t>esearch by Nesta</w:t>
      </w:r>
      <w:r w:rsidRPr="007F43EC">
        <w:rPr>
          <w:vertAlign w:val="superscript"/>
        </w:rPr>
        <w:endnoteReference w:id="31"/>
      </w:r>
      <w:r w:rsidRPr="00B373EA">
        <w:t xml:space="preserve"> look</w:t>
      </w:r>
      <w:r>
        <w:t>ed</w:t>
      </w:r>
      <w:r w:rsidRPr="00B373EA">
        <w:t xml:space="preserve"> at wh</w:t>
      </w:r>
      <w:r>
        <w:t xml:space="preserve">ich </w:t>
      </w:r>
      <w:r w:rsidRPr="00B373EA">
        <w:t xml:space="preserve">skills </w:t>
      </w:r>
      <w:r>
        <w:t>are expected to</w:t>
      </w:r>
      <w:r w:rsidRPr="00B373EA">
        <w:t xml:space="preserve"> be in high</w:t>
      </w:r>
      <w:r>
        <w:noBreakHyphen/>
      </w:r>
      <w:r w:rsidRPr="00B373EA">
        <w:t>demand</w:t>
      </w:r>
      <w:r>
        <w:t xml:space="preserve"> in the US and the UK</w:t>
      </w:r>
      <w:r w:rsidRPr="00B373EA">
        <w:t xml:space="preserve"> in a world disrupted by automation. </w:t>
      </w:r>
      <w:r>
        <w:t>A</w:t>
      </w:r>
      <w:r w:rsidRPr="00B373EA">
        <w:t>s jobs are displaced from existing ones</w:t>
      </w:r>
      <w:r>
        <w:t xml:space="preserve">, </w:t>
      </w:r>
      <w:r w:rsidRPr="00B373EA">
        <w:t xml:space="preserve">additional skills might help someone in a current job to be more employable in the future, or help that occupation evolve. </w:t>
      </w:r>
      <w:r>
        <w:t>According to the study, some of the key</w:t>
      </w:r>
      <w:r w:rsidRPr="00B373EA">
        <w:t xml:space="preserve"> skills most likely to be in greater demand in the years to 2030</w:t>
      </w:r>
      <w:r>
        <w:t xml:space="preserve"> include interpersonal skills, higher</w:t>
      </w:r>
      <w:r>
        <w:noBreakHyphen/>
        <w:t>or</w:t>
      </w:r>
      <w:r w:rsidR="005165D7">
        <w:t>der cognitive skills and system</w:t>
      </w:r>
      <w:r w:rsidR="005165D7">
        <w:noBreakHyphen/>
      </w:r>
      <w:r>
        <w:t>thinking skills</w:t>
      </w:r>
      <w:r w:rsidR="00D511E2">
        <w:t>—</w:t>
      </w:r>
      <w:r>
        <w:t>such as judgement and decision making, systems analysis and systems evaluation.</w:t>
      </w:r>
      <w:r w:rsidRPr="007F43EC">
        <w:rPr>
          <w:vertAlign w:val="superscript"/>
        </w:rPr>
        <w:endnoteReference w:id="32"/>
      </w:r>
    </w:p>
    <w:p w:rsidR="00097414" w:rsidRDefault="00097414" w:rsidP="000E442A">
      <w:pPr>
        <w:pBdr>
          <w:top w:val="single" w:sz="4" w:space="1" w:color="auto"/>
          <w:left w:val="single" w:sz="4" w:space="1" w:color="auto"/>
          <w:bottom w:val="single" w:sz="4" w:space="1" w:color="auto"/>
          <w:right w:val="single" w:sz="4" w:space="1" w:color="auto"/>
        </w:pBdr>
        <w:shd w:val="clear" w:color="auto" w:fill="E4E4E4"/>
      </w:pPr>
      <w:r>
        <w:t>The study also found that creative, digital, design and engineering occupations generally are forecast to grow.</w:t>
      </w:r>
      <w:r w:rsidRPr="007F43EC">
        <w:rPr>
          <w:vertAlign w:val="superscript"/>
        </w:rPr>
        <w:endnoteReference w:id="33"/>
      </w:r>
      <w:r>
        <w:t xml:space="preserve"> While it is difficult to precisely predict the types of new jobs that could emerge in the future, it is possible to predict the skills mix that these jobs could require. The study predicts that in the UK, these could be jobs combining fine arts, originality or design.</w:t>
      </w:r>
      <w:r w:rsidRPr="007F43EC">
        <w:rPr>
          <w:vertAlign w:val="superscript"/>
        </w:rPr>
        <w:endnoteReference w:id="34"/>
      </w:r>
    </w:p>
    <w:p w:rsidR="00097414" w:rsidRDefault="00097414" w:rsidP="000E442A">
      <w:pPr>
        <w:pBdr>
          <w:top w:val="single" w:sz="4" w:space="1" w:color="auto"/>
          <w:left w:val="single" w:sz="4" w:space="1" w:color="auto"/>
          <w:bottom w:val="single" w:sz="4" w:space="1" w:color="auto"/>
          <w:right w:val="single" w:sz="4" w:space="1" w:color="auto"/>
        </w:pBdr>
        <w:shd w:val="clear" w:color="auto" w:fill="E4E4E4"/>
      </w:pPr>
      <w:r>
        <w:t>The study also predicts that currently around one-tenth of the US and UK workforces are in occupations that are likely to grow as percentage of the workforce, and around one-fifth are in occupations that will likely shrink</w:t>
      </w:r>
      <w:r w:rsidR="00D511E2">
        <w:t>—</w:t>
      </w:r>
      <w:r>
        <w:t>in other words, about seven in ten people are currently working in occupations with an uncertain future.</w:t>
      </w:r>
      <w:r w:rsidRPr="007F43EC">
        <w:rPr>
          <w:vertAlign w:val="superscript"/>
        </w:rPr>
        <w:endnoteReference w:id="35"/>
      </w:r>
      <w:r>
        <w:t xml:space="preserve"> However, the study also suggests that occupation redesign coupled with workforce retraining could actually promote growth in those occupations.</w:t>
      </w:r>
      <w:r w:rsidRPr="007F43EC">
        <w:rPr>
          <w:vertAlign w:val="superscript"/>
        </w:rPr>
        <w:endnoteReference w:id="36"/>
      </w:r>
      <w:r w:rsidRPr="007F43EC">
        <w:rPr>
          <w:vertAlign w:val="superscript"/>
        </w:rPr>
        <w:t xml:space="preserve"> </w:t>
      </w:r>
    </w:p>
    <w:p w:rsidR="00D511E2" w:rsidRDefault="00E940BB" w:rsidP="00375B01">
      <w:r w:rsidRPr="00E940BB">
        <w:t>This analysis focuses on the direct influence of creative skills in employment outcomes, and therefore does not assess how creative skills support other skills to enable better outcomes. For example, PwC found that to maximise opportunities in the 21st century, students will need to have a range of skills such as problem solving and digital skills,</w:t>
      </w:r>
      <w:r>
        <w:rPr>
          <w:rStyle w:val="EndnoteReference"/>
        </w:rPr>
        <w:endnoteReference w:id="37"/>
      </w:r>
      <w:r>
        <w:t xml:space="preserve"> </w:t>
      </w:r>
      <w:r w:rsidRPr="00E940BB">
        <w:t>which are enabled to an extent by creativity and creative skills</w:t>
      </w:r>
      <w:r w:rsidR="00D511E2">
        <w:t>.</w:t>
      </w:r>
    </w:p>
    <w:p w:rsidR="00D511E2" w:rsidRDefault="00097414" w:rsidP="00097414">
      <w:r>
        <w:t>T</w:t>
      </w:r>
      <w:r w:rsidRPr="00011D7C">
        <w:t xml:space="preserve">he importance of creative skills and creative industries is already reflected in government programs at a state and </w:t>
      </w:r>
      <w:r w:rsidR="00FB6487">
        <w:t>federal</w:t>
      </w:r>
      <w:r w:rsidRPr="00011D7C">
        <w:t xml:space="preserve"> level in Australia, and in other jurisdictions. But these initiatives often focus on creative industries </w:t>
      </w:r>
      <w:r w:rsidR="00FB6CC8">
        <w:t xml:space="preserve">to provide </w:t>
      </w:r>
      <w:r>
        <w:t>creative outputs</w:t>
      </w:r>
      <w:r w:rsidR="00D511E2">
        <w:t>.</w:t>
      </w:r>
    </w:p>
    <w:p w:rsidR="00C74D99" w:rsidRPr="00D511E2" w:rsidRDefault="00097414" w:rsidP="00D511E2">
      <w:r>
        <w:lastRenderedPageBreak/>
        <w:t xml:space="preserve">If creative skills and training have broader benefits and are expected to increase in importance as technological change continues, </w:t>
      </w:r>
      <w:r w:rsidRPr="00011D7C">
        <w:t xml:space="preserve">then the </w:t>
      </w:r>
      <w:r>
        <w:t>importance</w:t>
      </w:r>
      <w:r w:rsidRPr="00011D7C">
        <w:t xml:space="preserve"> of government initiatives to underpin the creative economy may be greater than traditionally thought. </w:t>
      </w:r>
      <w:r w:rsidR="00FB6CC8">
        <w:t>This requires u</w:t>
      </w:r>
      <w:r>
        <w:t>nderstanding how creativity is fostered and used, and the innovation and growth it drives</w:t>
      </w:r>
      <w:r w:rsidR="00FB6CC8">
        <w:t>.</w:t>
      </w:r>
    </w:p>
    <w:p w:rsidR="007F43EC" w:rsidRDefault="00FB6CC8" w:rsidP="005F44EF">
      <w:pPr>
        <w:pStyle w:val="Heading2"/>
      </w:pPr>
      <w:bookmarkStart w:id="12" w:name="_Toc531801736"/>
      <w:r>
        <w:lastRenderedPageBreak/>
        <w:t xml:space="preserve">Defining creativity </w:t>
      </w:r>
      <w:r w:rsidR="00FD51E6">
        <w:t>and creative skills</w:t>
      </w:r>
      <w:bookmarkEnd w:id="12"/>
    </w:p>
    <w:p w:rsidR="005F44EF" w:rsidRDefault="005F44EF" w:rsidP="00D511E2">
      <w:pPr>
        <w:pStyle w:val="Heading3"/>
      </w:pPr>
      <w:r>
        <w:t xml:space="preserve">Key </w:t>
      </w:r>
      <w:r w:rsidRPr="00BE5E04">
        <w:t>points</w:t>
      </w:r>
    </w:p>
    <w:p w:rsidR="00D511E2" w:rsidRDefault="00BE5E04" w:rsidP="001A1503">
      <w:pPr>
        <w:pStyle w:val="Bulletlevel1"/>
      </w:pPr>
      <w:r w:rsidRPr="00BE5E04">
        <w:t xml:space="preserve">There are many approaches to </w:t>
      </w:r>
      <w:r>
        <w:t>defining and measuring creativity and creative skills</w:t>
      </w:r>
      <w:r w:rsidR="00D511E2">
        <w:t>.</w:t>
      </w:r>
    </w:p>
    <w:p w:rsidR="00FD2B2B" w:rsidRDefault="000A67CA" w:rsidP="001A1503">
      <w:pPr>
        <w:pStyle w:val="Bulletlevel1"/>
      </w:pPr>
      <w:r>
        <w:t xml:space="preserve">The </w:t>
      </w:r>
      <w:r w:rsidR="00206B4A">
        <w:t>Bureau of Communications and Arts Research (BCAR)</w:t>
      </w:r>
      <w:r>
        <w:t xml:space="preserve"> approach to defining creative skills builds on work from Nesta and Australian </w:t>
      </w:r>
      <w:r w:rsidR="00F07561">
        <w:t xml:space="preserve">academic research </w:t>
      </w:r>
      <w:r>
        <w:t>that use</w:t>
      </w:r>
      <w:r w:rsidR="00F07561">
        <w:t>s</w:t>
      </w:r>
      <w:r w:rsidR="00FD2B2B">
        <w:t xml:space="preserve"> consistent criteria to determine creative occupations. The more prevalent qualifications held by employees in these occupations are identified as creative skills.</w:t>
      </w:r>
    </w:p>
    <w:p w:rsidR="00804724" w:rsidRDefault="00804724" w:rsidP="009627BA">
      <w:pPr>
        <w:pStyle w:val="Bulletlevel1"/>
      </w:pPr>
      <w:r>
        <w:t>The analysis finds that creative skills, as proxied through creative qualifications, are much broader than the creative arts alone. Creative skills encompass fields that include mathematics, astronomy, marketing, computer science, and the humanities.</w:t>
      </w:r>
    </w:p>
    <w:p w:rsidR="001026CA" w:rsidRPr="00BE5E04" w:rsidRDefault="00F07561" w:rsidP="009627BA">
      <w:pPr>
        <w:pStyle w:val="Bulletlevel1"/>
      </w:pPr>
      <w:r>
        <w:t>Approximately 9.5 per cent of those employed</w:t>
      </w:r>
      <w:r w:rsidR="00FB6CC8">
        <w:t xml:space="preserve"> in Australia</w:t>
      </w:r>
      <w:r>
        <w:t xml:space="preserve"> in 2016</w:t>
      </w:r>
      <w:r w:rsidR="00D511E2">
        <w:t>—</w:t>
      </w:r>
      <w:r w:rsidR="0010618C">
        <w:t>around a million workers</w:t>
      </w:r>
      <w:r w:rsidR="00D511E2">
        <w:t>—</w:t>
      </w:r>
      <w:r>
        <w:t>held a formal creative qualification. This does not include those that have learned skills through creative practice or learning by doing.</w:t>
      </w:r>
    </w:p>
    <w:p w:rsidR="005F44EF" w:rsidRDefault="00F93E40" w:rsidP="005F44EF">
      <w:pPr>
        <w:pStyle w:val="Heading3"/>
      </w:pPr>
      <w:bookmarkStart w:id="13" w:name="_Toc531801737"/>
      <w:r>
        <w:t>What is creativity and what does it enable?</w:t>
      </w:r>
      <w:bookmarkEnd w:id="13"/>
    </w:p>
    <w:p w:rsidR="00D511E2" w:rsidRDefault="005F44EF" w:rsidP="005F44EF">
      <w:r>
        <w:t>It is hard to define creativity in the abstract. Definitions of creativity often depend</w:t>
      </w:r>
      <w:r w:rsidR="00FB6CC8">
        <w:t xml:space="preserve"> </w:t>
      </w:r>
      <w:r>
        <w:t xml:space="preserve">on context. For example, the creativity to write a piece of music is different to the creativity used to address a </w:t>
      </w:r>
      <w:r w:rsidR="007B540F">
        <w:t>technical computer coding problem</w:t>
      </w:r>
      <w:r>
        <w:t>. Individuals are described as being creative, but so are organisations, firms and entire industries</w:t>
      </w:r>
      <w:r w:rsidR="00D511E2">
        <w:t>.</w:t>
      </w:r>
    </w:p>
    <w:p w:rsidR="00AC5281" w:rsidRDefault="00F93E40" w:rsidP="005F44EF">
      <w:r>
        <w:t xml:space="preserve">Identifying what creativity enables is more straightforward. </w:t>
      </w:r>
      <w:r w:rsidR="00CF0988">
        <w:t xml:space="preserve">An examination of the literature on the definitions of creativity indicates that creativity is critical for innovation (table </w:t>
      </w:r>
      <w:r w:rsidR="0098638D">
        <w:t>2</w:t>
      </w:r>
      <w:r w:rsidR="00CF0988">
        <w:t xml:space="preserve">) because it is the means to generate new or novel ideas. </w:t>
      </w:r>
      <w:r w:rsidR="00055007">
        <w:t>This is important for innovation, which is the expression or implementation of new or novel products and processes.</w:t>
      </w:r>
    </w:p>
    <w:p w:rsidR="00AC704A" w:rsidRDefault="00AC5281" w:rsidP="005F44EF">
      <w:r>
        <w:t xml:space="preserve">Creativity is also intrinsically linked to cultural impacts and outcomes. </w:t>
      </w:r>
      <w:r w:rsidR="00E83889">
        <w:t xml:space="preserve">Analysis by the BCAR has found that the majority </w:t>
      </w:r>
      <w:r w:rsidR="00FB6487">
        <w:t xml:space="preserve">of </w:t>
      </w:r>
      <w:r w:rsidR="00E83889">
        <w:t>creative activity in 2016</w:t>
      </w:r>
      <w:r w:rsidR="00BA70F9">
        <w:t>–</w:t>
      </w:r>
      <w:r w:rsidR="00E83889">
        <w:t>17 in Australia by value could also be classified as cultural activity.</w:t>
      </w:r>
      <w:r w:rsidR="00E83889">
        <w:rPr>
          <w:rStyle w:val="EndnoteReference"/>
        </w:rPr>
        <w:endnoteReference w:id="38"/>
      </w:r>
    </w:p>
    <w:p w:rsidR="0004516E" w:rsidRDefault="0098638D" w:rsidP="0004516E">
      <w:pPr>
        <w:pStyle w:val="Tablefigureheading"/>
      </w:pPr>
      <w:bookmarkStart w:id="14" w:name="_Toc532208386"/>
      <w:r>
        <w:t>Table 2</w:t>
      </w:r>
      <w:r w:rsidR="0004516E">
        <w:t>: Review of definitions of creativity</w:t>
      </w:r>
      <w:bookmarkEnd w:id="14"/>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2: Review of definitinos of creativity"/>
      </w:tblPr>
      <w:tblGrid>
        <w:gridCol w:w="1489"/>
        <w:gridCol w:w="7796"/>
      </w:tblGrid>
      <w:tr w:rsidR="0004516E" w:rsidTr="006132F0">
        <w:trPr>
          <w:cantSplit/>
          <w:tblHeader/>
        </w:trPr>
        <w:tc>
          <w:tcPr>
            <w:tcW w:w="1418" w:type="dxa"/>
            <w:tcBorders>
              <w:top w:val="nil"/>
              <w:left w:val="nil"/>
              <w:bottom w:val="thickThinLargeGap" w:sz="24" w:space="0" w:color="auto"/>
              <w:right w:val="nil"/>
            </w:tcBorders>
            <w:shd w:val="clear" w:color="auto" w:fill="0066AB"/>
            <w:hideMark/>
          </w:tcPr>
          <w:p w:rsidR="0004516E" w:rsidRDefault="0004516E" w:rsidP="004C428E">
            <w:pPr>
              <w:pStyle w:val="Tablerowcolumnheading"/>
            </w:pPr>
            <w:r>
              <w:t>Reference</w:t>
            </w:r>
          </w:p>
        </w:tc>
        <w:tc>
          <w:tcPr>
            <w:tcW w:w="7796" w:type="dxa"/>
            <w:tcBorders>
              <w:top w:val="nil"/>
              <w:left w:val="nil"/>
              <w:bottom w:val="thickThinLargeGap" w:sz="24" w:space="0" w:color="auto"/>
              <w:right w:val="nil"/>
            </w:tcBorders>
            <w:shd w:val="clear" w:color="auto" w:fill="0066AB"/>
            <w:hideMark/>
          </w:tcPr>
          <w:p w:rsidR="0004516E" w:rsidRDefault="0004516E" w:rsidP="00D511E2">
            <w:pPr>
              <w:pStyle w:val="Tablerowcolumnheading"/>
            </w:pPr>
            <w:r>
              <w:t>Definition of creativity</w:t>
            </w:r>
          </w:p>
        </w:tc>
      </w:tr>
      <w:tr w:rsidR="00B154AF" w:rsidTr="006132F0">
        <w:trPr>
          <w:cantSplit/>
        </w:trPr>
        <w:tc>
          <w:tcPr>
            <w:tcW w:w="1418" w:type="dxa"/>
            <w:tcBorders>
              <w:top w:val="thickThinLargeGap" w:sz="24" w:space="0" w:color="auto"/>
              <w:left w:val="nil"/>
              <w:bottom w:val="single" w:sz="4" w:space="0" w:color="auto"/>
              <w:right w:val="nil"/>
            </w:tcBorders>
            <w:shd w:val="clear" w:color="auto" w:fill="auto"/>
            <w:hideMark/>
          </w:tcPr>
          <w:p w:rsidR="00B154AF" w:rsidRPr="0004516E" w:rsidRDefault="00B154AF" w:rsidP="00D511E2">
            <w:pPr>
              <w:pStyle w:val="Tabletext"/>
            </w:pPr>
            <w:r w:rsidRPr="0004516E">
              <w:t>King</w:t>
            </w:r>
            <w:r w:rsidRPr="0004516E">
              <w:rPr>
                <w:vertAlign w:val="superscript"/>
              </w:rPr>
              <w:endnoteReference w:id="39"/>
            </w:r>
          </w:p>
        </w:tc>
        <w:tc>
          <w:tcPr>
            <w:tcW w:w="7796" w:type="dxa"/>
            <w:tcBorders>
              <w:top w:val="thickThinLargeGap" w:sz="24" w:space="0" w:color="auto"/>
              <w:left w:val="nil"/>
              <w:bottom w:val="single" w:sz="4" w:space="0" w:color="auto"/>
              <w:right w:val="nil"/>
            </w:tcBorders>
            <w:shd w:val="clear" w:color="auto" w:fill="auto"/>
            <w:hideMark/>
          </w:tcPr>
          <w:p w:rsidR="00B154AF" w:rsidRPr="00431AE8" w:rsidRDefault="00B154AF" w:rsidP="00D511E2">
            <w:pPr>
              <w:pStyle w:val="Tabletext"/>
            </w:pPr>
            <w:r w:rsidRPr="001028EE">
              <w:t>“Work creativity is seen as the process by which an individual produces a novel and appropriate solution to a work-related problem.”</w:t>
            </w:r>
          </w:p>
        </w:tc>
      </w:tr>
      <w:tr w:rsidR="00B154AF" w:rsidTr="006132F0">
        <w:trPr>
          <w:cantSplit/>
        </w:trPr>
        <w:tc>
          <w:tcPr>
            <w:tcW w:w="1418" w:type="dxa"/>
            <w:tcBorders>
              <w:top w:val="single" w:sz="4" w:space="0" w:color="auto"/>
              <w:left w:val="nil"/>
              <w:bottom w:val="single" w:sz="4" w:space="0" w:color="auto"/>
              <w:right w:val="nil"/>
            </w:tcBorders>
            <w:shd w:val="clear" w:color="auto" w:fill="auto"/>
            <w:hideMark/>
          </w:tcPr>
          <w:p w:rsidR="00B154AF" w:rsidRPr="0004516E" w:rsidRDefault="00B154AF" w:rsidP="00D511E2">
            <w:pPr>
              <w:pStyle w:val="Tabletext"/>
            </w:pPr>
            <w:r w:rsidRPr="0004516E">
              <w:t>Amabile</w:t>
            </w:r>
            <w:r w:rsidRPr="0004516E">
              <w:rPr>
                <w:vertAlign w:val="superscript"/>
              </w:rPr>
              <w:endnoteReference w:id="40"/>
            </w:r>
          </w:p>
        </w:tc>
        <w:tc>
          <w:tcPr>
            <w:tcW w:w="7796" w:type="dxa"/>
            <w:tcBorders>
              <w:top w:val="single" w:sz="4" w:space="0" w:color="auto"/>
              <w:left w:val="nil"/>
              <w:bottom w:val="single" w:sz="4" w:space="0" w:color="auto"/>
              <w:right w:val="nil"/>
            </w:tcBorders>
            <w:shd w:val="clear" w:color="auto" w:fill="auto"/>
            <w:hideMark/>
          </w:tcPr>
          <w:p w:rsidR="00B154AF" w:rsidRPr="00431AE8" w:rsidRDefault="00B154AF" w:rsidP="00D511E2">
            <w:pPr>
              <w:pStyle w:val="Tabletext"/>
            </w:pPr>
            <w:r w:rsidRPr="001028EE">
              <w:t xml:space="preserve">“…the production of novel, appropriate ideas in </w:t>
            </w:r>
            <w:r w:rsidRPr="001028EE">
              <w:rPr>
                <w:i/>
              </w:rPr>
              <w:t>any</w:t>
            </w:r>
            <w:r w:rsidRPr="001028EE">
              <w:t xml:space="preserve"> realm of human activity, from science, to the arts, to education, to business, to everyday life. The ideas must be novel (…), appropriate to the problem or opportunity presented.”</w:t>
            </w:r>
          </w:p>
        </w:tc>
      </w:tr>
      <w:tr w:rsidR="00B154AF" w:rsidTr="006132F0">
        <w:trPr>
          <w:cantSplit/>
        </w:trPr>
        <w:tc>
          <w:tcPr>
            <w:tcW w:w="1418" w:type="dxa"/>
            <w:tcBorders>
              <w:top w:val="single" w:sz="4" w:space="0" w:color="auto"/>
              <w:left w:val="nil"/>
              <w:bottom w:val="single" w:sz="4" w:space="0" w:color="auto"/>
              <w:right w:val="nil"/>
            </w:tcBorders>
            <w:shd w:val="clear" w:color="auto" w:fill="auto"/>
          </w:tcPr>
          <w:p w:rsidR="00B154AF" w:rsidRPr="0004516E" w:rsidRDefault="00B154AF" w:rsidP="00D511E2">
            <w:pPr>
              <w:pStyle w:val="Tabletext"/>
            </w:pPr>
            <w:r w:rsidRPr="0004516E">
              <w:t>Parkhurst</w:t>
            </w:r>
            <w:r w:rsidRPr="0004516E">
              <w:rPr>
                <w:vertAlign w:val="superscript"/>
              </w:rPr>
              <w:endnoteReference w:id="41"/>
            </w:r>
          </w:p>
        </w:tc>
        <w:tc>
          <w:tcPr>
            <w:tcW w:w="7796" w:type="dxa"/>
            <w:tcBorders>
              <w:top w:val="single" w:sz="4" w:space="0" w:color="auto"/>
              <w:left w:val="nil"/>
              <w:bottom w:val="single" w:sz="4" w:space="0" w:color="auto"/>
              <w:right w:val="nil"/>
            </w:tcBorders>
            <w:shd w:val="clear" w:color="auto" w:fill="auto"/>
          </w:tcPr>
          <w:p w:rsidR="00B154AF" w:rsidRPr="00431AE8" w:rsidRDefault="00B154AF" w:rsidP="00D511E2">
            <w:pPr>
              <w:pStyle w:val="Tabletext"/>
            </w:pPr>
            <w:r w:rsidRPr="001028EE">
              <w:t>“…the ability or quality displayed when solving hitherto unsolved problems, when developing novel solutions to problems others have solved differently, or when developing original and novel (at least to the originator) products.”</w:t>
            </w:r>
          </w:p>
        </w:tc>
      </w:tr>
      <w:tr w:rsidR="00B154AF" w:rsidTr="006132F0">
        <w:trPr>
          <w:cantSplit/>
        </w:trPr>
        <w:tc>
          <w:tcPr>
            <w:tcW w:w="1418" w:type="dxa"/>
            <w:tcBorders>
              <w:top w:val="single" w:sz="4" w:space="0" w:color="auto"/>
              <w:left w:val="nil"/>
              <w:bottom w:val="single" w:sz="4" w:space="0" w:color="auto"/>
              <w:right w:val="nil"/>
            </w:tcBorders>
            <w:shd w:val="clear" w:color="auto" w:fill="auto"/>
          </w:tcPr>
          <w:p w:rsidR="00B154AF" w:rsidRPr="0004516E" w:rsidRDefault="00B154AF" w:rsidP="00D511E2">
            <w:pPr>
              <w:pStyle w:val="Tabletext"/>
            </w:pPr>
            <w:r w:rsidRPr="0004516E">
              <w:t>British Government</w:t>
            </w:r>
            <w:r w:rsidRPr="0004516E">
              <w:rPr>
                <w:vertAlign w:val="superscript"/>
              </w:rPr>
              <w:endnoteReference w:id="42"/>
            </w:r>
          </w:p>
        </w:tc>
        <w:tc>
          <w:tcPr>
            <w:tcW w:w="7796" w:type="dxa"/>
            <w:tcBorders>
              <w:top w:val="single" w:sz="4" w:space="0" w:color="auto"/>
              <w:left w:val="nil"/>
              <w:bottom w:val="single" w:sz="4" w:space="0" w:color="auto"/>
              <w:right w:val="nil"/>
            </w:tcBorders>
            <w:shd w:val="clear" w:color="auto" w:fill="auto"/>
          </w:tcPr>
          <w:p w:rsidR="00B154AF" w:rsidRPr="00431AE8" w:rsidRDefault="00B154AF" w:rsidP="00D511E2">
            <w:pPr>
              <w:pStyle w:val="Tabletext"/>
            </w:pPr>
            <w:r w:rsidRPr="001028EE">
              <w:t>[Creative industries are] “those industries which have their origin in individual creativity, skill and talent, and which have a potential for wealth and job creation through the generation and exploitation of intellectual property.”</w:t>
            </w:r>
          </w:p>
        </w:tc>
      </w:tr>
      <w:tr w:rsidR="00B154AF" w:rsidTr="006132F0">
        <w:trPr>
          <w:cantSplit/>
        </w:trPr>
        <w:tc>
          <w:tcPr>
            <w:tcW w:w="1418" w:type="dxa"/>
            <w:tcBorders>
              <w:top w:val="single" w:sz="4" w:space="0" w:color="auto"/>
              <w:left w:val="nil"/>
              <w:bottom w:val="single" w:sz="4" w:space="0" w:color="auto"/>
              <w:right w:val="nil"/>
            </w:tcBorders>
            <w:shd w:val="clear" w:color="auto" w:fill="FFFFFF" w:themeFill="background1"/>
          </w:tcPr>
          <w:p w:rsidR="00B154AF" w:rsidRPr="0004516E" w:rsidRDefault="00B154AF" w:rsidP="00D511E2">
            <w:pPr>
              <w:pStyle w:val="Tabletext"/>
            </w:pPr>
            <w:r w:rsidRPr="0004516E">
              <w:t>Kampylis, Berki &amp; Saariluoma</w:t>
            </w:r>
            <w:r w:rsidRPr="0004516E">
              <w:rPr>
                <w:vertAlign w:val="superscript"/>
              </w:rPr>
              <w:endnoteReference w:id="43"/>
            </w:r>
          </w:p>
        </w:tc>
        <w:tc>
          <w:tcPr>
            <w:tcW w:w="7796" w:type="dxa"/>
            <w:tcBorders>
              <w:top w:val="single" w:sz="4" w:space="0" w:color="auto"/>
              <w:left w:val="nil"/>
              <w:bottom w:val="single" w:sz="4" w:space="0" w:color="auto"/>
              <w:right w:val="nil"/>
            </w:tcBorders>
            <w:shd w:val="clear" w:color="auto" w:fill="FFFFFF" w:themeFill="background1"/>
          </w:tcPr>
          <w:p w:rsidR="00B154AF" w:rsidRPr="00431AE8" w:rsidRDefault="00B154AF" w:rsidP="00D511E2">
            <w:pPr>
              <w:pStyle w:val="Tabletext"/>
            </w:pPr>
            <w:r w:rsidRPr="001028EE">
              <w:t>“…the activity (both mental and physical) that (…) leads to tangible or intangible outcomes that are original, useful, ethical and desirable, at least to the creator(s).”</w:t>
            </w:r>
          </w:p>
        </w:tc>
      </w:tr>
      <w:tr w:rsidR="00B154AF" w:rsidTr="006132F0">
        <w:trPr>
          <w:cantSplit/>
        </w:trPr>
        <w:tc>
          <w:tcPr>
            <w:tcW w:w="1418" w:type="dxa"/>
            <w:tcBorders>
              <w:top w:val="single" w:sz="4" w:space="0" w:color="auto"/>
              <w:left w:val="nil"/>
              <w:bottom w:val="single" w:sz="12" w:space="0" w:color="auto"/>
              <w:right w:val="nil"/>
            </w:tcBorders>
            <w:shd w:val="clear" w:color="auto" w:fill="FFFFFF" w:themeFill="background1"/>
          </w:tcPr>
          <w:p w:rsidR="00B154AF" w:rsidRPr="0004516E" w:rsidRDefault="00B154AF" w:rsidP="00D511E2">
            <w:pPr>
              <w:pStyle w:val="Tabletext"/>
            </w:pPr>
            <w:r w:rsidRPr="00B154AF">
              <w:lastRenderedPageBreak/>
              <w:t>Zorloni</w:t>
            </w:r>
            <w:r w:rsidRPr="00B154AF">
              <w:rPr>
                <w:vertAlign w:val="superscript"/>
              </w:rPr>
              <w:endnoteReference w:id="44"/>
            </w:r>
          </w:p>
        </w:tc>
        <w:tc>
          <w:tcPr>
            <w:tcW w:w="7796" w:type="dxa"/>
            <w:tcBorders>
              <w:top w:val="single" w:sz="4" w:space="0" w:color="auto"/>
              <w:left w:val="nil"/>
              <w:bottom w:val="single" w:sz="12" w:space="0" w:color="auto"/>
              <w:right w:val="nil"/>
            </w:tcBorders>
            <w:shd w:val="clear" w:color="auto" w:fill="FFFFFF" w:themeFill="background1"/>
          </w:tcPr>
          <w:p w:rsidR="00B154AF" w:rsidRPr="001028EE" w:rsidRDefault="00B154AF" w:rsidP="00D511E2">
            <w:pPr>
              <w:pStyle w:val="Tabletext"/>
            </w:pPr>
            <w:r w:rsidRPr="001028EE">
              <w:t>“Newness and utility adequately illustrate the essence of the creative act: an overtaking of the existing rules (newness) which</w:t>
            </w:r>
            <w:r w:rsidR="003336DD">
              <w:t xml:space="preserve"> have been granted economic</w:t>
            </w:r>
            <w:r w:rsidRPr="001028EE">
              <w:t>, aesthetic or ethical value (utility)”.</w:t>
            </w:r>
          </w:p>
          <w:p w:rsidR="00B154AF" w:rsidRDefault="00B154AF" w:rsidP="00D511E2">
            <w:pPr>
              <w:pStyle w:val="Tabletext"/>
            </w:pPr>
            <w:r w:rsidRPr="001028EE">
              <w:t>(…) “Creativity is an inherently immaterial and intangible resource that, if it is to be transformed into an innovation and to be disseminated, needs to be incorporated into materials formats (a painting, movie, book) or immaterial ones (a performance (…)). While the format is typically a private good, the creativity embedded in an object is a public good, characterized by non-rivalry in consumption and low costs of exclusion.”</w:t>
            </w:r>
          </w:p>
        </w:tc>
      </w:tr>
    </w:tbl>
    <w:p w:rsidR="0004516E" w:rsidRPr="00C16794" w:rsidRDefault="0004516E" w:rsidP="0004516E">
      <w:pPr>
        <w:pStyle w:val="Sourcenote"/>
      </w:pPr>
      <w:r>
        <w:t xml:space="preserve">Source: </w:t>
      </w:r>
      <w:r w:rsidR="00B154AF">
        <w:t>Table compiled by the BCAR using the references listed</w:t>
      </w:r>
      <w:r w:rsidR="004B1CCD">
        <w:t xml:space="preserve"> above</w:t>
      </w:r>
      <w:r w:rsidR="00B154AF">
        <w:t>.</w:t>
      </w:r>
    </w:p>
    <w:p w:rsidR="00055007" w:rsidRDefault="001A28CB" w:rsidP="005F44EF">
      <w:r>
        <w:t xml:space="preserve">Creativity is also important for innovation in practice. </w:t>
      </w:r>
      <w:r w:rsidR="00055007">
        <w:t xml:space="preserve">For example, most </w:t>
      </w:r>
      <w:r w:rsidR="004F7A9C">
        <w:t xml:space="preserve">Australian </w:t>
      </w:r>
      <w:r w:rsidR="00055007">
        <w:t>innovation-active firms in 2016</w:t>
      </w:r>
      <w:r w:rsidR="00BA70F9">
        <w:t>–</w:t>
      </w:r>
      <w:r w:rsidR="00055007">
        <w:t>17 sourced the ideas and information for their innovation from within the business</w:t>
      </w:r>
      <w:r w:rsidR="004F7A9C">
        <w:t>. This includes a range of innovations that are new to Australia and new to the world.</w:t>
      </w:r>
      <w:r w:rsidR="00EE63AB">
        <w:rPr>
          <w:rStyle w:val="EndnoteReference"/>
        </w:rPr>
        <w:endnoteReference w:id="45"/>
      </w:r>
    </w:p>
    <w:p w:rsidR="005F44EF" w:rsidRDefault="00B35924" w:rsidP="005F44EF">
      <w:pPr>
        <w:pStyle w:val="Heading3"/>
      </w:pPr>
      <w:bookmarkStart w:id="15" w:name="_Toc531801738"/>
      <w:r>
        <w:t>Occupational information can be used to identify creative roles</w:t>
      </w:r>
      <w:bookmarkEnd w:id="15"/>
    </w:p>
    <w:p w:rsidR="005F44EF" w:rsidRDefault="005F44EF" w:rsidP="005F44EF">
      <w:r>
        <w:t xml:space="preserve">While it is </w:t>
      </w:r>
      <w:r w:rsidR="00751806">
        <w:t xml:space="preserve">not possible </w:t>
      </w:r>
      <w:r>
        <w:t xml:space="preserve">to </w:t>
      </w:r>
      <w:r w:rsidR="00C346B6">
        <w:t xml:space="preserve">directly </w:t>
      </w:r>
      <w:r>
        <w:t>observe the</w:t>
      </w:r>
      <w:r w:rsidR="000A5700">
        <w:t xml:space="preserve"> extent to which an economy can be considered ‘creative’, s</w:t>
      </w:r>
      <w:r>
        <w:t xml:space="preserve">ome </w:t>
      </w:r>
      <w:r w:rsidR="000A5700">
        <w:t>approaches</w:t>
      </w:r>
      <w:r>
        <w:t xml:space="preserve"> can be used to gauge creativity indirectly. </w:t>
      </w:r>
      <w:r w:rsidR="00097879">
        <w:t xml:space="preserve">One approach is to </w:t>
      </w:r>
      <w:r>
        <w:t>measur</w:t>
      </w:r>
      <w:r w:rsidR="00097879">
        <w:t xml:space="preserve">e </w:t>
      </w:r>
      <w:r>
        <w:t>the number of people who are employed in creative occupations</w:t>
      </w:r>
      <w:r w:rsidR="00751806">
        <w:t xml:space="preserve"> and/or</w:t>
      </w:r>
      <w:r>
        <w:t xml:space="preserve"> creative industries.</w:t>
      </w:r>
      <w:r w:rsidR="00097879">
        <w:rPr>
          <w:rStyle w:val="EndnoteReference"/>
        </w:rPr>
        <w:endnoteReference w:id="46"/>
      </w:r>
    </w:p>
    <w:p w:rsidR="005F44EF" w:rsidRDefault="005F44EF" w:rsidP="00786E75">
      <w:pPr>
        <w:keepNext/>
      </w:pPr>
      <w:r>
        <w:t>Researchers have previously examined what</w:t>
      </w:r>
      <w:r w:rsidR="00883F2F">
        <w:t xml:space="preserve"> constitutes a</w:t>
      </w:r>
      <w:r>
        <w:t xml:space="preserve"> creative occupation or</w:t>
      </w:r>
      <w:r w:rsidR="00883F2F">
        <w:t xml:space="preserve"> role</w:t>
      </w:r>
      <w:r>
        <w:t>. N</w:t>
      </w:r>
      <w:r w:rsidR="004D60AF">
        <w:t>esta</w:t>
      </w:r>
      <w:r>
        <w:t xml:space="preserve"> in the United Kingdom defined creative occupations as:</w:t>
      </w:r>
    </w:p>
    <w:p w:rsidR="005F44EF" w:rsidRDefault="005F44EF" w:rsidP="005F44EF">
      <w:pPr>
        <w:pStyle w:val="Quote"/>
      </w:pPr>
      <w:r w:rsidRPr="009956E7">
        <w:t>…those roles that utilise a range of ‘creative and design skills’ to create new or significantly different or enhanced services, artefacts and products of value, irrespective of the industries in which they do this. These creative skills involve a combination of original thought</w:t>
      </w:r>
      <w:r w:rsidR="00D511E2">
        <w:t>—</w:t>
      </w:r>
      <w:r w:rsidRPr="009956E7">
        <w:t>with the most creative skills involving inspired problem-solving</w:t>
      </w:r>
      <w:r w:rsidR="00D511E2">
        <w:t>—</w:t>
      </w:r>
      <w:r w:rsidRPr="009956E7">
        <w:t>within defined processes to deliver or realise the output. This combination of inspiration and implementation, we argue, also makes these roles more resistant to mechanisation.</w:t>
      </w:r>
      <w:r w:rsidRPr="009956E7">
        <w:rPr>
          <w:rStyle w:val="EndnoteReference"/>
        </w:rPr>
        <w:endnoteReference w:id="47"/>
      </w:r>
    </w:p>
    <w:p w:rsidR="005F44EF" w:rsidRDefault="00883F2F" w:rsidP="00470D17">
      <w:pPr>
        <w:keepNext/>
      </w:pPr>
      <w:r>
        <w:t>Using this definition, Nesta derived a set of criteria to identify creative occupations. These criteria</w:t>
      </w:r>
      <w:r w:rsidR="00B714FC">
        <w:t>, and the questions that they pose,</w:t>
      </w:r>
      <w:r w:rsidR="00470D17">
        <w:t xml:space="preserve"> include:</w:t>
      </w:r>
    </w:p>
    <w:p w:rsidR="005F44EF" w:rsidRDefault="005F44EF" w:rsidP="005F44EF">
      <w:pPr>
        <w:pStyle w:val="Bulletlevel1"/>
      </w:pPr>
      <w:r w:rsidRPr="009956E7">
        <w:t>Non-Uniformity</w:t>
      </w:r>
      <w:r w:rsidR="00D511E2">
        <w:t>—</w:t>
      </w:r>
      <w:r w:rsidR="00484C49">
        <w:t>is the ‘output’ associated with the occupation likely to vary each time it is created because of the interplay of factors, skills, creative impulse and learning?</w:t>
      </w:r>
    </w:p>
    <w:p w:rsidR="005F44EF" w:rsidRDefault="005F44EF" w:rsidP="005F44EF">
      <w:pPr>
        <w:pStyle w:val="Bulletlevel1"/>
      </w:pPr>
      <w:r w:rsidRPr="009956E7">
        <w:t>Creative Output</w:t>
      </w:r>
      <w:r w:rsidR="00D511E2">
        <w:t>—</w:t>
      </w:r>
      <w:r w:rsidR="00484C49">
        <w:t>is the output of the occupation mostly perceived as novel or creative irrespective of the context in which it is produced?</w:t>
      </w:r>
    </w:p>
    <w:p w:rsidR="005F44EF" w:rsidRDefault="005F44EF" w:rsidP="005F44EF">
      <w:pPr>
        <w:pStyle w:val="Bulletlevel1"/>
      </w:pPr>
      <w:r w:rsidRPr="009956E7">
        <w:t>Not mere transformation</w:t>
      </w:r>
      <w:r w:rsidR="00D511E2">
        <w:t>—</w:t>
      </w:r>
      <w:r w:rsidR="00484C49">
        <w:t>does the role merely ‘shift’ the service or artefact’s place or time?</w:t>
      </w:r>
    </w:p>
    <w:p w:rsidR="005F44EF" w:rsidRDefault="005F44EF" w:rsidP="00D511E2">
      <w:pPr>
        <w:pStyle w:val="Bulletlevel1"/>
      </w:pPr>
      <w:r w:rsidRPr="009956E7">
        <w:t>Novel process</w:t>
      </w:r>
      <w:r w:rsidR="00D511E2">
        <w:t>—</w:t>
      </w:r>
      <w:r w:rsidR="00484C49">
        <w:t>does the role most commonly solve a problem or achieve a goal, even one that has been established by others, in novel ways?</w:t>
      </w:r>
    </w:p>
    <w:p w:rsidR="005F44EF" w:rsidRDefault="005F44EF" w:rsidP="005F44EF">
      <w:pPr>
        <w:pStyle w:val="Bulletlevel1"/>
      </w:pPr>
      <w:r w:rsidRPr="009956E7">
        <w:t>Mechanisation-resistant</w:t>
      </w:r>
      <w:r w:rsidR="00D511E2">
        <w:t>—</w:t>
      </w:r>
      <w:r w:rsidR="00484C49">
        <w:t xml:space="preserve">is it resistant to automation? </w:t>
      </w:r>
      <w:r>
        <w:rPr>
          <w:rStyle w:val="EndnoteReference"/>
        </w:rPr>
        <w:endnoteReference w:id="48"/>
      </w:r>
    </w:p>
    <w:p w:rsidR="005F44EF" w:rsidRDefault="005F44EF" w:rsidP="005F44EF">
      <w:r>
        <w:t>A similar approach has been applied for Australian data by researchers at the Queensland University of Technology.</w:t>
      </w:r>
      <w:r>
        <w:rPr>
          <w:rStyle w:val="EndnoteReference"/>
        </w:rPr>
        <w:endnoteReference w:id="49"/>
      </w:r>
      <w:r>
        <w:t xml:space="preserve"> For each Australian occupation,</w:t>
      </w:r>
      <w:r>
        <w:rPr>
          <w:rStyle w:val="EndnoteReference"/>
        </w:rPr>
        <w:endnoteReference w:id="50"/>
      </w:r>
      <w:r>
        <w:t xml:space="preserve"> the researches applied the N</w:t>
      </w:r>
      <w:r w:rsidR="004D60AF">
        <w:t>esta</w:t>
      </w:r>
      <w:r>
        <w:t xml:space="preserve"> criteria; defining an occupation as creative if it achieved at least 4 of the criteria. This yields a list of creative occupations </w:t>
      </w:r>
      <w:r w:rsidR="004D60AF">
        <w:t xml:space="preserve">for Australia </w:t>
      </w:r>
      <w:r>
        <w:t>(</w:t>
      </w:r>
      <w:r w:rsidR="00C81681">
        <w:t xml:space="preserve">detailed in </w:t>
      </w:r>
      <w:hyperlink w:anchor="_Appendix_A:_How" w:history="1">
        <w:r w:rsidR="00C81681" w:rsidRPr="00D511E2">
          <w:rPr>
            <w:rStyle w:val="Hyperlink"/>
          </w:rPr>
          <w:t xml:space="preserve">appendix </w:t>
        </w:r>
        <w:r w:rsidR="00EA3A7C" w:rsidRPr="00D511E2">
          <w:rPr>
            <w:rStyle w:val="Hyperlink"/>
          </w:rPr>
          <w:t>A</w:t>
        </w:r>
      </w:hyperlink>
      <w:r>
        <w:t>).</w:t>
      </w:r>
    </w:p>
    <w:p w:rsidR="005F44EF" w:rsidRDefault="005F44EF" w:rsidP="0004795C">
      <w:pPr>
        <w:keepLines/>
      </w:pPr>
      <w:r>
        <w:lastRenderedPageBreak/>
        <w:t>This information was then used to determine creative industries. If an industry class (ANZISC 4-digit) has at least a certain proportion of employees in creative occupations, it is deemed to be a creative industry under the N</w:t>
      </w:r>
      <w:r w:rsidR="00D95E64">
        <w:t>esta</w:t>
      </w:r>
      <w:r>
        <w:t xml:space="preserve"> approach. The choice of this threshold affects the number of creative industries. A threshold of near-zero would make nearly every industry creative, while a higher threshold would make no industry creative. </w:t>
      </w:r>
      <w:r w:rsidR="00BE6BE0">
        <w:t>Higgs and Lennon (2014)</w:t>
      </w:r>
      <w:r>
        <w:t xml:space="preserve"> chose a threshold consistent with </w:t>
      </w:r>
      <w:r w:rsidR="00C81681">
        <w:t>Australian conditions</w:t>
      </w:r>
      <w:r>
        <w:t xml:space="preserve">, which yields </w:t>
      </w:r>
      <w:r w:rsidR="00522F29">
        <w:t>35</w:t>
      </w:r>
      <w:r>
        <w:t xml:space="preserve"> creative industries (</w:t>
      </w:r>
      <w:hyperlink w:anchor="_Appendix_A:_How" w:history="1">
        <w:r w:rsidR="00D511E2" w:rsidRPr="00D511E2">
          <w:rPr>
            <w:rStyle w:val="Hyperlink"/>
          </w:rPr>
          <w:t>appendix</w:t>
        </w:r>
        <w:r w:rsidR="00D511E2">
          <w:rPr>
            <w:rStyle w:val="Hyperlink"/>
          </w:rPr>
          <w:t> </w:t>
        </w:r>
        <w:r w:rsidR="00D511E2" w:rsidRPr="00D511E2">
          <w:rPr>
            <w:rStyle w:val="Hyperlink"/>
          </w:rPr>
          <w:t>A</w:t>
        </w:r>
      </w:hyperlink>
      <w:r>
        <w:t>).</w:t>
      </w:r>
      <w:r w:rsidR="00017D96">
        <w:rPr>
          <w:rStyle w:val="EndnoteReference"/>
        </w:rPr>
        <w:endnoteReference w:id="51"/>
      </w:r>
    </w:p>
    <w:p w:rsidR="00D511E2" w:rsidRDefault="005F44EF" w:rsidP="005F44EF">
      <w:r>
        <w:t xml:space="preserve">The </w:t>
      </w:r>
      <w:r w:rsidR="0079430B">
        <w:t>BCAR</w:t>
      </w:r>
      <w:r>
        <w:t xml:space="preserve"> has adopted this approach to measuring creative industries and occupations</w:t>
      </w:r>
      <w:r w:rsidR="00B35924">
        <w:t xml:space="preserve"> in this paper</w:t>
      </w:r>
      <w:r w:rsidR="00D511E2">
        <w:t>.</w:t>
      </w:r>
    </w:p>
    <w:p w:rsidR="005F44EF" w:rsidRDefault="00082A89" w:rsidP="005F44EF">
      <w:pPr>
        <w:pStyle w:val="Heading3"/>
      </w:pPr>
      <w:bookmarkStart w:id="16" w:name="_Toc531801739"/>
      <w:r>
        <w:t>Determining creative skills from creative occupations</w:t>
      </w:r>
      <w:bookmarkEnd w:id="16"/>
    </w:p>
    <w:p w:rsidR="00D511E2" w:rsidRDefault="00D95E64" w:rsidP="005F44EF">
      <w:r>
        <w:t>Th</w:t>
      </w:r>
      <w:r w:rsidR="003E2FAC">
        <w:t xml:space="preserve">e approach </w:t>
      </w:r>
      <w:r w:rsidR="007B2D94">
        <w:t xml:space="preserve">used in this paper </w:t>
      </w:r>
      <w:r w:rsidR="003E2FAC">
        <w:t>to examine</w:t>
      </w:r>
      <w:r w:rsidR="007B2D94">
        <w:t xml:space="preserve"> the</w:t>
      </w:r>
      <w:r w:rsidR="003E2FAC">
        <w:t xml:space="preserve"> prevalence of creative occupations </w:t>
      </w:r>
      <w:r>
        <w:t xml:space="preserve">can </w:t>
      </w:r>
      <w:r w:rsidR="0079430B">
        <w:t xml:space="preserve">also </w:t>
      </w:r>
      <w:r>
        <w:t xml:space="preserve">be used to identify </w:t>
      </w:r>
      <w:r w:rsidR="007B2D94">
        <w:t>which skills should be considered creative</w:t>
      </w:r>
      <w:r w:rsidR="00D511E2">
        <w:t>.</w:t>
      </w:r>
    </w:p>
    <w:p w:rsidR="00D95E64" w:rsidRDefault="00D95E64" w:rsidP="005F44EF">
      <w:r>
        <w:t>By analysing employment data, the skills that are relatively more prevalent in creative occupations can be identified as creative skills. For example, a qualification in Communications and Media Studies is held by around 12 per cent of those employed in a creative role (compared to around 1 per cent for all other occupations).</w:t>
      </w:r>
      <w:r>
        <w:rPr>
          <w:rStyle w:val="EndnoteReference"/>
        </w:rPr>
        <w:endnoteReference w:id="52"/>
      </w:r>
      <w:r>
        <w:t xml:space="preserve"> </w:t>
      </w:r>
      <w:r w:rsidR="00751806">
        <w:t xml:space="preserve">This means the skills gained from this qualification </w:t>
      </w:r>
      <w:r w:rsidR="00871928">
        <w:t xml:space="preserve">are more likely to be associated with creative occupations, and could </w:t>
      </w:r>
      <w:r w:rsidR="00751806">
        <w:t>be considered to be creative skills</w:t>
      </w:r>
      <w:r>
        <w:t>.</w:t>
      </w:r>
    </w:p>
    <w:p w:rsidR="00D511E2" w:rsidRDefault="007B2D94" w:rsidP="0079430B">
      <w:r>
        <w:t>However,</w:t>
      </w:r>
      <w:r w:rsidR="009B3E11">
        <w:t xml:space="preserve"> </w:t>
      </w:r>
      <w:r>
        <w:t>t</w:t>
      </w:r>
      <w:r w:rsidR="00B80EB0">
        <w:t xml:space="preserve">he </w:t>
      </w:r>
      <w:r w:rsidR="00ED2D9E" w:rsidRPr="00ED2D9E">
        <w:t>Australian Standard Classification of Education</w:t>
      </w:r>
      <w:r w:rsidR="00ED2D9E">
        <w:t xml:space="preserve"> (</w:t>
      </w:r>
      <w:r w:rsidR="00B80EB0">
        <w:t>ASCED</w:t>
      </w:r>
      <w:r w:rsidR="00ED2D9E">
        <w:t>)</w:t>
      </w:r>
      <w:r w:rsidR="00B80EB0">
        <w:t xml:space="preserve"> taxonomy is the only approach available to consistently link creative occupations to </w:t>
      </w:r>
      <w:r w:rsidR="00830D91">
        <w:t>the highest level of qualification achieved</w:t>
      </w:r>
      <w:r w:rsidR="009B3E11">
        <w:t xml:space="preserve">, which </w:t>
      </w:r>
      <w:r w:rsidR="00830D91">
        <w:t>is</w:t>
      </w:r>
      <w:r w:rsidR="009B3E11">
        <w:t xml:space="preserve"> used as a proxy for skills</w:t>
      </w:r>
      <w:r w:rsidR="00B80EB0">
        <w:t>.</w:t>
      </w:r>
      <w:r w:rsidR="00950947">
        <w:rPr>
          <w:rStyle w:val="FootnoteReference"/>
        </w:rPr>
        <w:footnoteReference w:id="2"/>
      </w:r>
      <w:r w:rsidR="00B80EB0">
        <w:t xml:space="preserve"> </w:t>
      </w:r>
      <w:r>
        <w:t>Despite</w:t>
      </w:r>
      <w:r w:rsidR="0079430B">
        <w:t xml:space="preserve"> some conceptual and</w:t>
      </w:r>
      <w:r w:rsidR="0098638D">
        <w:t xml:space="preserve"> theoretical limitations (box 2</w:t>
      </w:r>
      <w:r w:rsidR="0079430B">
        <w:t xml:space="preserve">), </w:t>
      </w:r>
      <w:r>
        <w:t xml:space="preserve">ASCED </w:t>
      </w:r>
      <w:r w:rsidR="0079430B">
        <w:t>makes the best use of the available data</w:t>
      </w:r>
      <w:r>
        <w:t xml:space="preserve"> for the purposes of this paper</w:t>
      </w:r>
      <w:r w:rsidR="00D511E2">
        <w:t>.</w:t>
      </w:r>
    </w:p>
    <w:p w:rsidR="00AE5808" w:rsidRDefault="00AE5808" w:rsidP="0079430B">
      <w:r>
        <w:t xml:space="preserve">Alternative approaches drawing on emerging data sources could be used for future analysis of the importance of creative skills. This might include defining creative qualifications and skills directly using other criteria, </w:t>
      </w:r>
      <w:r w:rsidR="009A6AF6">
        <w:t xml:space="preserve">and data sources that provide more </w:t>
      </w:r>
      <w:r>
        <w:t>information on</w:t>
      </w:r>
      <w:r w:rsidR="009A6AF6">
        <w:t xml:space="preserve"> the link between</w:t>
      </w:r>
      <w:r>
        <w:t xml:space="preserve"> skills and occupations</w:t>
      </w:r>
      <w:r w:rsidR="009A6AF6">
        <w:t>, such as O*NET data</w:t>
      </w:r>
      <w:r>
        <w:t>.</w:t>
      </w:r>
      <w:r w:rsidR="00830D91">
        <w:t xml:space="preserve"> (A discussion of some of the additional data sources needed </w:t>
      </w:r>
      <w:r w:rsidR="00FB6487">
        <w:t xml:space="preserve">to </w:t>
      </w:r>
      <w:r w:rsidR="00830D91">
        <w:t xml:space="preserve">undertake more comprehensive analysis of creative industries is provided in </w:t>
      </w:r>
      <w:hyperlink w:anchor="_Appendix_C:_What" w:history="1">
        <w:r w:rsidR="0095293E">
          <w:rPr>
            <w:rStyle w:val="Hyperlink"/>
          </w:rPr>
          <w:t>a</w:t>
        </w:r>
        <w:r w:rsidR="00830D91" w:rsidRPr="00D511E2">
          <w:rPr>
            <w:rStyle w:val="Hyperlink"/>
          </w:rPr>
          <w:t>ppendix C</w:t>
        </w:r>
      </w:hyperlink>
      <w:r w:rsidR="00830D91">
        <w:t>.)</w:t>
      </w:r>
    </w:p>
    <w:p w:rsidR="00B80EB0" w:rsidRDefault="00B80EB0" w:rsidP="00470D17">
      <w:pPr>
        <w:pStyle w:val="Heading4"/>
        <w:pBdr>
          <w:top w:val="single" w:sz="4" w:space="1" w:color="auto"/>
          <w:left w:val="single" w:sz="4" w:space="1" w:color="auto"/>
          <w:bottom w:val="single" w:sz="4" w:space="1" w:color="auto"/>
          <w:right w:val="single" w:sz="4" w:space="1" w:color="auto"/>
        </w:pBdr>
        <w:shd w:val="clear" w:color="auto" w:fill="E4E4E4"/>
        <w:rPr>
          <w:lang w:eastAsia="en-US"/>
        </w:rPr>
      </w:pPr>
      <w:r w:rsidRPr="004E70E5">
        <w:rPr>
          <w:lang w:eastAsia="en-US"/>
        </w:rPr>
        <w:lastRenderedPageBreak/>
        <w:t xml:space="preserve">Box </w:t>
      </w:r>
      <w:r>
        <w:rPr>
          <w:lang w:eastAsia="en-US"/>
        </w:rPr>
        <w:t>2</w:t>
      </w:r>
      <w:r w:rsidRPr="004E70E5">
        <w:rPr>
          <w:lang w:eastAsia="en-US"/>
        </w:rPr>
        <w:t xml:space="preserve">: </w:t>
      </w:r>
      <w:r w:rsidRPr="005F44EF">
        <w:rPr>
          <w:lang w:eastAsia="en-US"/>
        </w:rPr>
        <w:t>ASCED, skills and creativity</w:t>
      </w:r>
    </w:p>
    <w:p w:rsidR="00D511E2" w:rsidRDefault="00B80EB0" w:rsidP="00BB2DE6">
      <w:pPr>
        <w:keepNext/>
        <w:keepLines/>
        <w:pBdr>
          <w:top w:val="single" w:sz="4" w:space="1" w:color="auto"/>
          <w:left w:val="single" w:sz="4" w:space="1" w:color="auto"/>
          <w:bottom w:val="single" w:sz="4" w:space="1" w:color="auto"/>
          <w:right w:val="single" w:sz="4" w:space="1" w:color="auto"/>
        </w:pBdr>
        <w:shd w:val="clear" w:color="auto" w:fill="E4E4E4"/>
      </w:pPr>
      <w:r>
        <w:t>ASCED is a taxonomy that outlines different fields of study and levels of qualification to describe educational attainment. It is used to categorise responses in Censuses to provide a consistent picture of the skills and level of qualification that Australians hold. It is ASCED that the BCAR has used to describe different skills, regardless of the level of qualification, for the purpose of its analysis</w:t>
      </w:r>
      <w:r w:rsidR="00D511E2">
        <w:t>.</w:t>
      </w:r>
    </w:p>
    <w:p w:rsidR="00D511E2" w:rsidRDefault="00B80EB0" w:rsidP="00BB2DE6">
      <w:pPr>
        <w:keepNext/>
        <w:keepLines/>
        <w:pBdr>
          <w:top w:val="single" w:sz="4" w:space="1" w:color="auto"/>
          <w:left w:val="single" w:sz="4" w:space="1" w:color="auto"/>
          <w:bottom w:val="single" w:sz="4" w:space="1" w:color="auto"/>
          <w:right w:val="single" w:sz="4" w:space="1" w:color="auto"/>
        </w:pBdr>
        <w:shd w:val="clear" w:color="auto" w:fill="E4E4E4"/>
      </w:pPr>
      <w:r>
        <w:t>A draw</w:t>
      </w:r>
      <w:r w:rsidR="0060132F">
        <w:t>back of</w:t>
      </w:r>
      <w:r>
        <w:t xml:space="preserve"> using this data, however, is that it only partially captures creative skills. ASCED describes skills by formal qualification, which is only one dimension of creativity and creative skills. Any skills learned through creative practice rather than through formal education and training </w:t>
      </w:r>
      <w:r w:rsidR="00830D91">
        <w:t xml:space="preserve">are </w:t>
      </w:r>
      <w:r>
        <w:t>not captured in the ASCED data. Survey analysis by the Australia Council for the Arts finds that self-teaching and ‘on-the-job’ training are significant among artists, with 39 per cent nominating such training as the most important to become an artist.</w:t>
      </w:r>
      <w:r>
        <w:rPr>
          <w:rStyle w:val="EndnoteReference"/>
        </w:rPr>
        <w:endnoteReference w:id="53"/>
      </w:r>
      <w:r>
        <w:t xml:space="preserve"> </w:t>
      </w:r>
      <w:r w:rsidR="00016AFF">
        <w:t>T</w:t>
      </w:r>
      <w:r w:rsidR="00016AFF" w:rsidRPr="00FC64E6">
        <w:t>he same research noted that the majority of artists undertake training throughout their careers, including vocational training, workshops and other specialist training.</w:t>
      </w:r>
      <w:r w:rsidR="00016AFF">
        <w:t xml:space="preserve"> </w:t>
      </w:r>
      <w:r>
        <w:t xml:space="preserve">This highlights the relative importance of </w:t>
      </w:r>
      <w:r w:rsidR="008B03A5">
        <w:t>creative practice to learn skills, which is characteristic of many</w:t>
      </w:r>
      <w:r>
        <w:t xml:space="preserve"> creative industries</w:t>
      </w:r>
      <w:r w:rsidR="00D511E2">
        <w:t>.</w:t>
      </w:r>
    </w:p>
    <w:p w:rsidR="00B80EB0" w:rsidRDefault="00B80EB0" w:rsidP="00BB2DE6">
      <w:pPr>
        <w:keepNext/>
        <w:keepLines/>
        <w:pBdr>
          <w:top w:val="single" w:sz="4" w:space="1" w:color="auto"/>
          <w:left w:val="single" w:sz="4" w:space="1" w:color="auto"/>
          <w:bottom w:val="single" w:sz="4" w:space="1" w:color="auto"/>
          <w:right w:val="single" w:sz="4" w:space="1" w:color="auto"/>
        </w:pBdr>
        <w:shd w:val="clear" w:color="auto" w:fill="E4E4E4"/>
      </w:pPr>
      <w:r>
        <w:t xml:space="preserve">Further, because the data only captures the field of study for the highest level of qualification obtained, it may </w:t>
      </w:r>
      <w:r w:rsidR="0038515E">
        <w:t xml:space="preserve">not fully capture </w:t>
      </w:r>
      <w:r>
        <w:t>creative skills in the economy. For example:</w:t>
      </w:r>
    </w:p>
    <w:p w:rsidR="00B80EB0" w:rsidRPr="00901673" w:rsidRDefault="00B80EB0" w:rsidP="00BB2DE6">
      <w:pPr>
        <w:pStyle w:val="Bulletlevel1"/>
        <w:keepNext/>
        <w:keepLines/>
        <w:pBdr>
          <w:top w:val="single" w:sz="4" w:space="1" w:color="auto"/>
          <w:left w:val="single" w:sz="4" w:space="1" w:color="auto"/>
          <w:bottom w:val="single" w:sz="4" w:space="1" w:color="auto"/>
          <w:right w:val="single" w:sz="4" w:space="1" w:color="auto"/>
        </w:pBdr>
        <w:shd w:val="clear" w:color="auto" w:fill="E4E4E4"/>
      </w:pPr>
      <w:r w:rsidRPr="00901673">
        <w:t>a master painter that is self-taught would not be described as having any skills under the ASCED data in the census</w:t>
      </w:r>
      <w:r>
        <w:t xml:space="preserve"> </w:t>
      </w:r>
    </w:p>
    <w:p w:rsidR="00B80EB0" w:rsidRDefault="00B80EB0" w:rsidP="00BB2DE6">
      <w:pPr>
        <w:pStyle w:val="Bulletlevel1"/>
        <w:keepNext/>
        <w:keepLines/>
        <w:pBdr>
          <w:top w:val="single" w:sz="4" w:space="1" w:color="auto"/>
          <w:left w:val="single" w:sz="4" w:space="1" w:color="auto"/>
          <w:bottom w:val="single" w:sz="4" w:space="1" w:color="auto"/>
          <w:right w:val="single" w:sz="4" w:space="1" w:color="auto"/>
        </w:pBdr>
        <w:shd w:val="clear" w:color="auto" w:fill="E4E4E4"/>
      </w:pPr>
      <w:r w:rsidRPr="00901673">
        <w:t>a person with a bachelor degree in journalism and a masters degree in economics would only report the economics qualification for the analysis</w:t>
      </w:r>
    </w:p>
    <w:p w:rsidR="006B4530" w:rsidRPr="00901673" w:rsidRDefault="006B4530" w:rsidP="00BB2DE6">
      <w:pPr>
        <w:pStyle w:val="Bulletlevel1"/>
        <w:keepNext/>
        <w:keepLines/>
        <w:pBdr>
          <w:top w:val="single" w:sz="4" w:space="1" w:color="auto"/>
          <w:left w:val="single" w:sz="4" w:space="1" w:color="auto"/>
          <w:bottom w:val="single" w:sz="4" w:space="1" w:color="auto"/>
          <w:right w:val="single" w:sz="4" w:space="1" w:color="auto"/>
        </w:pBdr>
        <w:shd w:val="clear" w:color="auto" w:fill="E4E4E4"/>
      </w:pPr>
      <w:r>
        <w:t>a person with a bachelor degree in economics and a masters degree in journalism would only report the journalism qualification for the analysis</w:t>
      </w:r>
      <w:r w:rsidR="00D511E2">
        <w:t>—</w:t>
      </w:r>
      <w:r>
        <w:t>which may be misleading if they are employed for their economics skills in their current employment.</w:t>
      </w:r>
    </w:p>
    <w:p w:rsidR="00D511E2" w:rsidRDefault="006B4530" w:rsidP="00470D17">
      <w:pPr>
        <w:pBdr>
          <w:top w:val="single" w:sz="4" w:space="1" w:color="auto"/>
          <w:left w:val="single" w:sz="4" w:space="1" w:color="auto"/>
          <w:bottom w:val="single" w:sz="4" w:space="1" w:color="auto"/>
          <w:right w:val="single" w:sz="4" w:space="1" w:color="auto"/>
        </w:pBdr>
        <w:shd w:val="clear" w:color="auto" w:fill="E4E4E4"/>
      </w:pPr>
      <w:r>
        <w:t>This last point highlights the main caveat of using qualifications and employment data</w:t>
      </w:r>
      <w:r w:rsidR="00D511E2">
        <w:t>—</w:t>
      </w:r>
      <w:r>
        <w:t>that while creative qualifications can be observed, those qualifications are</w:t>
      </w:r>
      <w:r w:rsidR="0038515E">
        <w:t xml:space="preserve"> not necessarily </w:t>
      </w:r>
      <w:r>
        <w:t xml:space="preserve">used in their present occupation. </w:t>
      </w:r>
      <w:r w:rsidR="003C18C8">
        <w:t xml:space="preserve">Similarly, because the analysis </w:t>
      </w:r>
      <w:r w:rsidR="001914F1">
        <w:t xml:space="preserve">relies on </w:t>
      </w:r>
      <w:r w:rsidR="001914F1" w:rsidRPr="001914F1">
        <w:t xml:space="preserve">employment status, the results do not </w:t>
      </w:r>
      <w:r w:rsidR="0038515E">
        <w:t xml:space="preserve">include </w:t>
      </w:r>
      <w:r w:rsidR="001914F1" w:rsidRPr="001914F1">
        <w:t>those that hold</w:t>
      </w:r>
      <w:r w:rsidR="0038515E">
        <w:t>ing</w:t>
      </w:r>
      <w:r w:rsidR="001914F1" w:rsidRPr="001914F1">
        <w:t xml:space="preserve"> that are not employed</w:t>
      </w:r>
      <w:r w:rsidR="00D511E2">
        <w:t>.</w:t>
      </w:r>
    </w:p>
    <w:p w:rsidR="00D511E2" w:rsidRDefault="0022200B" w:rsidP="00B80EB0">
      <w:r>
        <w:t>Th</w:t>
      </w:r>
      <w:r w:rsidR="00804724">
        <w:t>e approach</w:t>
      </w:r>
      <w:r w:rsidR="009E1B35">
        <w:t xml:space="preserve"> used in this paper</w:t>
      </w:r>
      <w:r w:rsidR="00804724">
        <w:t xml:space="preserve"> to examine the prevalence of qualifications in creative and other occupations </w:t>
      </w:r>
      <w:r>
        <w:t>reveals a range of creative skills across many different fields of study (</w:t>
      </w:r>
      <w:r w:rsidR="0098638D">
        <w:t>figure 2</w:t>
      </w:r>
      <w:r w:rsidR="00B80EB0">
        <w:t>).</w:t>
      </w:r>
      <w:r>
        <w:t xml:space="preserve"> </w:t>
      </w:r>
      <w:r w:rsidR="009D5D83">
        <w:t xml:space="preserve">In aggregate, </w:t>
      </w:r>
      <w:r>
        <w:t xml:space="preserve">around </w:t>
      </w:r>
      <w:r w:rsidR="00B80EB0">
        <w:t>three</w:t>
      </w:r>
      <w:r w:rsidR="009806DE">
        <w:noBreakHyphen/>
      </w:r>
      <w:r w:rsidR="00B80EB0">
        <w:t xml:space="preserve">quarters of those employed in creative occupations in 2016 held qualifications </w:t>
      </w:r>
      <w:r w:rsidR="001665B3">
        <w:t xml:space="preserve">in </w:t>
      </w:r>
      <w:r>
        <w:t xml:space="preserve">one of </w:t>
      </w:r>
      <w:r w:rsidR="001665B3">
        <w:t>four of the broad fields of</w:t>
      </w:r>
      <w:r>
        <w:t xml:space="preserve"> study</w:t>
      </w:r>
      <w:r w:rsidR="001665B3">
        <w:t xml:space="preserve"> qualifications</w:t>
      </w:r>
      <w:r w:rsidR="00B80EB0">
        <w:t xml:space="preserve"> defined</w:t>
      </w:r>
      <w:r>
        <w:t xml:space="preserve"> in ASCED</w:t>
      </w:r>
      <w:r w:rsidR="00D511E2">
        <w:t>.</w:t>
      </w:r>
    </w:p>
    <w:p w:rsidR="00D511E2" w:rsidRDefault="00B80EB0" w:rsidP="00B80EB0">
      <w:pPr>
        <w:pStyle w:val="Bulletlevel1"/>
      </w:pPr>
      <w:r>
        <w:t xml:space="preserve">Creative arts qualifications (around </w:t>
      </w:r>
      <w:r w:rsidR="00922B0D">
        <w:t>28</w:t>
      </w:r>
      <w:r w:rsidR="009806DE">
        <w:t xml:space="preserve"> </w:t>
      </w:r>
      <w:r>
        <w:t>per cent of those employed in creative occupations): including communication and media studies, graphic and design studies, visual arts and crafts, and performing arts</w:t>
      </w:r>
      <w:r w:rsidR="00D511E2">
        <w:t>.</w:t>
      </w:r>
    </w:p>
    <w:p w:rsidR="00D511E2" w:rsidRDefault="00B80EB0" w:rsidP="00B80EB0">
      <w:pPr>
        <w:pStyle w:val="Bulletlevel1"/>
      </w:pPr>
      <w:r>
        <w:t>Information technology qualifications (</w:t>
      </w:r>
      <w:r w:rsidR="00922B0D">
        <w:t>15</w:t>
      </w:r>
      <w:r w:rsidR="009806DE">
        <w:t xml:space="preserve"> </w:t>
      </w:r>
      <w:r>
        <w:t>percent): including the broad category of information technology qualifications without further definition and computer science</w:t>
      </w:r>
      <w:r w:rsidR="00D511E2">
        <w:t>.</w:t>
      </w:r>
    </w:p>
    <w:p w:rsidR="009806DE" w:rsidRDefault="00B80EB0" w:rsidP="009806DE">
      <w:pPr>
        <w:pStyle w:val="Bulletlevel1"/>
      </w:pPr>
      <w:r>
        <w:t>Architecture and building qualifications (</w:t>
      </w:r>
      <w:r w:rsidR="00922B0D">
        <w:t>11</w:t>
      </w:r>
      <w:r w:rsidR="009806DE">
        <w:t xml:space="preserve"> </w:t>
      </w:r>
      <w:r>
        <w:t>percent): almost entirely vested in the architecture category of qualifications</w:t>
      </w:r>
      <w:r w:rsidR="009806DE" w:rsidRPr="009806DE">
        <w:t xml:space="preserve"> </w:t>
      </w:r>
    </w:p>
    <w:p w:rsidR="00B80EB0" w:rsidRDefault="009806DE" w:rsidP="00F944E6">
      <w:pPr>
        <w:pStyle w:val="Bulletlevel1"/>
      </w:pPr>
      <w:r>
        <w:lastRenderedPageBreak/>
        <w:t>Management and commerce qualifications (</w:t>
      </w:r>
      <w:r w:rsidR="00922B0D">
        <w:t>8</w:t>
      </w:r>
      <w:r>
        <w:t xml:space="preserve"> percent): including business and management, and sales and marketing.</w:t>
      </w:r>
      <w:r w:rsidR="00B80EB0">
        <w:rPr>
          <w:rStyle w:val="EndnoteReference"/>
        </w:rPr>
        <w:endnoteReference w:id="54"/>
      </w:r>
    </w:p>
    <w:p w:rsidR="006452F0" w:rsidRDefault="0098638D" w:rsidP="006452F0">
      <w:pPr>
        <w:pStyle w:val="Tablefigureheading"/>
      </w:pPr>
      <w:bookmarkStart w:id="17" w:name="_Toc532208387"/>
      <w:r>
        <w:t>Figure 2</w:t>
      </w:r>
      <w:r w:rsidR="006452F0">
        <w:t>: The qualifications more likely to be held by those e</w:t>
      </w:r>
      <w:r w:rsidR="00E76AE7">
        <w:t xml:space="preserve">mployed in creative occupations, </w:t>
      </w:r>
      <w:r w:rsidR="006452F0">
        <w:t>2016</w:t>
      </w:r>
      <w:bookmarkEnd w:id="17"/>
    </w:p>
    <w:p w:rsidR="00C019B7" w:rsidRDefault="0024174A" w:rsidP="00C019B7">
      <w:pPr>
        <w:spacing w:after="0"/>
        <w:rPr>
          <w:lang w:eastAsia="en-US"/>
        </w:rPr>
      </w:pPr>
      <w:r w:rsidRPr="0024174A">
        <w:rPr>
          <w:noProof/>
          <w:lang w:eastAsia="en-AU"/>
        </w:rPr>
        <w:drawing>
          <wp:inline distT="0" distB="0" distL="0" distR="0" wp14:anchorId="39D73F06" wp14:editId="10FBF2C3">
            <wp:extent cx="5758180" cy="3238500"/>
            <wp:effectExtent l="0" t="0" r="0" b="0"/>
            <wp:docPr id="13" name="Picture 13" descr="Figure 2. The qualifications more likely to be held by those in creative occupations, 2016. This figure is a bar chart that shows the qualifications more likely to be held by those in creative occupations. The chart shows Creative Arts, nfd (1.0%); performing arts (1.8%); Librarianship, Information Management etc. (2.1%); Visual arts and crafts (3.0%); Sales and Marketing (4.1%); Computer science (4.7%); Information technology nfd (6.9%); Graphic and design studies (9.8%); Architecture and urban environment (10.3%); and Communications and media studies (10.5%).&#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58180" cy="3238500"/>
                    </a:xfrm>
                    <a:prstGeom prst="rect">
                      <a:avLst/>
                    </a:prstGeom>
                    <a:noFill/>
                    <a:ln>
                      <a:noFill/>
                    </a:ln>
                  </pic:spPr>
                </pic:pic>
              </a:graphicData>
            </a:graphic>
          </wp:inline>
        </w:drawing>
      </w:r>
    </w:p>
    <w:p w:rsidR="006452F0" w:rsidRDefault="006452F0" w:rsidP="00FD4BDB">
      <w:pPr>
        <w:pStyle w:val="Sourcenote"/>
        <w:rPr>
          <w:lang w:eastAsia="en-US"/>
        </w:rPr>
      </w:pPr>
      <w:r>
        <w:rPr>
          <w:lang w:eastAsia="en-US"/>
        </w:rPr>
        <w:t>Note: This lists the ten most prevalent</w:t>
      </w:r>
      <w:r w:rsidR="001665B3">
        <w:rPr>
          <w:lang w:eastAsia="en-US"/>
        </w:rPr>
        <w:t xml:space="preserve"> creative qualifications </w:t>
      </w:r>
      <w:r>
        <w:rPr>
          <w:lang w:eastAsia="en-US"/>
        </w:rPr>
        <w:t xml:space="preserve">identified in the BCAR analysis. The full list is provided in </w:t>
      </w:r>
      <w:hyperlink w:anchor="_Appendix_A:_How" w:history="1">
        <w:r w:rsidR="003C7D47">
          <w:rPr>
            <w:rStyle w:val="Hyperlink"/>
            <w:lang w:eastAsia="en-US"/>
          </w:rPr>
          <w:t>a</w:t>
        </w:r>
        <w:r w:rsidRPr="006E170D">
          <w:rPr>
            <w:rStyle w:val="Hyperlink"/>
            <w:lang w:eastAsia="en-US"/>
          </w:rPr>
          <w:t>ppendix A</w:t>
        </w:r>
      </w:hyperlink>
      <w:r>
        <w:rPr>
          <w:lang w:eastAsia="en-US"/>
        </w:rPr>
        <w:t>.</w:t>
      </w:r>
      <w:r w:rsidR="009719BB">
        <w:rPr>
          <w:lang w:eastAsia="en-US"/>
        </w:rPr>
        <w:t xml:space="preserve"> Darker bars represent </w:t>
      </w:r>
      <w:r w:rsidR="001665B3">
        <w:rPr>
          <w:lang w:eastAsia="en-US"/>
        </w:rPr>
        <w:t>qualifications</w:t>
      </w:r>
      <w:r w:rsidR="009719BB">
        <w:rPr>
          <w:lang w:eastAsia="en-US"/>
        </w:rPr>
        <w:t xml:space="preserve"> from the ‘Creative Arts’</w:t>
      </w:r>
      <w:r w:rsidR="00436AC6">
        <w:rPr>
          <w:lang w:eastAsia="en-US"/>
        </w:rPr>
        <w:t xml:space="preserve"> grouping of the ASCED.</w:t>
      </w:r>
      <w:r>
        <w:rPr>
          <w:lang w:eastAsia="en-US"/>
        </w:rPr>
        <w:br/>
        <w:t>Source: BCAR estimates based on 2016 ABS Census Data (TableBuilder Basic</w:t>
      </w:r>
      <w:r w:rsidR="00B71464">
        <w:rPr>
          <w:lang w:eastAsia="en-US"/>
        </w:rPr>
        <w:t>, unpublished data</w:t>
      </w:r>
      <w:r>
        <w:rPr>
          <w:lang w:eastAsia="en-US"/>
        </w:rPr>
        <w:t>).</w:t>
      </w:r>
    </w:p>
    <w:p w:rsidR="009D5D83" w:rsidRDefault="0022200B" w:rsidP="00C019B7">
      <w:r>
        <w:t>Another way to show creative qualifications is to compare the share of those employed with a particular qualification in a creative occupation as a ratio to those employed in other occupations.</w:t>
      </w:r>
    </w:p>
    <w:p w:rsidR="00D511E2" w:rsidRDefault="0022200B" w:rsidP="00C019B7">
      <w:r>
        <w:t xml:space="preserve">This approach reveals the relative prevalence of creative qualifications (table </w:t>
      </w:r>
      <w:r w:rsidR="0098638D">
        <w:t>3</w:t>
      </w:r>
      <w:r>
        <w:t xml:space="preserve">). Qualifications in Architecture and the Urban Environment </w:t>
      </w:r>
      <w:r w:rsidR="009D5D83">
        <w:t>is</w:t>
      </w:r>
      <w:r>
        <w:t xml:space="preserve"> </w:t>
      </w:r>
      <w:r w:rsidR="009D5D83">
        <w:t>the m</w:t>
      </w:r>
      <w:r>
        <w:t>ost prevalent creative qualification, with that qualification around 17 times more likely to be held by someone employed in a creative occupation than in another occupation</w:t>
      </w:r>
      <w:r w:rsidR="00D511E2">
        <w:t>.</w:t>
      </w:r>
    </w:p>
    <w:p w:rsidR="00D511E2" w:rsidRDefault="0022200B" w:rsidP="00C019B7">
      <w:r>
        <w:t xml:space="preserve">Other prevalent </w:t>
      </w:r>
      <w:r w:rsidR="009D5D83">
        <w:t>qualifications</w:t>
      </w:r>
      <w:r>
        <w:t xml:space="preserve"> include Graphic and Design Studies (14 times more likely to be held by an employee in a creative occupation), Communication and Media Studies (10 times more likely) and Librarianship, Information Management and Curatorial Studies (9 times more likely). Some qualifications in natural and physical sciences, information technology, management and commerce, and society and culture are also revealed as being more prevalent among those employed in creative occupations</w:t>
      </w:r>
      <w:r w:rsidR="00D511E2">
        <w:t>.</w:t>
      </w:r>
    </w:p>
    <w:p w:rsidR="0022200B" w:rsidRDefault="0022200B" w:rsidP="0022200B">
      <w:pPr>
        <w:spacing w:after="160" w:line="259" w:lineRule="auto"/>
      </w:pPr>
      <w:r>
        <w:t>What these results indicate is that creative skills, as proxied through creative qualifications</w:t>
      </w:r>
      <w:r w:rsidR="00BD0006">
        <w:t>, are much</w:t>
      </w:r>
      <w:r>
        <w:t xml:space="preserve"> broader than the creative arts alone. </w:t>
      </w:r>
      <w:r w:rsidR="00F44EDA">
        <w:t xml:space="preserve">Creative skills encompass </w:t>
      </w:r>
      <w:r w:rsidR="00E7394A">
        <w:t>fields that include mathematics, astronomy, marketing, computer science, and the humanities.</w:t>
      </w:r>
    </w:p>
    <w:p w:rsidR="007A116D" w:rsidRDefault="0098638D" w:rsidP="007A116D">
      <w:pPr>
        <w:pStyle w:val="Tablefigureheading"/>
      </w:pPr>
      <w:bookmarkStart w:id="18" w:name="_Toc532208388"/>
      <w:r>
        <w:lastRenderedPageBreak/>
        <w:t>Table 3</w:t>
      </w:r>
      <w:r w:rsidR="007A116D">
        <w:t>: List of creative skills, identified using qualification data</w:t>
      </w:r>
      <w:bookmarkEnd w:id="18"/>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3: List of creative skills, identified using qualification data"/>
      </w:tblPr>
      <w:tblGrid>
        <w:gridCol w:w="7230"/>
        <w:gridCol w:w="2103"/>
      </w:tblGrid>
      <w:tr w:rsidR="00676DE4" w:rsidTr="00676DE4">
        <w:trPr>
          <w:cantSplit/>
          <w:tblHeader/>
        </w:trPr>
        <w:tc>
          <w:tcPr>
            <w:tcW w:w="7230" w:type="dxa"/>
            <w:tcBorders>
              <w:top w:val="nil"/>
              <w:left w:val="nil"/>
              <w:bottom w:val="thickThinLargeGap" w:sz="24" w:space="0" w:color="auto"/>
              <w:right w:val="nil"/>
            </w:tcBorders>
            <w:shd w:val="clear" w:color="auto" w:fill="0066AB"/>
            <w:hideMark/>
          </w:tcPr>
          <w:p w:rsidR="007324E7" w:rsidRDefault="007324E7" w:rsidP="00425AD6">
            <w:pPr>
              <w:pStyle w:val="Tablerowcolumnheadingcentred"/>
              <w:keepNext/>
              <w:jc w:val="left"/>
            </w:pPr>
            <w:r>
              <w:t xml:space="preserve">Qualifications </w:t>
            </w:r>
          </w:p>
          <w:p w:rsidR="00676DE4" w:rsidRDefault="007324E7" w:rsidP="00425AD6">
            <w:pPr>
              <w:pStyle w:val="Tablerowcolumnheadingcentred"/>
              <w:keepNext/>
              <w:jc w:val="left"/>
            </w:pPr>
            <w:r>
              <w:t>(</w:t>
            </w:r>
            <w:r w:rsidR="00676DE4">
              <w:t>ASCED domain, code and title</w:t>
            </w:r>
            <w:r>
              <w:t>)</w:t>
            </w:r>
          </w:p>
        </w:tc>
        <w:tc>
          <w:tcPr>
            <w:tcW w:w="2103" w:type="dxa"/>
            <w:tcBorders>
              <w:top w:val="nil"/>
              <w:left w:val="nil"/>
              <w:bottom w:val="thickThinLargeGap" w:sz="24" w:space="0" w:color="auto"/>
              <w:right w:val="nil"/>
            </w:tcBorders>
            <w:shd w:val="clear" w:color="auto" w:fill="0066AB"/>
          </w:tcPr>
          <w:p w:rsidR="00676DE4" w:rsidRDefault="000D6DB7" w:rsidP="00425AD6">
            <w:pPr>
              <w:pStyle w:val="Tablerowcolumnheadingcentred"/>
              <w:keepNext/>
              <w:jc w:val="left"/>
            </w:pPr>
            <w:r>
              <w:t xml:space="preserve">Relative prevalence of </w:t>
            </w:r>
            <w:r w:rsidR="00416B2A">
              <w:t>qualification</w:t>
            </w:r>
            <w:r>
              <w:t xml:space="preserve"> in creative occupation</w:t>
            </w:r>
          </w:p>
        </w:tc>
      </w:tr>
      <w:tr w:rsidR="00676DE4" w:rsidTr="00676DE4">
        <w:trPr>
          <w:cantSplit/>
        </w:trPr>
        <w:tc>
          <w:tcPr>
            <w:tcW w:w="7230" w:type="dxa"/>
            <w:tcBorders>
              <w:top w:val="thickThinLargeGap" w:sz="24" w:space="0" w:color="auto"/>
              <w:left w:val="nil"/>
              <w:bottom w:val="single" w:sz="4" w:space="0" w:color="auto"/>
              <w:right w:val="nil"/>
            </w:tcBorders>
            <w:shd w:val="clear" w:color="auto" w:fill="auto"/>
          </w:tcPr>
          <w:p w:rsidR="00676DE4" w:rsidRDefault="00676DE4" w:rsidP="00425AD6">
            <w:pPr>
              <w:pStyle w:val="Tabletextcentred"/>
              <w:keepNext/>
              <w:jc w:val="left"/>
            </w:pPr>
            <w:r>
              <w:t>Natural and Physical Sciences</w:t>
            </w:r>
          </w:p>
          <w:p w:rsidR="00676DE4" w:rsidRDefault="00676DE4" w:rsidP="00425AD6">
            <w:pPr>
              <w:pStyle w:val="NoSpacing"/>
              <w:keepNext/>
              <w:ind w:left="720"/>
            </w:pPr>
            <w:r>
              <w:t>0101 Mathematical Sciences</w:t>
            </w:r>
          </w:p>
          <w:p w:rsidR="00676DE4" w:rsidRPr="00676DE4" w:rsidRDefault="00676DE4" w:rsidP="00425AD6">
            <w:pPr>
              <w:pStyle w:val="NoSpacing"/>
              <w:keepNext/>
              <w:ind w:left="720"/>
            </w:pPr>
            <w:r>
              <w:t>0103 Physics and Astronomy</w:t>
            </w:r>
          </w:p>
        </w:tc>
        <w:tc>
          <w:tcPr>
            <w:tcW w:w="2103" w:type="dxa"/>
            <w:tcBorders>
              <w:top w:val="thickThinLargeGap" w:sz="24" w:space="0" w:color="auto"/>
              <w:left w:val="nil"/>
              <w:bottom w:val="single" w:sz="4" w:space="0" w:color="auto"/>
              <w:right w:val="nil"/>
            </w:tcBorders>
          </w:tcPr>
          <w:p w:rsidR="00676DE4" w:rsidRDefault="00676DE4" w:rsidP="00425AD6">
            <w:pPr>
              <w:pStyle w:val="Tabletextcentred"/>
              <w:keepNext/>
              <w:spacing w:before="240"/>
              <w:ind w:right="436"/>
              <w:jc w:val="right"/>
            </w:pPr>
            <w:r>
              <w:t>2.2</w:t>
            </w:r>
          </w:p>
          <w:p w:rsidR="00676DE4" w:rsidRPr="00676DE4" w:rsidRDefault="00676DE4" w:rsidP="00425AD6">
            <w:pPr>
              <w:pStyle w:val="NoSpacing"/>
              <w:keepNext/>
              <w:ind w:right="436"/>
              <w:jc w:val="right"/>
            </w:pPr>
            <w:r>
              <w:t>1.8</w:t>
            </w:r>
          </w:p>
        </w:tc>
      </w:tr>
      <w:tr w:rsidR="00676DE4" w:rsidTr="00676DE4">
        <w:trPr>
          <w:cantSplit/>
        </w:trPr>
        <w:tc>
          <w:tcPr>
            <w:tcW w:w="7230" w:type="dxa"/>
            <w:tcBorders>
              <w:top w:val="single" w:sz="4" w:space="0" w:color="auto"/>
              <w:left w:val="nil"/>
              <w:bottom w:val="single" w:sz="4" w:space="0" w:color="auto"/>
              <w:right w:val="nil"/>
            </w:tcBorders>
            <w:shd w:val="clear" w:color="auto" w:fill="FFFFFF" w:themeFill="background1"/>
          </w:tcPr>
          <w:p w:rsidR="00676DE4" w:rsidRDefault="00676DE4" w:rsidP="009627BA">
            <w:pPr>
              <w:pStyle w:val="Tabletext"/>
            </w:pPr>
            <w:r>
              <w:t>Information Technology</w:t>
            </w:r>
          </w:p>
          <w:p w:rsidR="00676DE4" w:rsidRDefault="00676DE4" w:rsidP="00676DE4">
            <w:pPr>
              <w:pStyle w:val="Tabletext"/>
              <w:ind w:left="720"/>
            </w:pPr>
            <w:r>
              <w:t>0200 Information Technology, nfd</w:t>
            </w:r>
          </w:p>
          <w:p w:rsidR="00676DE4" w:rsidRDefault="00676DE4" w:rsidP="00676DE4">
            <w:pPr>
              <w:pStyle w:val="Tabletext"/>
              <w:ind w:left="720"/>
            </w:pPr>
            <w:r>
              <w:t>0201 Computer Science</w:t>
            </w:r>
          </w:p>
          <w:p w:rsidR="00676DE4" w:rsidRPr="00B34622" w:rsidRDefault="00676DE4" w:rsidP="00676DE4">
            <w:pPr>
              <w:pStyle w:val="Tabletext"/>
              <w:ind w:left="720"/>
            </w:pPr>
            <w:r>
              <w:t>0203 Information Systems</w:t>
            </w:r>
          </w:p>
        </w:tc>
        <w:tc>
          <w:tcPr>
            <w:tcW w:w="2103" w:type="dxa"/>
            <w:tcBorders>
              <w:top w:val="single" w:sz="4" w:space="0" w:color="auto"/>
              <w:left w:val="nil"/>
              <w:bottom w:val="single" w:sz="4" w:space="0" w:color="auto"/>
              <w:right w:val="nil"/>
            </w:tcBorders>
            <w:shd w:val="clear" w:color="auto" w:fill="FFFFFF" w:themeFill="background1"/>
          </w:tcPr>
          <w:p w:rsidR="00676DE4" w:rsidRDefault="00676DE4" w:rsidP="00D511E2">
            <w:pPr>
              <w:pStyle w:val="Tabletextcentred"/>
              <w:spacing w:before="240"/>
              <w:ind w:right="436"/>
              <w:jc w:val="right"/>
            </w:pPr>
            <w:r>
              <w:t>3.8</w:t>
            </w:r>
          </w:p>
          <w:p w:rsidR="00676DE4" w:rsidRDefault="00676DE4" w:rsidP="00D511E2">
            <w:pPr>
              <w:pStyle w:val="Tabletextcentred"/>
              <w:ind w:right="436"/>
              <w:jc w:val="right"/>
            </w:pPr>
            <w:r>
              <w:t>6.7</w:t>
            </w:r>
          </w:p>
          <w:p w:rsidR="00676DE4" w:rsidRPr="00B34622" w:rsidRDefault="00676DE4" w:rsidP="00D511E2">
            <w:pPr>
              <w:pStyle w:val="Tabletextcentred"/>
              <w:ind w:right="436"/>
              <w:jc w:val="right"/>
            </w:pPr>
            <w:r>
              <w:t>3.6</w:t>
            </w:r>
          </w:p>
        </w:tc>
      </w:tr>
      <w:tr w:rsidR="00676DE4" w:rsidTr="00676DE4">
        <w:trPr>
          <w:cantSplit/>
        </w:trPr>
        <w:tc>
          <w:tcPr>
            <w:tcW w:w="7230" w:type="dxa"/>
            <w:tcBorders>
              <w:top w:val="single" w:sz="4" w:space="0" w:color="auto"/>
              <w:left w:val="nil"/>
              <w:bottom w:val="single" w:sz="4" w:space="0" w:color="auto"/>
              <w:right w:val="nil"/>
            </w:tcBorders>
            <w:shd w:val="clear" w:color="auto" w:fill="FFFFFF" w:themeFill="background1"/>
          </w:tcPr>
          <w:p w:rsidR="00676DE4" w:rsidRDefault="00676DE4" w:rsidP="009627BA">
            <w:pPr>
              <w:pStyle w:val="Tabletext"/>
            </w:pPr>
            <w:r>
              <w:t>Architecture and Building</w:t>
            </w:r>
          </w:p>
          <w:p w:rsidR="00676DE4" w:rsidRDefault="00676DE4" w:rsidP="00676DE4">
            <w:pPr>
              <w:pStyle w:val="Tabletext"/>
              <w:ind w:left="720"/>
            </w:pPr>
            <w:r>
              <w:t>0400 Architecture and Building, nfd</w:t>
            </w:r>
          </w:p>
          <w:p w:rsidR="00676DE4" w:rsidRDefault="00676DE4" w:rsidP="00676DE4">
            <w:pPr>
              <w:pStyle w:val="Tabletext"/>
              <w:ind w:left="720"/>
            </w:pPr>
            <w:r>
              <w:t xml:space="preserve">0401 Architecture and Urban Environment </w:t>
            </w:r>
          </w:p>
        </w:tc>
        <w:tc>
          <w:tcPr>
            <w:tcW w:w="2103" w:type="dxa"/>
            <w:tcBorders>
              <w:top w:val="single" w:sz="4" w:space="0" w:color="auto"/>
              <w:left w:val="nil"/>
              <w:bottom w:val="single" w:sz="4" w:space="0" w:color="auto"/>
              <w:right w:val="nil"/>
            </w:tcBorders>
            <w:shd w:val="clear" w:color="auto" w:fill="FFFFFF" w:themeFill="background1"/>
          </w:tcPr>
          <w:p w:rsidR="000D6DB7" w:rsidRDefault="000D6DB7" w:rsidP="00D511E2">
            <w:pPr>
              <w:pStyle w:val="NoSpacing"/>
              <w:spacing w:before="240"/>
              <w:ind w:left="720" w:right="436"/>
              <w:jc w:val="right"/>
            </w:pPr>
            <w:r>
              <w:t>4.2</w:t>
            </w:r>
          </w:p>
          <w:p w:rsidR="00676DE4" w:rsidRPr="000D6DB7" w:rsidRDefault="000D6DB7" w:rsidP="00D511E2">
            <w:pPr>
              <w:pStyle w:val="NoSpacing"/>
              <w:ind w:left="720" w:right="436"/>
              <w:jc w:val="right"/>
            </w:pPr>
            <w:r>
              <w:t>17.4</w:t>
            </w:r>
          </w:p>
        </w:tc>
      </w:tr>
      <w:tr w:rsidR="00676DE4" w:rsidTr="00676DE4">
        <w:trPr>
          <w:cantSplit/>
        </w:trPr>
        <w:tc>
          <w:tcPr>
            <w:tcW w:w="7230" w:type="dxa"/>
            <w:tcBorders>
              <w:top w:val="single" w:sz="4" w:space="0" w:color="auto"/>
              <w:left w:val="nil"/>
              <w:bottom w:val="single" w:sz="4" w:space="0" w:color="auto"/>
              <w:right w:val="nil"/>
            </w:tcBorders>
            <w:shd w:val="clear" w:color="auto" w:fill="FFFFFF" w:themeFill="background1"/>
          </w:tcPr>
          <w:p w:rsidR="00676DE4" w:rsidRDefault="00676DE4" w:rsidP="009627BA">
            <w:pPr>
              <w:pStyle w:val="Tabletext"/>
            </w:pPr>
            <w:r>
              <w:t>Management and Commerce</w:t>
            </w:r>
          </w:p>
          <w:p w:rsidR="00676DE4" w:rsidRDefault="00676DE4" w:rsidP="00676DE4">
            <w:pPr>
              <w:pStyle w:val="Tabletext"/>
              <w:ind w:left="720"/>
            </w:pPr>
            <w:r>
              <w:t xml:space="preserve">0805 Sales and Marketing </w:t>
            </w:r>
          </w:p>
        </w:tc>
        <w:tc>
          <w:tcPr>
            <w:tcW w:w="2103" w:type="dxa"/>
            <w:tcBorders>
              <w:top w:val="single" w:sz="4" w:space="0" w:color="auto"/>
              <w:left w:val="nil"/>
              <w:bottom w:val="single" w:sz="4" w:space="0" w:color="auto"/>
              <w:right w:val="nil"/>
            </w:tcBorders>
            <w:shd w:val="clear" w:color="auto" w:fill="FFFFFF" w:themeFill="background1"/>
          </w:tcPr>
          <w:p w:rsidR="00676DE4" w:rsidRPr="000D6DB7" w:rsidRDefault="000D6DB7" w:rsidP="00D511E2">
            <w:pPr>
              <w:pStyle w:val="NoSpacing"/>
              <w:spacing w:before="240"/>
              <w:ind w:left="720" w:right="436"/>
              <w:jc w:val="right"/>
            </w:pPr>
            <w:r>
              <w:t>2.7</w:t>
            </w:r>
          </w:p>
        </w:tc>
      </w:tr>
      <w:tr w:rsidR="00676DE4" w:rsidTr="00676DE4">
        <w:trPr>
          <w:cantSplit/>
        </w:trPr>
        <w:tc>
          <w:tcPr>
            <w:tcW w:w="7230" w:type="dxa"/>
            <w:tcBorders>
              <w:top w:val="single" w:sz="4" w:space="0" w:color="auto"/>
              <w:left w:val="nil"/>
              <w:bottom w:val="single" w:sz="4" w:space="0" w:color="auto"/>
              <w:right w:val="nil"/>
            </w:tcBorders>
            <w:shd w:val="clear" w:color="auto" w:fill="FFFFFF" w:themeFill="background1"/>
          </w:tcPr>
          <w:p w:rsidR="00676DE4" w:rsidRDefault="00676DE4" w:rsidP="009627BA">
            <w:pPr>
              <w:pStyle w:val="Tabletext"/>
            </w:pPr>
            <w:r>
              <w:t>Society and culture</w:t>
            </w:r>
          </w:p>
          <w:p w:rsidR="00676DE4" w:rsidRDefault="00676DE4" w:rsidP="00676DE4">
            <w:pPr>
              <w:pStyle w:val="Tabletext"/>
              <w:ind w:left="720"/>
            </w:pPr>
            <w:r>
              <w:t>0903 Studies in Human Society</w:t>
            </w:r>
          </w:p>
          <w:p w:rsidR="00676DE4" w:rsidRDefault="00676DE4" w:rsidP="00676DE4">
            <w:pPr>
              <w:pStyle w:val="Tabletext"/>
              <w:ind w:left="720"/>
            </w:pPr>
            <w:r>
              <w:t>0913 Librarianship, Information Management and Curatorial Studies</w:t>
            </w:r>
          </w:p>
          <w:p w:rsidR="00676DE4" w:rsidRDefault="00676DE4" w:rsidP="00676DE4">
            <w:pPr>
              <w:pStyle w:val="Tabletext"/>
              <w:ind w:left="720"/>
            </w:pPr>
            <w:r>
              <w:t>0915 Languages and Literature</w:t>
            </w:r>
          </w:p>
        </w:tc>
        <w:tc>
          <w:tcPr>
            <w:tcW w:w="2103" w:type="dxa"/>
            <w:tcBorders>
              <w:top w:val="single" w:sz="4" w:space="0" w:color="auto"/>
              <w:left w:val="nil"/>
              <w:bottom w:val="single" w:sz="4" w:space="0" w:color="auto"/>
              <w:right w:val="nil"/>
            </w:tcBorders>
            <w:shd w:val="clear" w:color="auto" w:fill="FFFFFF" w:themeFill="background1"/>
          </w:tcPr>
          <w:p w:rsidR="000D6DB7" w:rsidRDefault="000D6DB7" w:rsidP="00D511E2">
            <w:pPr>
              <w:pStyle w:val="NoSpacing"/>
              <w:spacing w:before="240"/>
              <w:ind w:right="436"/>
              <w:jc w:val="right"/>
            </w:pPr>
            <w:r>
              <w:t>1.9</w:t>
            </w:r>
          </w:p>
          <w:p w:rsidR="000D6DB7" w:rsidRDefault="000D6DB7" w:rsidP="00D511E2">
            <w:pPr>
              <w:pStyle w:val="NoSpacing"/>
              <w:ind w:right="436"/>
              <w:jc w:val="right"/>
            </w:pPr>
            <w:r>
              <w:t>8.9</w:t>
            </w:r>
          </w:p>
          <w:p w:rsidR="00676DE4" w:rsidRPr="000D6DB7" w:rsidRDefault="000D6DB7" w:rsidP="00D511E2">
            <w:pPr>
              <w:pStyle w:val="NoSpacing"/>
              <w:ind w:right="436"/>
              <w:jc w:val="right"/>
            </w:pPr>
            <w:r>
              <w:t>1.9</w:t>
            </w:r>
          </w:p>
        </w:tc>
      </w:tr>
      <w:tr w:rsidR="00676DE4" w:rsidTr="00676DE4">
        <w:trPr>
          <w:cantSplit/>
        </w:trPr>
        <w:tc>
          <w:tcPr>
            <w:tcW w:w="7230" w:type="dxa"/>
            <w:tcBorders>
              <w:top w:val="single" w:sz="4" w:space="0" w:color="auto"/>
              <w:left w:val="nil"/>
              <w:bottom w:val="single" w:sz="4" w:space="0" w:color="auto"/>
              <w:right w:val="nil"/>
            </w:tcBorders>
            <w:shd w:val="clear" w:color="auto" w:fill="FFFFFF" w:themeFill="background1"/>
          </w:tcPr>
          <w:p w:rsidR="00676DE4" w:rsidRDefault="00676DE4" w:rsidP="009627BA">
            <w:pPr>
              <w:pStyle w:val="Tabletext"/>
            </w:pPr>
            <w:r>
              <w:t>Creative Arts</w:t>
            </w:r>
          </w:p>
          <w:p w:rsidR="00676DE4" w:rsidRDefault="00676DE4" w:rsidP="00676DE4">
            <w:pPr>
              <w:pStyle w:val="Tabletext"/>
              <w:ind w:left="720"/>
            </w:pPr>
            <w:r>
              <w:t>1000 Creative Arts, nfd</w:t>
            </w:r>
          </w:p>
          <w:p w:rsidR="00676DE4" w:rsidRDefault="00676DE4" w:rsidP="00676DE4">
            <w:pPr>
              <w:pStyle w:val="Tabletext"/>
              <w:ind w:left="720"/>
            </w:pPr>
            <w:r>
              <w:t>1001 Performing Arts</w:t>
            </w:r>
          </w:p>
          <w:p w:rsidR="00676DE4" w:rsidRDefault="00676DE4" w:rsidP="00676DE4">
            <w:pPr>
              <w:pStyle w:val="Tabletext"/>
              <w:ind w:left="720"/>
            </w:pPr>
            <w:r>
              <w:t>1003 Visual Arts and Crafts</w:t>
            </w:r>
          </w:p>
          <w:p w:rsidR="00676DE4" w:rsidRDefault="00676DE4" w:rsidP="00676DE4">
            <w:pPr>
              <w:pStyle w:val="Tabletext"/>
              <w:ind w:left="720"/>
            </w:pPr>
            <w:r>
              <w:t>1005 Graphic and Design Studies</w:t>
            </w:r>
          </w:p>
          <w:p w:rsidR="00676DE4" w:rsidRDefault="00676DE4" w:rsidP="00676DE4">
            <w:pPr>
              <w:pStyle w:val="Tabletext"/>
              <w:ind w:left="720"/>
            </w:pPr>
            <w:r>
              <w:t>1007 Communication and Media Studies</w:t>
            </w:r>
          </w:p>
          <w:p w:rsidR="00676DE4" w:rsidRDefault="00676DE4" w:rsidP="00676DE4">
            <w:pPr>
              <w:pStyle w:val="Tabletext"/>
              <w:ind w:left="720"/>
            </w:pPr>
            <w:r>
              <w:t>1099 Other Creative Arts</w:t>
            </w:r>
          </w:p>
        </w:tc>
        <w:tc>
          <w:tcPr>
            <w:tcW w:w="2103" w:type="dxa"/>
            <w:tcBorders>
              <w:top w:val="single" w:sz="4" w:space="0" w:color="auto"/>
              <w:left w:val="nil"/>
              <w:bottom w:val="single" w:sz="4" w:space="0" w:color="auto"/>
              <w:right w:val="nil"/>
            </w:tcBorders>
            <w:shd w:val="clear" w:color="auto" w:fill="FFFFFF" w:themeFill="background1"/>
          </w:tcPr>
          <w:p w:rsidR="000D6DB7" w:rsidRDefault="000D6DB7" w:rsidP="00D511E2">
            <w:pPr>
              <w:pStyle w:val="NoSpacing"/>
              <w:spacing w:before="240"/>
              <w:ind w:right="436"/>
              <w:jc w:val="right"/>
            </w:pPr>
            <w:r>
              <w:t>6.5</w:t>
            </w:r>
          </w:p>
          <w:p w:rsidR="000D6DB7" w:rsidRDefault="000D6DB7" w:rsidP="00D511E2">
            <w:pPr>
              <w:pStyle w:val="NoSpacing"/>
              <w:ind w:right="436"/>
              <w:jc w:val="right"/>
            </w:pPr>
            <w:r>
              <w:t>4.4</w:t>
            </w:r>
          </w:p>
          <w:p w:rsidR="000D6DB7" w:rsidRDefault="000D6DB7" w:rsidP="00D511E2">
            <w:pPr>
              <w:pStyle w:val="NoSpacing"/>
              <w:ind w:right="436"/>
              <w:jc w:val="right"/>
            </w:pPr>
            <w:r>
              <w:t>6.8</w:t>
            </w:r>
          </w:p>
          <w:p w:rsidR="000D6DB7" w:rsidRDefault="000D6DB7" w:rsidP="00D511E2">
            <w:pPr>
              <w:pStyle w:val="NoSpacing"/>
              <w:ind w:right="436"/>
              <w:jc w:val="right"/>
            </w:pPr>
            <w:r>
              <w:t>14.2</w:t>
            </w:r>
          </w:p>
          <w:p w:rsidR="000D6DB7" w:rsidRDefault="000D6DB7" w:rsidP="00D511E2">
            <w:pPr>
              <w:pStyle w:val="NoSpacing"/>
              <w:ind w:right="436"/>
              <w:jc w:val="right"/>
            </w:pPr>
            <w:r>
              <w:t>10.4</w:t>
            </w:r>
          </w:p>
          <w:p w:rsidR="00676DE4" w:rsidRPr="000D6DB7" w:rsidRDefault="000D6DB7" w:rsidP="00D511E2">
            <w:pPr>
              <w:pStyle w:val="NoSpacing"/>
              <w:ind w:right="436"/>
              <w:jc w:val="right"/>
            </w:pPr>
            <w:r>
              <w:t>6.1</w:t>
            </w:r>
          </w:p>
        </w:tc>
      </w:tr>
    </w:tbl>
    <w:p w:rsidR="007A116D" w:rsidRPr="00C16794" w:rsidRDefault="00676DE4" w:rsidP="007A116D">
      <w:pPr>
        <w:pStyle w:val="Sourcenote"/>
      </w:pPr>
      <w:r>
        <w:rPr>
          <w:lang w:eastAsia="en-US"/>
        </w:rPr>
        <w:t xml:space="preserve">Note: This </w:t>
      </w:r>
      <w:r w:rsidR="00416B2A">
        <w:rPr>
          <w:lang w:eastAsia="en-US"/>
        </w:rPr>
        <w:t>table shows the creative qualifications that are relatively more prevalent in creative occupations relative to other occupations. It is limited to those qualifications that are at least 50 per cent more prevalent within creative occupations relative to other occupations. For example, around 0.66 per cent of those</w:t>
      </w:r>
      <w:r w:rsidR="00FE6CC4">
        <w:rPr>
          <w:lang w:eastAsia="en-US"/>
        </w:rPr>
        <w:t xml:space="preserve"> in creative occupations have a qualification in the mathematical sciences compare </w:t>
      </w:r>
      <w:r w:rsidR="00416B2A">
        <w:rPr>
          <w:lang w:eastAsia="en-US"/>
        </w:rPr>
        <w:t>around 0.30 per cent in other occupations. This yields a relative prevalence value of 2.2</w:t>
      </w:r>
      <w:r w:rsidR="00D511E2">
        <w:rPr>
          <w:lang w:eastAsia="en-US"/>
        </w:rPr>
        <w:t>—</w:t>
      </w:r>
      <w:r w:rsidR="000A7AE6">
        <w:rPr>
          <w:lang w:eastAsia="en-US"/>
        </w:rPr>
        <w:t xml:space="preserve">indicating that mathematical sciences are about twice as likely to work in a creative occupation than not. </w:t>
      </w:r>
      <w:r w:rsidR="0088229E">
        <w:rPr>
          <w:lang w:eastAsia="en-US"/>
        </w:rPr>
        <w:t>‘nfd’ denotes ‘not further defined’.</w:t>
      </w:r>
      <w:r>
        <w:rPr>
          <w:lang w:eastAsia="en-US"/>
        </w:rPr>
        <w:br/>
      </w:r>
      <w:r w:rsidR="007A116D">
        <w:t xml:space="preserve">Source: </w:t>
      </w:r>
      <w:r w:rsidR="00277050">
        <w:rPr>
          <w:lang w:eastAsia="en-US"/>
        </w:rPr>
        <w:t>BCAR estimates based on 2016 ABS Census Data (TableBuilder Basic, unpublished data).</w:t>
      </w:r>
    </w:p>
    <w:p w:rsidR="006F29C2" w:rsidRDefault="006F29C2" w:rsidP="006F29C2">
      <w:pPr>
        <w:pStyle w:val="Heading3"/>
      </w:pPr>
      <w:bookmarkStart w:id="19" w:name="_Toc531801740"/>
      <w:r>
        <w:t>Where are these creative skills being used?</w:t>
      </w:r>
      <w:bookmarkEnd w:id="19"/>
    </w:p>
    <w:p w:rsidR="006F29C2" w:rsidRDefault="006F29C2" w:rsidP="006F29C2">
      <w:r>
        <w:t>Creative skills are not only used in creative occupations. They are skills that contribute to different parts of value chains in a range of different industries. For example, design skills contribute to human-centred design in interfaces of ICT goods and services; sales and marketing contribute to helping consumers find products they want to buy; and IT skills contribute to a range of existing and emerging digital services.</w:t>
      </w:r>
      <w:r w:rsidR="00E027A3">
        <w:rPr>
          <w:rStyle w:val="EndnoteReference"/>
        </w:rPr>
        <w:endnoteReference w:id="55"/>
      </w:r>
    </w:p>
    <w:p w:rsidR="00D511E2" w:rsidRDefault="006F29C2" w:rsidP="000F3140">
      <w:r>
        <w:t xml:space="preserve">This is illustrated </w:t>
      </w:r>
      <w:r w:rsidR="008169A6">
        <w:t xml:space="preserve">by </w:t>
      </w:r>
      <w:r>
        <w:t>the number of people that hold these creative skills, and the industries in which they are employed</w:t>
      </w:r>
      <w:r w:rsidR="00D511E2">
        <w:t>.</w:t>
      </w:r>
    </w:p>
    <w:p w:rsidR="006F29C2" w:rsidRDefault="006F29C2" w:rsidP="00D511E2">
      <w:pPr>
        <w:keepLines/>
      </w:pPr>
      <w:r>
        <w:t xml:space="preserve">This </w:t>
      </w:r>
      <w:r w:rsidR="008169A6">
        <w:t xml:space="preserve">approach </w:t>
      </w:r>
      <w:r>
        <w:t>has been undertaken previously by researchers at Q</w:t>
      </w:r>
      <w:r w:rsidR="00F369BD">
        <w:t xml:space="preserve">ueensland University of Technology </w:t>
      </w:r>
      <w:r>
        <w:t>as part of the ‘creative trident’ methodology, which disaggregates employment in Australia by whether employees are employed in a creative role and employed in a creative industry.</w:t>
      </w:r>
      <w:r>
        <w:rPr>
          <w:rStyle w:val="EndnoteReference"/>
        </w:rPr>
        <w:endnoteReference w:id="56"/>
      </w:r>
      <w:r>
        <w:t xml:space="preserve"> </w:t>
      </w:r>
      <w:r w:rsidR="008169A6">
        <w:t xml:space="preserve">Based on the 2011 and 2016 Census data, </w:t>
      </w:r>
      <w:r>
        <w:t>those employed in a creative</w:t>
      </w:r>
      <w:r w:rsidR="000F3140">
        <w:t xml:space="preserve"> </w:t>
      </w:r>
      <w:r>
        <w:t xml:space="preserve">role </w:t>
      </w:r>
      <w:r w:rsidR="000F3140">
        <w:t xml:space="preserve">and creative industry </w:t>
      </w:r>
      <w:r>
        <w:t>comprise 3.2</w:t>
      </w:r>
      <w:r w:rsidR="000F3140">
        <w:t xml:space="preserve"> and 3.8</w:t>
      </w:r>
      <w:r>
        <w:t xml:space="preserve"> per cent of total employment</w:t>
      </w:r>
      <w:r w:rsidR="00F77431">
        <w:t>, respectively.</w:t>
      </w:r>
      <w:r>
        <w:rPr>
          <w:rStyle w:val="EndnoteReference"/>
        </w:rPr>
        <w:endnoteReference w:id="57"/>
      </w:r>
    </w:p>
    <w:p w:rsidR="00D511E2" w:rsidRDefault="006F29C2" w:rsidP="006F29C2">
      <w:r>
        <w:lastRenderedPageBreak/>
        <w:t>This paper extends this approach by adding skills as an additional dimension to the analysis</w:t>
      </w:r>
      <w:r w:rsidR="00D511E2">
        <w:t>.</w:t>
      </w:r>
    </w:p>
    <w:p w:rsidR="006F29C2" w:rsidRDefault="00FA29D5" w:rsidP="006F29C2">
      <w:r>
        <w:t>T</w:t>
      </w:r>
      <w:r w:rsidR="006F29C2">
        <w:t xml:space="preserve">hose employed with </w:t>
      </w:r>
      <w:r w:rsidR="00EE5BF9">
        <w:t xml:space="preserve">a </w:t>
      </w:r>
      <w:r w:rsidR="006F29C2">
        <w:t>creative qualification comprise</w:t>
      </w:r>
      <w:r w:rsidR="00685CD3">
        <w:t xml:space="preserve"> around</w:t>
      </w:r>
      <w:r w:rsidR="006F29C2">
        <w:t xml:space="preserve"> 9.5 per cent of total employment</w:t>
      </w:r>
      <w:r w:rsidR="00685CD3">
        <w:t>, with the prevalence of creative skills varying significantly across different industries (figure</w:t>
      </w:r>
      <w:r w:rsidR="0089200F">
        <w:t> </w:t>
      </w:r>
      <w:r w:rsidR="00021B54">
        <w:t>3</w:t>
      </w:r>
      <w:r w:rsidR="00685CD3">
        <w:t xml:space="preserve">). </w:t>
      </w:r>
      <w:r w:rsidR="006F29C2">
        <w:t xml:space="preserve">The </w:t>
      </w:r>
      <w:r w:rsidR="00685CD3">
        <w:t xml:space="preserve">share of employees with creative qualifications by industry varies from </w:t>
      </w:r>
      <w:r w:rsidR="006F29C2">
        <w:t>around 2</w:t>
      </w:r>
      <w:r w:rsidR="0077186F">
        <w:t>7</w:t>
      </w:r>
      <w:r w:rsidR="006F29C2">
        <w:t xml:space="preserve"> per cent in </w:t>
      </w:r>
      <w:r w:rsidR="0077186F">
        <w:t>Information, Media and Telecommunications</w:t>
      </w:r>
      <w:r w:rsidR="006F29C2">
        <w:t xml:space="preserve"> to around 3 per cent in Mining.</w:t>
      </w:r>
    </w:p>
    <w:p w:rsidR="006F29C2" w:rsidRDefault="0098638D" w:rsidP="006F29C2">
      <w:pPr>
        <w:pStyle w:val="Tablefigureheading"/>
      </w:pPr>
      <w:bookmarkStart w:id="20" w:name="_Toc532208389"/>
      <w:r>
        <w:t xml:space="preserve">Figure </w:t>
      </w:r>
      <w:r w:rsidR="00021B54">
        <w:t>3</w:t>
      </w:r>
      <w:r w:rsidR="006F29C2">
        <w:t>: Share of employees with creative qualifications, by industry, 2016</w:t>
      </w:r>
      <w:bookmarkEnd w:id="20"/>
    </w:p>
    <w:p w:rsidR="00C019B7" w:rsidRDefault="00591428" w:rsidP="00C019B7">
      <w:pPr>
        <w:spacing w:after="0"/>
        <w:rPr>
          <w:lang w:eastAsia="en-US"/>
        </w:rPr>
      </w:pPr>
      <w:r w:rsidRPr="00591428">
        <w:rPr>
          <w:noProof/>
          <w:lang w:eastAsia="en-AU"/>
        </w:rPr>
        <w:drawing>
          <wp:inline distT="0" distB="0" distL="0" distR="0" wp14:anchorId="4AD3E8D4" wp14:editId="69774058">
            <wp:extent cx="5758180" cy="4034155"/>
            <wp:effectExtent l="0" t="0" r="0" b="0"/>
            <wp:docPr id="14" name="Picture 14" descr="Figure 3. Share of employees with creative qualifications by industry, 2016. This figure is a bar chart that shows the proportion of employees that hold a creative qualification by industry division. It ranges from 27.9% of employees in Information Media and Telecommunications, to 3.1% in Mining. The shares for each industy shown are:&#10;Mining 3.1%&#10;Agriculture, Forestry and Fishing 3.2%&#10;Construction 3.6%&#10;Health Care and Social Assistance 4.4%&#10;Other Services 5.6%&#10;Transport, Postal and Warehousing 5.7%&#10;Electricity, Gas, Water and Waste Services 6.1%&#10;Manufacturing 6.2%&#10;Accommodation and Food Services 7.2%&#10;Administrative and Support Services 8.8%&#10;All industries 9.5%&#10;Wholesale Trade 10.1%&#10;Retail Trade 10.1%&#10;Education and Training 11.1%&#10;Public Administration and Safety 12.4%&#10;Arts and Recreation Services 16.7%&#10;Financial and Insurance Services 16.7%&#10;Professional, Scientific and Technical Services 21.4%&#10;Rental, Hiring and Real Estate Services 25.1%&#10;Information Media and Telecommunications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58180" cy="4034155"/>
                    </a:xfrm>
                    <a:prstGeom prst="rect">
                      <a:avLst/>
                    </a:prstGeom>
                    <a:noFill/>
                    <a:ln>
                      <a:noFill/>
                    </a:ln>
                  </pic:spPr>
                </pic:pic>
              </a:graphicData>
            </a:graphic>
          </wp:inline>
        </w:drawing>
      </w:r>
    </w:p>
    <w:p w:rsidR="006F29C2" w:rsidRDefault="006F29C2" w:rsidP="006F29C2">
      <w:pPr>
        <w:pStyle w:val="Sourcenote"/>
        <w:rPr>
          <w:lang w:eastAsia="en-US"/>
        </w:rPr>
      </w:pPr>
      <w:r>
        <w:rPr>
          <w:lang w:eastAsia="en-US"/>
        </w:rPr>
        <w:t>Note: All industries includes employees that did not state or inadequately described their industry of employment.</w:t>
      </w:r>
      <w:r>
        <w:rPr>
          <w:lang w:eastAsia="en-US"/>
        </w:rPr>
        <w:br/>
        <w:t>Source: BCAR estimates based on 2016 Census (ABS TableBuilder Basic).</w:t>
      </w:r>
    </w:p>
    <w:p w:rsidR="006F29C2" w:rsidRDefault="00FA29D5" w:rsidP="006F29C2">
      <w:pPr>
        <w:pStyle w:val="Heading2"/>
      </w:pPr>
      <w:bookmarkStart w:id="21" w:name="_Toc531801741"/>
      <w:r>
        <w:lastRenderedPageBreak/>
        <w:t>D</w:t>
      </w:r>
      <w:r w:rsidR="006F29C2">
        <w:t>emand for creative skills i</w:t>
      </w:r>
      <w:r w:rsidR="005F5D32">
        <w:t>s growing</w:t>
      </w:r>
      <w:bookmarkEnd w:id="21"/>
    </w:p>
    <w:p w:rsidR="00E32D86" w:rsidRPr="00DF6BAD" w:rsidRDefault="00E32D86" w:rsidP="00D511E2">
      <w:pPr>
        <w:pStyle w:val="Heading3"/>
      </w:pPr>
      <w:r w:rsidRPr="00DF6BAD">
        <w:t>Key points:</w:t>
      </w:r>
    </w:p>
    <w:p w:rsidR="00E32D86" w:rsidRDefault="00E32D86" w:rsidP="00E32D86">
      <w:pPr>
        <w:pStyle w:val="Bulletlevel1"/>
      </w:pPr>
      <w:r>
        <w:t xml:space="preserve">There is strong evidence that creative skills are important to the economy now and </w:t>
      </w:r>
      <w:r w:rsidR="00E86FDA">
        <w:t xml:space="preserve">will be </w:t>
      </w:r>
      <w:r>
        <w:t>in the future.</w:t>
      </w:r>
    </w:p>
    <w:p w:rsidR="00E32D86" w:rsidRDefault="00E32D86" w:rsidP="00E32D86">
      <w:pPr>
        <w:pStyle w:val="Bulletlevel1"/>
      </w:pPr>
      <w:r>
        <w:t>Growth in the number of those employed in creative occupations was double that of those employed elsewhere in the economy between 2011 and 2016.</w:t>
      </w:r>
    </w:p>
    <w:p w:rsidR="00D511E2" w:rsidRDefault="00E32D86" w:rsidP="00E32D86">
      <w:pPr>
        <w:pStyle w:val="Bulletlevel1"/>
      </w:pPr>
      <w:r>
        <w:t>Around</w:t>
      </w:r>
      <w:r w:rsidR="00A235EF">
        <w:t xml:space="preserve"> one </w:t>
      </w:r>
      <w:r>
        <w:t xml:space="preserve">in </w:t>
      </w:r>
      <w:r w:rsidR="00A235EF">
        <w:t>se</w:t>
      </w:r>
      <w:r w:rsidR="004D5BBB">
        <w:t>v</w:t>
      </w:r>
      <w:r w:rsidR="00A235EF">
        <w:t>en</w:t>
      </w:r>
      <w:r>
        <w:t xml:space="preserve"> of those employed in the occupations expected to grow most quickly over the next five years hold</w:t>
      </w:r>
      <w:r w:rsidR="00DB0946">
        <w:t>s</w:t>
      </w:r>
      <w:r>
        <w:t xml:space="preserve"> a creative qualification</w:t>
      </w:r>
      <w:r w:rsidR="00D511E2">
        <w:t>.</w:t>
      </w:r>
    </w:p>
    <w:p w:rsidR="00E32D86" w:rsidRDefault="007B664A" w:rsidP="00E32D86">
      <w:pPr>
        <w:pStyle w:val="Bulletlevel1"/>
      </w:pPr>
      <w:r>
        <w:t>Many of the industries that have grown the fastest</w:t>
      </w:r>
      <w:r w:rsidR="00D511E2">
        <w:t>—</w:t>
      </w:r>
      <w:r>
        <w:t>in terms of economic output</w:t>
      </w:r>
      <w:r w:rsidR="00D511E2">
        <w:t>—</w:t>
      </w:r>
      <w:r w:rsidR="001E45F7">
        <w:t xml:space="preserve">employ </w:t>
      </w:r>
      <w:r w:rsidR="00D0315F">
        <w:t>workforce</w:t>
      </w:r>
      <w:r w:rsidR="001E45F7">
        <w:t xml:space="preserve">s with relatively high shares </w:t>
      </w:r>
      <w:r w:rsidR="00D0315F">
        <w:t>of creative qualifications.</w:t>
      </w:r>
    </w:p>
    <w:p w:rsidR="00866F15" w:rsidRPr="00E32D86" w:rsidRDefault="001E45F7" w:rsidP="006972E3">
      <w:pPr>
        <w:pStyle w:val="Bulletlevel1"/>
      </w:pPr>
      <w:r>
        <w:t xml:space="preserve">Some of the industries with the highest prevalence of </w:t>
      </w:r>
      <w:r w:rsidR="00FB6487">
        <w:t>innovation</w:t>
      </w:r>
      <w:r>
        <w:t xml:space="preserve"> have workforces with relatively high shares of creative qualifications.</w:t>
      </w:r>
    </w:p>
    <w:p w:rsidR="006F29C2" w:rsidRDefault="006F29C2" w:rsidP="006F29C2">
      <w:pPr>
        <w:pStyle w:val="Heading3"/>
      </w:pPr>
      <w:bookmarkStart w:id="22" w:name="_Toc531801742"/>
      <w:r>
        <w:t xml:space="preserve">Faster-growing occupations </w:t>
      </w:r>
      <w:r w:rsidR="001145E3">
        <w:t xml:space="preserve">and industries </w:t>
      </w:r>
      <w:r>
        <w:t xml:space="preserve">are likely to </w:t>
      </w:r>
      <w:r w:rsidR="001145E3">
        <w:t>need</w:t>
      </w:r>
      <w:r>
        <w:t xml:space="preserve"> creative skills</w:t>
      </w:r>
      <w:bookmarkEnd w:id="22"/>
    </w:p>
    <w:p w:rsidR="00560A8B" w:rsidRDefault="00560A8B" w:rsidP="006F29C2">
      <w:r>
        <w:t>The importance of creative skills in the future will depend on whether the occupation</w:t>
      </w:r>
      <w:r w:rsidR="001B108E">
        <w:t>s</w:t>
      </w:r>
      <w:r>
        <w:t xml:space="preserve"> in which they are used intensively are likely to grow </w:t>
      </w:r>
      <w:r w:rsidR="00FB6487">
        <w:t xml:space="preserve">both </w:t>
      </w:r>
      <w:r>
        <w:t xml:space="preserve">in number and </w:t>
      </w:r>
      <w:r w:rsidR="00FB6487">
        <w:t>pace compared to</w:t>
      </w:r>
      <w:r>
        <w:t xml:space="preserve"> other occupations.</w:t>
      </w:r>
    </w:p>
    <w:p w:rsidR="00BD3252" w:rsidRDefault="00FB6487" w:rsidP="006F29C2">
      <w:r>
        <w:t>The</w:t>
      </w:r>
      <w:r w:rsidR="00BD3252">
        <w:t xml:space="preserve"> number of those employed in creative occupations has grown more quickly than those in other occupations. Between 2011 and 2016, the number of those employed in creative occupations</w:t>
      </w:r>
      <w:r w:rsidR="00D511E2">
        <w:t>—</w:t>
      </w:r>
      <w:r w:rsidR="00BA113C">
        <w:t>holders of the creative skills identified above</w:t>
      </w:r>
      <w:r w:rsidR="00D511E2">
        <w:t>—</w:t>
      </w:r>
      <w:r w:rsidR="00BD3252">
        <w:t>grew at around double the rate of those in other occupations.</w:t>
      </w:r>
      <w:r w:rsidR="00BD3252">
        <w:rPr>
          <w:rStyle w:val="EndnoteReference"/>
        </w:rPr>
        <w:endnoteReference w:id="58"/>
      </w:r>
      <w:r w:rsidR="00BD3252">
        <w:t xml:space="preserve"> </w:t>
      </w:r>
    </w:p>
    <w:p w:rsidR="001145E3" w:rsidRDefault="00197464" w:rsidP="006F29C2">
      <w:r>
        <w:t xml:space="preserve">Many of the </w:t>
      </w:r>
      <w:r w:rsidR="00FB6487">
        <w:t xml:space="preserve">faster-growing </w:t>
      </w:r>
      <w:r>
        <w:t xml:space="preserve">industries have also relied on workforces with creative skills. </w:t>
      </w:r>
      <w:r w:rsidR="00FB6487">
        <w:t>The</w:t>
      </w:r>
      <w:r>
        <w:t xml:space="preserve"> following industries </w:t>
      </w:r>
      <w:r w:rsidR="00FB6487">
        <w:t>have experienced</w:t>
      </w:r>
      <w:r>
        <w:t xml:space="preserve"> the fastest</w:t>
      </w:r>
      <w:r w:rsidR="005F48E4">
        <w:t xml:space="preserve"> </w:t>
      </w:r>
      <w:r w:rsidR="00FB6487">
        <w:t>output growth</w:t>
      </w:r>
      <w:r w:rsidR="005F48E4">
        <w:t xml:space="preserve"> over the decade</w:t>
      </w:r>
      <w:r w:rsidR="00A12BEA">
        <w:t xml:space="preserve"> to 2016</w:t>
      </w:r>
      <w:r w:rsidR="00BA70F9">
        <w:t>–</w:t>
      </w:r>
      <w:r w:rsidR="00A12BEA">
        <w:t>17</w:t>
      </w:r>
      <w:r w:rsidR="005F48E4">
        <w:t>:</w:t>
      </w:r>
    </w:p>
    <w:p w:rsidR="005F48E4" w:rsidRDefault="005F48E4" w:rsidP="005F48E4">
      <w:pPr>
        <w:pStyle w:val="Bulletlevel1"/>
      </w:pPr>
      <w:r>
        <w:t>Mining</w:t>
      </w:r>
      <w:r w:rsidR="00F428A0">
        <w:t xml:space="preserve"> (5.8% value added growth per year, on average, between 2006</w:t>
      </w:r>
      <w:r w:rsidR="00BA70F9">
        <w:t>–</w:t>
      </w:r>
      <w:r w:rsidR="00F428A0">
        <w:t>07 and 2016</w:t>
      </w:r>
      <w:r w:rsidR="00BA70F9">
        <w:t>–</w:t>
      </w:r>
      <w:r w:rsidR="00F428A0">
        <w:t>17)</w:t>
      </w:r>
    </w:p>
    <w:p w:rsidR="00F428A0" w:rsidRDefault="00F428A0" w:rsidP="00F428A0">
      <w:pPr>
        <w:pStyle w:val="Bulletlevel1"/>
      </w:pPr>
      <w:r>
        <w:t xml:space="preserve">Health </w:t>
      </w:r>
      <w:r w:rsidR="00180F68">
        <w:t>Care and Social Assistance (4.7 per cent</w:t>
      </w:r>
      <w:r>
        <w:t>)</w:t>
      </w:r>
    </w:p>
    <w:p w:rsidR="005F48E4" w:rsidRDefault="005F48E4" w:rsidP="005F48E4">
      <w:pPr>
        <w:pStyle w:val="Bulletlevel1"/>
      </w:pPr>
      <w:r>
        <w:t>Professional, Scientific and Technical Services</w:t>
      </w:r>
      <w:r w:rsidR="00180F68">
        <w:t xml:space="preserve"> (4.5 per cent</w:t>
      </w:r>
      <w:r w:rsidR="00F428A0">
        <w:t>)</w:t>
      </w:r>
    </w:p>
    <w:p w:rsidR="005F48E4" w:rsidRDefault="005F48E4" w:rsidP="005F48E4">
      <w:pPr>
        <w:pStyle w:val="Bulletlevel1"/>
      </w:pPr>
      <w:r>
        <w:t>Rental, Hiring and Real Estate Services</w:t>
      </w:r>
      <w:r w:rsidR="00180F68">
        <w:t xml:space="preserve"> (4.2 per cent</w:t>
      </w:r>
      <w:r w:rsidR="00F428A0">
        <w:t>)</w:t>
      </w:r>
    </w:p>
    <w:p w:rsidR="005F48E4" w:rsidRDefault="005F48E4" w:rsidP="005F48E4">
      <w:pPr>
        <w:pStyle w:val="Bulletlevel1"/>
      </w:pPr>
      <w:r>
        <w:t>Agriculture, Forestry and Fishing</w:t>
      </w:r>
      <w:r w:rsidR="00180F68">
        <w:t xml:space="preserve"> (3.8 per cent</w:t>
      </w:r>
      <w:r w:rsidR="00F428A0">
        <w:t>)</w:t>
      </w:r>
    </w:p>
    <w:p w:rsidR="005F48E4" w:rsidRDefault="005F48E4" w:rsidP="005F48E4">
      <w:pPr>
        <w:pStyle w:val="Bulletlevel1"/>
      </w:pPr>
      <w:r>
        <w:t>Information, Media and Telecommunications</w:t>
      </w:r>
      <w:r w:rsidR="00180F68">
        <w:t xml:space="preserve"> (3.5 per cent</w:t>
      </w:r>
      <w:r w:rsidR="00F428A0">
        <w:t>).</w:t>
      </w:r>
      <w:r w:rsidR="004D5BBB">
        <w:rPr>
          <w:rStyle w:val="EndnoteReference"/>
        </w:rPr>
        <w:endnoteReference w:id="59"/>
      </w:r>
    </w:p>
    <w:p w:rsidR="00D511E2" w:rsidRDefault="005F48E4" w:rsidP="005F48E4">
      <w:pPr>
        <w:spacing w:after="160" w:line="259" w:lineRule="auto"/>
      </w:pPr>
      <w:r>
        <w:t xml:space="preserve">Of these, the Professional, Scientific and Technical Services; Rental, Hiring and Real Estate Services, and Information, Media and Telecommunications industries </w:t>
      </w:r>
      <w:r w:rsidR="00756735">
        <w:t>hold the highest share of workers with creative qualifications, suggesting that these skills have been important for a proportion of growth</w:t>
      </w:r>
      <w:r w:rsidR="00D511E2">
        <w:t>.</w:t>
      </w:r>
    </w:p>
    <w:p w:rsidR="005740B8" w:rsidRDefault="00473FC0" w:rsidP="006F29C2">
      <w:r>
        <w:t xml:space="preserve">There is also evidence that </w:t>
      </w:r>
      <w:r w:rsidR="005740B8">
        <w:t>the occupations expected to experience growth in the future will be ones that currently rely on creative skills.</w:t>
      </w:r>
      <w:r w:rsidR="00747E6E">
        <w:t xml:space="preserve"> Recent work in the United Kingdom has found that </w:t>
      </w:r>
      <w:r w:rsidR="00747E6E" w:rsidRPr="00747E6E">
        <w:t>‘creativity’ is consistently the most significant predictor for an occupation’s chance of growing, as a percentage of the workforce by the year 2030</w:t>
      </w:r>
      <w:r w:rsidR="00747E6E">
        <w:t>.</w:t>
      </w:r>
      <w:r w:rsidR="00747E6E">
        <w:rPr>
          <w:rStyle w:val="EndnoteReference"/>
        </w:rPr>
        <w:endnoteReference w:id="60"/>
      </w:r>
    </w:p>
    <w:p w:rsidR="00D511E2" w:rsidRDefault="008B7CA0" w:rsidP="006F29C2">
      <w:r>
        <w:lastRenderedPageBreak/>
        <w:t>From an Australian perspective, t</w:t>
      </w:r>
      <w:r w:rsidR="006F29C2">
        <w:t xml:space="preserve">he </w:t>
      </w:r>
      <w:r w:rsidR="00B07CF4">
        <w:t xml:space="preserve">Australian Government </w:t>
      </w:r>
      <w:r w:rsidR="006F29C2">
        <w:t>Department of Jobs and Small Business publishes forecasts of employment over the next five years, which can be used to identify the industries that are expected to grow the fastest and to identify the industries that are expected to contribute the most to total employment growth to 2023</w:t>
      </w:r>
      <w:r w:rsidR="00D511E2">
        <w:t>.</w:t>
      </w:r>
    </w:p>
    <w:p w:rsidR="006F29C2" w:rsidRDefault="00FB6487" w:rsidP="006F29C2">
      <w:r>
        <w:t xml:space="preserve">Based on these </w:t>
      </w:r>
      <w:r w:rsidR="006F29C2">
        <w:t>forecasts, 13 industries could be classified as high-growth</w:t>
      </w:r>
      <w:r w:rsidR="00D511E2">
        <w:t>—</w:t>
      </w:r>
      <w:r w:rsidR="006F29C2">
        <w:t xml:space="preserve">growing </w:t>
      </w:r>
      <w:r w:rsidR="005740B8">
        <w:t xml:space="preserve">around </w:t>
      </w:r>
      <w:r w:rsidR="006F29C2">
        <w:t>double that of the average expected across the entire economy.</w:t>
      </w:r>
      <w:r w:rsidR="006F29C2">
        <w:rPr>
          <w:rStyle w:val="EndnoteReference"/>
        </w:rPr>
        <w:endnoteReference w:id="61"/>
      </w:r>
      <w:r w:rsidR="006F29C2">
        <w:t xml:space="preserve"> Of these industries presently, </w:t>
      </w:r>
      <w:r w:rsidR="00C71687">
        <w:t>14.6</w:t>
      </w:r>
      <w:r w:rsidR="006A59CB">
        <w:t xml:space="preserve"> per cent</w:t>
      </w:r>
      <w:r w:rsidR="006F29C2">
        <w:t xml:space="preserve"> of their workforce hold a creative qualification</w:t>
      </w:r>
      <w:r w:rsidR="006A59CB">
        <w:t>, compared to around 9.5 per cent overall</w:t>
      </w:r>
      <w:r w:rsidR="006F29C2">
        <w:t>. This indicates that creative skills are an important part of enabling future jobs growth.</w:t>
      </w:r>
    </w:p>
    <w:p w:rsidR="002718F7" w:rsidRDefault="004055D8" w:rsidP="006F29C2">
      <w:pPr>
        <w:pStyle w:val="Heading3"/>
      </w:pPr>
      <w:bookmarkStart w:id="23" w:name="_Toc531801743"/>
      <w:r>
        <w:t xml:space="preserve">Creative skills </w:t>
      </w:r>
      <w:r w:rsidR="007316B7">
        <w:t>contribute</w:t>
      </w:r>
      <w:r w:rsidR="009E1B35">
        <w:t xml:space="preserve"> to</w:t>
      </w:r>
      <w:r>
        <w:t xml:space="preserve"> </w:t>
      </w:r>
      <w:r w:rsidR="002918B3">
        <w:t>innovation</w:t>
      </w:r>
      <w:r w:rsidR="006F29C2">
        <w:t>-intensive industries</w:t>
      </w:r>
      <w:bookmarkEnd w:id="23"/>
      <w:r w:rsidR="00A151B7">
        <w:t xml:space="preserve"> </w:t>
      </w:r>
    </w:p>
    <w:p w:rsidR="00D511E2" w:rsidRDefault="009E1B35" w:rsidP="009E1B35">
      <w:r>
        <w:t>Innovation depends on the generation of new ide</w:t>
      </w:r>
      <w:r w:rsidR="00CE327F">
        <w:t>a</w:t>
      </w:r>
      <w:r>
        <w:t>s and therefore creativity. The share of creatively qualified employees is higher on average in industries that are innovative</w:t>
      </w:r>
      <w:r w:rsidR="00D511E2">
        <w:t>.</w:t>
      </w:r>
    </w:p>
    <w:p w:rsidR="002718F7" w:rsidRDefault="002718F7" w:rsidP="009E1B35">
      <w:r>
        <w:t>The following industries are among the most innovation intensive, based on the high proportion of firms that are innovation-active</w:t>
      </w:r>
      <w:r w:rsidR="00D511E2">
        <w:t>—</w:t>
      </w:r>
      <w:r>
        <w:t>that is, they introduced or are planning to introduce an innovation in the previous year:</w:t>
      </w:r>
    </w:p>
    <w:p w:rsidR="00F428A0" w:rsidRDefault="00F428A0" w:rsidP="00B07387">
      <w:pPr>
        <w:pStyle w:val="Bulletlevel1"/>
      </w:pPr>
      <w:r>
        <w:t>Information, Media and Telecommunications (60.5% of firms were innovation active in 2016</w:t>
      </w:r>
      <w:r w:rsidR="00BA70F9">
        <w:t>–</w:t>
      </w:r>
      <w:r>
        <w:t>17)</w:t>
      </w:r>
    </w:p>
    <w:p w:rsidR="00F428A0" w:rsidRDefault="003E1386" w:rsidP="00B07387">
      <w:pPr>
        <w:pStyle w:val="Bulletlevel1"/>
      </w:pPr>
      <w:r>
        <w:t>Retail Trade (54.4 per cent)</w:t>
      </w:r>
    </w:p>
    <w:p w:rsidR="002718F7" w:rsidRDefault="002718F7" w:rsidP="00B07387">
      <w:pPr>
        <w:pStyle w:val="Bulletlevel1"/>
      </w:pPr>
      <w:r>
        <w:t>Wholesale Trade</w:t>
      </w:r>
      <w:r w:rsidR="003E1386">
        <w:t xml:space="preserve"> (54.1 per cent</w:t>
      </w:r>
      <w:r w:rsidR="00F428A0">
        <w:t>)</w:t>
      </w:r>
    </w:p>
    <w:p w:rsidR="002718F7" w:rsidRDefault="002718F7" w:rsidP="00B07387">
      <w:pPr>
        <w:pStyle w:val="Bulletlevel1"/>
      </w:pPr>
      <w:r>
        <w:t>Arts and Recreation Services</w:t>
      </w:r>
      <w:r w:rsidR="003E1386">
        <w:t xml:space="preserve"> (52.0 per cent</w:t>
      </w:r>
      <w:r w:rsidR="00F428A0">
        <w:t>)</w:t>
      </w:r>
    </w:p>
    <w:p w:rsidR="002718F7" w:rsidRDefault="00F428A0" w:rsidP="00B07387">
      <w:pPr>
        <w:pStyle w:val="Bulletlevel1"/>
      </w:pPr>
      <w:r>
        <w:t>Financi</w:t>
      </w:r>
      <w:r w:rsidR="003E1386">
        <w:t>al and Insurance Services (50.8 per cent</w:t>
      </w:r>
      <w:r>
        <w:t>)</w:t>
      </w:r>
      <w:r w:rsidR="002718F7">
        <w:t>.</w:t>
      </w:r>
      <w:r w:rsidR="002718F7">
        <w:rPr>
          <w:rStyle w:val="EndnoteReference"/>
        </w:rPr>
        <w:endnoteReference w:id="62"/>
      </w:r>
    </w:p>
    <w:p w:rsidR="00D511E2" w:rsidRDefault="002718F7" w:rsidP="002718F7">
      <w:r>
        <w:t xml:space="preserve">As with high-growth industries, the share of employees holding creative qualifications varies: between </w:t>
      </w:r>
      <w:r w:rsidR="00F428A0">
        <w:t xml:space="preserve">10.1 </w:t>
      </w:r>
      <w:r>
        <w:t>per cent in</w:t>
      </w:r>
      <w:r w:rsidR="00F428A0">
        <w:t xml:space="preserve"> Retail Trade</w:t>
      </w:r>
      <w:r>
        <w:t xml:space="preserve">, to </w:t>
      </w:r>
      <w:r w:rsidR="00F428A0">
        <w:t>27.9</w:t>
      </w:r>
      <w:r>
        <w:t xml:space="preserve"> per cent in </w:t>
      </w:r>
      <w:r w:rsidR="00F428A0">
        <w:t>Information, Media and Telecommunications</w:t>
      </w:r>
      <w:r w:rsidR="00D511E2">
        <w:t>.</w:t>
      </w:r>
    </w:p>
    <w:p w:rsidR="00347AC2" w:rsidRDefault="00835DCB" w:rsidP="002718F7">
      <w:r>
        <w:t xml:space="preserve">What this suggests is that for </w:t>
      </w:r>
      <w:r w:rsidR="00B80153">
        <w:t xml:space="preserve">those </w:t>
      </w:r>
      <w:r>
        <w:t>industries where innovation activity occurs among</w:t>
      </w:r>
      <w:r w:rsidR="00B80153">
        <w:t xml:space="preserve"> the majority of firms,</w:t>
      </w:r>
      <w:r>
        <w:t xml:space="preserve"> the share of creatively qualified employees is higher on averag</w:t>
      </w:r>
      <w:r w:rsidR="00B80153">
        <w:t>e relative to other industries.</w:t>
      </w:r>
    </w:p>
    <w:p w:rsidR="006F29C2" w:rsidRDefault="006F29C2" w:rsidP="006F29C2">
      <w:pPr>
        <w:pStyle w:val="Heading3"/>
      </w:pPr>
      <w:bookmarkStart w:id="24" w:name="_Toc531801744"/>
      <w:r>
        <w:t>Indirect demand for creative skills is considerable and complex</w:t>
      </w:r>
      <w:bookmarkEnd w:id="24"/>
    </w:p>
    <w:p w:rsidR="00D511E2" w:rsidRDefault="0093264C" w:rsidP="0093264C">
      <w:r>
        <w:t xml:space="preserve">An examination of creative skills alone, however, does not reflect the </w:t>
      </w:r>
      <w:r w:rsidRPr="001264FC">
        <w:t>full i</w:t>
      </w:r>
      <w:r>
        <w:t xml:space="preserve">mportance of creative output </w:t>
      </w:r>
      <w:r w:rsidR="00FC2D85">
        <w:t xml:space="preserve">and creative skills </w:t>
      </w:r>
      <w:r>
        <w:t>to the Australian economy</w:t>
      </w:r>
      <w:r w:rsidR="00D511E2">
        <w:t>.</w:t>
      </w:r>
    </w:p>
    <w:p w:rsidR="0093264C" w:rsidRDefault="0093264C" w:rsidP="0093264C">
      <w:r>
        <w:t xml:space="preserve">Analysis by the BCAR indicates that the </w:t>
      </w:r>
      <w:r w:rsidR="00560A8B">
        <w:t>contribution of</w:t>
      </w:r>
      <w:r>
        <w:t xml:space="preserve"> creative activity</w:t>
      </w:r>
      <w:r w:rsidR="00560A8B">
        <w:t xml:space="preserve"> to Gross Domestic Product (GDP)</w:t>
      </w:r>
      <w:r>
        <w:t xml:space="preserve"> in Australia was around $</w:t>
      </w:r>
      <w:r w:rsidR="00560A8B">
        <w:t>99.7</w:t>
      </w:r>
      <w:r>
        <w:t> billion in 2016</w:t>
      </w:r>
      <w:r w:rsidR="00BA70F9">
        <w:t>–</w:t>
      </w:r>
      <w:r>
        <w:t xml:space="preserve">17 or approximately </w:t>
      </w:r>
      <w:r w:rsidR="00560A8B">
        <w:t>5.7</w:t>
      </w:r>
      <w:r w:rsidR="00866F15">
        <w:t xml:space="preserve"> per cent</w:t>
      </w:r>
      <w:r>
        <w:t xml:space="preserve"> of </w:t>
      </w:r>
      <w:r w:rsidR="00560A8B">
        <w:t>GDP</w:t>
      </w:r>
      <w:r>
        <w:t>.</w:t>
      </w:r>
      <w:r>
        <w:rPr>
          <w:rStyle w:val="EndnoteReference"/>
        </w:rPr>
        <w:endnoteReference w:id="63"/>
      </w:r>
      <w:r>
        <w:t xml:space="preserve"> But also of importance is the flow of creative goods and services that are used by businesses that might otherwise not be thought of as creative, but nonetheless rely heavily on the contribution from fields such as the arts, design and computer science.</w:t>
      </w:r>
    </w:p>
    <w:p w:rsidR="0098638D" w:rsidRDefault="0093264C" w:rsidP="0093264C">
      <w:r>
        <w:lastRenderedPageBreak/>
        <w:t>Different industries rely on others to supply goods and services as ‘intermediate inputs’ to produce final output. Creative industries rely on inputs from other industries, and other industries in turn rely on creative industries to produce output. However, because the industry involved in the ‘last stage’ of production has all out</w:t>
      </w:r>
      <w:r w:rsidR="00F35DE6">
        <w:t>put attributed to it, this can mask</w:t>
      </w:r>
      <w:r>
        <w:t xml:space="preserve"> the importance of contributions from other industries in earlier stages of production </w:t>
      </w:r>
      <w:r w:rsidR="0098638D">
        <w:t>(box 3</w:t>
      </w:r>
      <w:r w:rsidRPr="00F369BD">
        <w:t>).</w:t>
      </w:r>
    </w:p>
    <w:p w:rsidR="0093264C" w:rsidRPr="00470D17" w:rsidRDefault="0093264C" w:rsidP="00BB2DE6">
      <w:pPr>
        <w:pStyle w:val="Heading4"/>
        <w:pBdr>
          <w:top w:val="single" w:sz="4" w:space="1" w:color="auto"/>
          <w:left w:val="single" w:sz="4" w:space="1" w:color="auto"/>
          <w:bottom w:val="single" w:sz="4" w:space="1" w:color="auto"/>
          <w:right w:val="single" w:sz="4" w:space="1" w:color="auto"/>
        </w:pBdr>
        <w:shd w:val="clear" w:color="auto" w:fill="E4E4E4"/>
      </w:pPr>
      <w:r w:rsidRPr="00470D17">
        <w:t xml:space="preserve">Box </w:t>
      </w:r>
      <w:r w:rsidR="0098638D" w:rsidRPr="00470D17">
        <w:t>3</w:t>
      </w:r>
      <w:r w:rsidRPr="00470D17">
        <w:t>: Understanding the flows of inputs and outputs between industries</w:t>
      </w:r>
    </w:p>
    <w:p w:rsidR="00D511E2" w:rsidRDefault="0093264C" w:rsidP="00BB2DE6">
      <w:pPr>
        <w:keepNext/>
        <w:keepLines/>
        <w:pBdr>
          <w:top w:val="single" w:sz="4" w:space="1" w:color="auto"/>
          <w:left w:val="single" w:sz="4" w:space="1" w:color="auto"/>
          <w:bottom w:val="single" w:sz="4" w:space="1" w:color="auto"/>
          <w:right w:val="single" w:sz="4" w:space="1" w:color="auto"/>
        </w:pBdr>
        <w:shd w:val="clear" w:color="auto" w:fill="E4E4E4"/>
      </w:pPr>
      <w:r>
        <w:t>Input-output tables are published for Australia by the Australian Bureau of Statistics (ABS). What these tables detail, at a reasonably fine level of disaggregation, is the value of goods and services from different industries by other industries</w:t>
      </w:r>
      <w:r w:rsidR="00D511E2">
        <w:t>—</w:t>
      </w:r>
      <w:r>
        <w:t>known as ‘intermediate inputs’. They also detail the value of goods and services that are supplied for ‘final use’</w:t>
      </w:r>
      <w:r w:rsidR="00D511E2">
        <w:t>—</w:t>
      </w:r>
      <w:r>
        <w:t>which includes consumption by households and governments; the use of materials for investment purposes; and exports</w:t>
      </w:r>
      <w:r w:rsidR="00D511E2">
        <w:t>.</w:t>
      </w:r>
    </w:p>
    <w:p w:rsidR="00D511E2" w:rsidRDefault="0093264C" w:rsidP="00BB2DE6">
      <w:pPr>
        <w:keepNext/>
        <w:keepLines/>
        <w:pBdr>
          <w:top w:val="single" w:sz="4" w:space="1" w:color="auto"/>
          <w:left w:val="single" w:sz="4" w:space="1" w:color="auto"/>
          <w:bottom w:val="single" w:sz="4" w:space="1" w:color="auto"/>
          <w:right w:val="single" w:sz="4" w:space="1" w:color="auto"/>
        </w:pBdr>
        <w:shd w:val="clear" w:color="auto" w:fill="E4E4E4"/>
      </w:pPr>
      <w:r>
        <w:t>Inpu</w:t>
      </w:r>
      <w:r w:rsidR="00F35DE6">
        <w:t>t-output tables can be used to track</w:t>
      </w:r>
      <w:r>
        <w:t xml:space="preserve"> the flows of goods and services from particular industries to others. For the purposes of this paper, the input-output tables are used to track the flow of value from creative industries to other industries as they use these creative products to produce others. More information on the approach used to measure input-output flows is contained in </w:t>
      </w:r>
      <w:hyperlink w:anchor="_Appendix_B:_Use" w:history="1">
        <w:r w:rsidRPr="00BA70F9">
          <w:rPr>
            <w:rStyle w:val="Hyperlink"/>
          </w:rPr>
          <w:t>appendix B</w:t>
        </w:r>
      </w:hyperlink>
      <w:r w:rsidR="00D511E2">
        <w:t>.</w:t>
      </w:r>
    </w:p>
    <w:p w:rsidR="00D511E2" w:rsidRDefault="00FB6487" w:rsidP="00BB2DE6">
      <w:pPr>
        <w:keepLines/>
        <w:pBdr>
          <w:top w:val="single" w:sz="4" w:space="1" w:color="auto"/>
          <w:left w:val="single" w:sz="4" w:space="1" w:color="auto"/>
          <w:bottom w:val="single" w:sz="4" w:space="1" w:color="auto"/>
          <w:right w:val="single" w:sz="4" w:space="1" w:color="auto"/>
        </w:pBdr>
        <w:shd w:val="clear" w:color="auto" w:fill="E4E4E4"/>
      </w:pPr>
      <w:r>
        <w:t>The ABS input-output product categories are not directly comparable to other industry or sectoral classifications, including some of those used by the ABS. For example, the value of screen exports would be captured across categories including broadcasting, motion picture and sound recording, and other categories not shown in the figure above</w:t>
      </w:r>
      <w:r w:rsidR="00D511E2">
        <w:t>.</w:t>
      </w:r>
    </w:p>
    <w:p w:rsidR="00D511E2" w:rsidRDefault="0093264C" w:rsidP="0093264C">
      <w:r>
        <w:t xml:space="preserve">Figure </w:t>
      </w:r>
      <w:r w:rsidR="00021B54">
        <w:t>4</w:t>
      </w:r>
      <w:r w:rsidR="00E90645">
        <w:t xml:space="preserve"> </w:t>
      </w:r>
      <w:r>
        <w:t>shows the value of intermediate inputs used by different industries, ordered from largest to smallest use of intermediate inputs</w:t>
      </w:r>
      <w:r w:rsidR="00D511E2">
        <w:t>.</w:t>
      </w:r>
    </w:p>
    <w:p w:rsidR="00D511E2" w:rsidRDefault="001065E7" w:rsidP="0093264C">
      <w:r>
        <w:t>This shows</w:t>
      </w:r>
      <w:r w:rsidR="0093264C">
        <w:t xml:space="preserve"> that a wide range of industries rely on inputs from creative inputs in order to produce final output. The Professional, Scientific and Technical Services </w:t>
      </w:r>
      <w:r w:rsidR="00216E0C">
        <w:t>sector</w:t>
      </w:r>
      <w:r w:rsidR="0093264C">
        <w:t xml:space="preserve"> alone uses around $12 billion worth of creative inputs, with the Computer Systems Design, Insurance and Superannuation Funds, Public Administration and Regulatory Services, and Finance industries </w:t>
      </w:r>
      <w:r w:rsidR="00512CFE">
        <w:t xml:space="preserve">each </w:t>
      </w:r>
      <w:r w:rsidR="0093264C">
        <w:t>using around $6 billion of creative inputs</w:t>
      </w:r>
      <w:r w:rsidR="00D511E2">
        <w:t>.</w:t>
      </w:r>
    </w:p>
    <w:p w:rsidR="0093264C" w:rsidRDefault="0093264C" w:rsidP="0093264C">
      <w:r>
        <w:t xml:space="preserve">In total, around $87 billion worth of inputs from creative industries were used by firms in Australia to produce final output in </w:t>
      </w:r>
      <w:r w:rsidR="00BA70F9">
        <w:t>2014–15</w:t>
      </w:r>
      <w:r>
        <w:t>.</w:t>
      </w:r>
    </w:p>
    <w:p w:rsidR="0093264C" w:rsidRDefault="0093264C" w:rsidP="0093264C">
      <w:pPr>
        <w:pStyle w:val="Tablefigureheading"/>
      </w:pPr>
      <w:bookmarkStart w:id="25" w:name="_Toc532208390"/>
      <w:r>
        <w:lastRenderedPageBreak/>
        <w:t xml:space="preserve">Figure </w:t>
      </w:r>
      <w:r w:rsidR="00021B54">
        <w:t>4</w:t>
      </w:r>
      <w:r>
        <w:t xml:space="preserve">: Value of creative inputs used by different sectors, </w:t>
      </w:r>
      <w:r w:rsidR="00BA70F9">
        <w:t>2014–15</w:t>
      </w:r>
      <w:bookmarkEnd w:id="25"/>
    </w:p>
    <w:p w:rsidR="00C019B7" w:rsidRDefault="00AB5E1C" w:rsidP="00C019B7">
      <w:pPr>
        <w:spacing w:after="0"/>
        <w:rPr>
          <w:lang w:eastAsia="en-US"/>
        </w:rPr>
      </w:pPr>
      <w:r w:rsidRPr="00AB5E1C">
        <w:rPr>
          <w:noProof/>
          <w:lang w:eastAsia="en-AU"/>
        </w:rPr>
        <w:drawing>
          <wp:inline distT="0" distB="0" distL="0" distR="0" wp14:anchorId="5FA8DE42" wp14:editId="6DD3B5D3">
            <wp:extent cx="5591175" cy="6515100"/>
            <wp:effectExtent l="0" t="0" r="9525" b="0"/>
            <wp:docPr id="19" name="Picture 19" descr="Figure 4. Value of creative inputs used by different sectors, 2014-15. It is a bar chart that shows the value of inputs from creative industries used in other industries. The highest user of creative industry input is 'Professional, Scientific and Technolcal Services'. The content of the figure is explained in the text preceding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591175" cy="6515100"/>
                    </a:xfrm>
                    <a:prstGeom prst="rect">
                      <a:avLst/>
                    </a:prstGeom>
                    <a:noFill/>
                    <a:ln>
                      <a:noFill/>
                    </a:ln>
                  </pic:spPr>
                </pic:pic>
              </a:graphicData>
            </a:graphic>
          </wp:inline>
        </w:drawing>
      </w:r>
    </w:p>
    <w:p w:rsidR="0093264C" w:rsidRDefault="0093264C" w:rsidP="0093264C">
      <w:pPr>
        <w:pStyle w:val="Sourcenote"/>
      </w:pPr>
      <w:r>
        <w:t>Note: Industries are classified by whether they are creative industries (as identified using the taxonomy above). Because input output tables are published using a different classification to ANZSIC, there are some input-output industry categories that include both creative and non-creative industries. These are classified as ‘partially’ creative industries. Other industries refers to all other input-output product categories not listed in the figure.</w:t>
      </w:r>
      <w:r w:rsidR="00BB155A">
        <w:br/>
      </w:r>
      <w:r>
        <w:t xml:space="preserve">Source: </w:t>
      </w:r>
      <w:r w:rsidR="00BB155A">
        <w:t xml:space="preserve">BCAR estimates based on ABS (2017) </w:t>
      </w:r>
      <w:r w:rsidR="00BB155A" w:rsidRPr="00103D6A">
        <w:t>Australian National Accounts: Input-Output Tables</w:t>
      </w:r>
      <w:r w:rsidR="00BB155A">
        <w:t>,</w:t>
      </w:r>
      <w:r w:rsidR="00BB155A" w:rsidRPr="00103D6A">
        <w:t xml:space="preserve"> </w:t>
      </w:r>
      <w:r w:rsidR="00BA70F9">
        <w:t>2014–15</w:t>
      </w:r>
      <w:r w:rsidR="00BB155A">
        <w:t>, Cat. No. 5209.0.55.001.</w:t>
      </w:r>
    </w:p>
    <w:p w:rsidR="00D511E2" w:rsidRDefault="0093264C" w:rsidP="0093264C">
      <w:r>
        <w:t>Another way to examine the intensity of creative inputs use by industries is to look at the value of intermediate inputs produced by creative industries as a share of t</w:t>
      </w:r>
      <w:r w:rsidR="000904D0">
        <w:t>otal intermediate inputs used (f</w:t>
      </w:r>
      <w:r>
        <w:t>igure</w:t>
      </w:r>
      <w:r w:rsidR="009F498E">
        <w:t> </w:t>
      </w:r>
      <w:r w:rsidR="00021B54">
        <w:t>5</w:t>
      </w:r>
      <w:r>
        <w:t>)</w:t>
      </w:r>
      <w:r w:rsidR="00D511E2">
        <w:t>.</w:t>
      </w:r>
    </w:p>
    <w:p w:rsidR="0093264C" w:rsidRDefault="0093264C" w:rsidP="0093264C">
      <w:r>
        <w:t>What this shows is that many creative industries rely on other</w:t>
      </w:r>
      <w:r w:rsidR="00AF4F93">
        <w:t xml:space="preserve"> creative industries</w:t>
      </w:r>
      <w:r>
        <w:t xml:space="preserve"> for inputs</w:t>
      </w:r>
      <w:r w:rsidR="00D511E2">
        <w:t>—</w:t>
      </w:r>
      <w:r>
        <w:t>the five most intensive groupings of industries are all ones that include (partially or completely) creative industries, and rely on at least 20</w:t>
      </w:r>
      <w:r w:rsidR="009F498E">
        <w:t> </w:t>
      </w:r>
      <w:r>
        <w:t xml:space="preserve">per cent of inputs from other creative industries in order to produce their own goods and services. </w:t>
      </w:r>
      <w:r w:rsidR="00F369BD">
        <w:t>(</w:t>
      </w:r>
      <w:r w:rsidR="0085777C">
        <w:t xml:space="preserve">This does not mean that the production of creative output is </w:t>
      </w:r>
      <w:r w:rsidR="001065E7">
        <w:t>only used by creative industries</w:t>
      </w:r>
      <w:r w:rsidR="0085777C">
        <w:t>, but rather that creativity from a range of goods and services enables further creativity elsewhere in creative industries.</w:t>
      </w:r>
      <w:r w:rsidR="00F369BD">
        <w:t>)</w:t>
      </w:r>
    </w:p>
    <w:p w:rsidR="00D511E2" w:rsidRDefault="00A5343C" w:rsidP="00716A12">
      <w:r>
        <w:lastRenderedPageBreak/>
        <w:t xml:space="preserve">Other </w:t>
      </w:r>
      <w:r w:rsidR="00716A12">
        <w:t>industries also rely heavily on inputs from creative industries. Of the intermediate inputs used by the Public Order and Safety, Gambling, Finance, and Insurance industries, at least 15 per cent by value is comprised of inputs from creative industries</w:t>
      </w:r>
      <w:r w:rsidR="00450785">
        <w:t>, including inputs such as video production, design and information technology services</w:t>
      </w:r>
      <w:r w:rsidR="00716A12">
        <w:t xml:space="preserve">. The industries listed above contributed 18.1 per cent to </w:t>
      </w:r>
      <w:r w:rsidR="00D871C5">
        <w:t xml:space="preserve">Gross </w:t>
      </w:r>
      <w:r w:rsidR="00716A12">
        <w:t>D</w:t>
      </w:r>
      <w:r w:rsidR="00D871C5">
        <w:t xml:space="preserve">omestic </w:t>
      </w:r>
      <w:r w:rsidR="00716A12">
        <w:t>P</w:t>
      </w:r>
      <w:r w:rsidR="00D871C5">
        <w:t>roduct</w:t>
      </w:r>
      <w:r w:rsidR="00716A12">
        <w:t xml:space="preserve"> in </w:t>
      </w:r>
      <w:r w:rsidR="00BA70F9">
        <w:t>2014–15</w:t>
      </w:r>
      <w:r w:rsidR="00716A12">
        <w:t xml:space="preserve">; a contribution that </w:t>
      </w:r>
      <w:r w:rsidR="00DA2982">
        <w:t>appears reliant</w:t>
      </w:r>
      <w:r w:rsidR="008612A1">
        <w:t>,</w:t>
      </w:r>
      <w:r w:rsidR="00DA2982">
        <w:t xml:space="preserve"> in part</w:t>
      </w:r>
      <w:r w:rsidR="008612A1">
        <w:t>,</w:t>
      </w:r>
      <w:r w:rsidR="00DA2982">
        <w:t xml:space="preserve"> on creative </w:t>
      </w:r>
      <w:r w:rsidR="00716A12">
        <w:t>industries and creative skills</w:t>
      </w:r>
      <w:r w:rsidR="00D511E2">
        <w:t>.</w:t>
      </w:r>
    </w:p>
    <w:p w:rsidR="0093264C" w:rsidRDefault="0098638D" w:rsidP="0093264C">
      <w:pPr>
        <w:pStyle w:val="Tablefigureheading"/>
      </w:pPr>
      <w:bookmarkStart w:id="26" w:name="_Toc532208391"/>
      <w:r>
        <w:t xml:space="preserve">Figure </w:t>
      </w:r>
      <w:r w:rsidR="00021B54">
        <w:t>5</w:t>
      </w:r>
      <w:r w:rsidR="0093264C" w:rsidRPr="0014184A">
        <w:t>: Intensity of creative goods and services used in production</w:t>
      </w:r>
      <w:r w:rsidR="0093264C">
        <w:t xml:space="preserve">, </w:t>
      </w:r>
      <w:r w:rsidR="00BA70F9">
        <w:t>2014–15</w:t>
      </w:r>
      <w:bookmarkEnd w:id="26"/>
    </w:p>
    <w:p w:rsidR="00C019B7" w:rsidRDefault="00591428" w:rsidP="00C019B7">
      <w:pPr>
        <w:spacing w:after="0"/>
        <w:rPr>
          <w:lang w:eastAsia="en-US"/>
        </w:rPr>
      </w:pPr>
      <w:r w:rsidRPr="00591428">
        <w:rPr>
          <w:noProof/>
          <w:lang w:eastAsia="en-AU"/>
        </w:rPr>
        <w:drawing>
          <wp:inline distT="0" distB="0" distL="0" distR="0" wp14:anchorId="5EA844E6" wp14:editId="502C42F9">
            <wp:extent cx="5591175" cy="4933950"/>
            <wp:effectExtent l="0" t="0" r="0" b="0"/>
            <wp:docPr id="16" name="Picture 16" descr="Figure 5. Intensity of creative goods and services used in production, 2014-15. This figure a bar chart that shows the share of creative goods and services as a proportion of total input use. It shows that Publishing has a high share of around 30 per cent, with public order and safety, gambling and finance all having shares between 15 and 25 per cent. The full list of shares are:&#10;Paper Stationery and Other Converted Paper Product Manufacturing 7.7%&#10;Building Cleaning, Pest Control and Other Support Services 8.0%&#10;Internet Service Providers, Internet Publishing and Broadcasting, Websearch Portals and Data Processing 8.3%&#10;Printing (including the reproduction of recorded media) 8.9%&#10;Other Services 9.2%&#10;Non-Residential Property Operators and Real Estate Services 9.7%&#10;Retail Trade 10.2%&#10;Technical, Vocational and Tertiary Education Services (incl undergraduate and postgraduate) 11.1%&#10;Personal Services 11.1%&#10;Primary and Secondary Education Services (incl Pre-Schools and Special Schools) 11.5%&#10;Employment, Travel Agency and Other Administrative Services 12.3%&#10;Telecommunication Services 13.8%&#10;Public Administration and Regulatory Services 13.9%&#10;Library and Other Information Services 13.9%&#10;Sports and Recreation 14.3%&#10;Auxiliary Finance and Insurance Services 14.7%&#10;Professional, Scientific and Technical Services 14.8%&#10;Arts, Sports, Adult and Other Education Services (incl community education) 14.8%&#10;Insurance and Superannuation Funds 18.2%&#10;Finance 19.1%&#10;Gambling 19.7%&#10;Public Order and Safety 20.1%&#10;Broadcasting (except Internet) 21.4%&#10;Heritage, Creative and Performing Arts 23.8%&#10;Motion Picture and Sound Recording 24.7%&#10;Computer Systems Design and Related Services 29.6%&#10;Publishing (except Internet and Music Publishing) 3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591175" cy="4933950"/>
                    </a:xfrm>
                    <a:prstGeom prst="rect">
                      <a:avLst/>
                    </a:prstGeom>
                    <a:noFill/>
                    <a:ln>
                      <a:noFill/>
                    </a:ln>
                  </pic:spPr>
                </pic:pic>
              </a:graphicData>
            </a:graphic>
          </wp:inline>
        </w:drawing>
      </w:r>
    </w:p>
    <w:p w:rsidR="0093264C" w:rsidRDefault="0093264C" w:rsidP="0093264C">
      <w:pPr>
        <w:pStyle w:val="Sourcenote"/>
      </w:pPr>
      <w:r>
        <w:t>Note: Industries are classified by whether they are creative industries (as identified using the taxonomy above). Because input output tables are published using a different classification to ANZSIC, there are some input-output industry categories that include both creative and non-creative industries. These are classified as ‘partially’ creative industries.</w:t>
      </w:r>
      <w:r>
        <w:br/>
        <w:t xml:space="preserve">Source: </w:t>
      </w:r>
      <w:r w:rsidR="00BB155A">
        <w:t xml:space="preserve">BCAR estimates based on ABS (2017) </w:t>
      </w:r>
      <w:r w:rsidR="00BB155A" w:rsidRPr="00103D6A">
        <w:t>Australian National Accounts: Input-Output Tables</w:t>
      </w:r>
      <w:r w:rsidR="00BB155A">
        <w:t>,</w:t>
      </w:r>
      <w:r w:rsidR="00BB155A" w:rsidRPr="00103D6A">
        <w:t xml:space="preserve"> </w:t>
      </w:r>
      <w:r w:rsidR="00BA70F9">
        <w:t>2014–15</w:t>
      </w:r>
      <w:r w:rsidR="00BB155A">
        <w:t>, Cat. No. 5209.0.55.001.</w:t>
      </w:r>
    </w:p>
    <w:p w:rsidR="00D511E2" w:rsidRDefault="00227164" w:rsidP="00C019B7">
      <w:r w:rsidRPr="00227164">
        <w:t>This does not include industries</w:t>
      </w:r>
      <w:r w:rsidR="009E1B35">
        <w:t xml:space="preserve"> whose inputs from creative inputs comprise</w:t>
      </w:r>
      <w:r w:rsidRPr="00227164">
        <w:t xml:space="preserve"> less than 15 per cent by value</w:t>
      </w:r>
      <w:r w:rsidR="009E1B35">
        <w:t>.</w:t>
      </w:r>
      <w:r w:rsidRPr="00227164">
        <w:t xml:space="preserve"> </w:t>
      </w:r>
      <w:r>
        <w:t>Some of these industries may be dependent on the use of lower-value, but still critical, inputs from creative industries</w:t>
      </w:r>
      <w:r w:rsidR="00B714FC">
        <w:t>, which cannot be identified from the input-output data alone</w:t>
      </w:r>
      <w:r w:rsidR="00D511E2">
        <w:t>.</w:t>
      </w:r>
    </w:p>
    <w:p w:rsidR="00ED71E3" w:rsidRDefault="00ED71E3" w:rsidP="00ED71E3">
      <w:pPr>
        <w:pStyle w:val="Heading4"/>
      </w:pPr>
      <w:bookmarkStart w:id="27" w:name="_Toc531801745"/>
      <w:r>
        <w:t xml:space="preserve">The flow of creative exports </w:t>
      </w:r>
      <w:r w:rsidR="00A5343C">
        <w:t>is significant</w:t>
      </w:r>
      <w:bookmarkEnd w:id="27"/>
    </w:p>
    <w:p w:rsidR="00D511E2" w:rsidRDefault="0098638D" w:rsidP="00ED71E3">
      <w:r>
        <w:t xml:space="preserve">Figure </w:t>
      </w:r>
      <w:r w:rsidR="00021B54">
        <w:t>6</w:t>
      </w:r>
      <w:r w:rsidR="00ED71E3">
        <w:t xml:space="preserve"> shows the creative industries that export the highest share of their</w:t>
      </w:r>
      <w:r w:rsidR="003C2B04">
        <w:t xml:space="preserve"> gross</w:t>
      </w:r>
      <w:r w:rsidR="00ED71E3">
        <w:t xml:space="preserve"> output, and shows a range of export intensities</w:t>
      </w:r>
      <w:r w:rsidR="00D511E2">
        <w:t>—</w:t>
      </w:r>
      <w:r w:rsidR="00ED71E3">
        <w:t>the share of final demand comprised by exports</w:t>
      </w:r>
      <w:r w:rsidR="00D511E2">
        <w:t>—</w:t>
      </w:r>
      <w:r w:rsidR="00ED71E3">
        <w:t>across a range of different creative industries</w:t>
      </w:r>
      <w:r w:rsidR="00D511E2">
        <w:t>.</w:t>
      </w:r>
    </w:p>
    <w:p w:rsidR="00ED71E3" w:rsidRDefault="00ED71E3" w:rsidP="00ED71E3">
      <w:r>
        <w:lastRenderedPageBreak/>
        <w:t>Among the most export intensive is jewellery manufacturing (an industry included in the ‘other manufactured products’ category) with around 17 per cent of its gross output exported overseas. Offline publishing, library and other information services, computer systems design and broader professional, scientific and technical services all export around 4 to 5 per cent of their final output.</w:t>
      </w:r>
    </w:p>
    <w:p w:rsidR="00ED71E3" w:rsidRDefault="00ED71E3" w:rsidP="00ED71E3">
      <w:pPr>
        <w:pStyle w:val="Tablefigureheading"/>
      </w:pPr>
      <w:bookmarkStart w:id="28" w:name="_Toc532208392"/>
      <w:r>
        <w:t xml:space="preserve">Figure </w:t>
      </w:r>
      <w:r w:rsidR="00021B54">
        <w:t>6</w:t>
      </w:r>
      <w:r>
        <w:t xml:space="preserve">: </w:t>
      </w:r>
      <w:r w:rsidR="004E3197">
        <w:t xml:space="preserve">Exports as a share of gross output, by industry, </w:t>
      </w:r>
      <w:r w:rsidR="00BA70F9">
        <w:t>2014–15</w:t>
      </w:r>
      <w:bookmarkEnd w:id="28"/>
    </w:p>
    <w:p w:rsidR="00C019B7" w:rsidRDefault="000E04E5" w:rsidP="00C019B7">
      <w:pPr>
        <w:spacing w:after="0"/>
        <w:rPr>
          <w:lang w:eastAsia="en-US"/>
        </w:rPr>
      </w:pPr>
      <w:r w:rsidRPr="000E04E5">
        <w:rPr>
          <w:noProof/>
          <w:lang w:eastAsia="en-AU"/>
        </w:rPr>
        <w:drawing>
          <wp:inline distT="0" distB="0" distL="0" distR="0" wp14:anchorId="783E7D4D" wp14:editId="484EC570">
            <wp:extent cx="5758180" cy="3238500"/>
            <wp:effectExtent l="0" t="0" r="0" b="0"/>
            <wp:docPr id="18" name="Picture 18" descr="Figure 6. Exports as a share of gross output, by industry, 2014-15. This is bar chart that shows the share of exports among partially and fully creative industries. Other manufactured products has the largest export share (of around 17%), with Broadcasting (except internet) having the lowst share of around 3%. The full list of intensities presented are:&#10;Other Manufactured Products 27%&#10;Publishing (except Internet and Music Publishing) 10%&#10;Library and Other Information Services 6%&#10;Computer Systems Design and Related Services 4%&#10;Heritage, Creative and Performing Arts 3%&#10;Motion Picture and Sound Recording 3%&#10;Professional, Scientific and Technical Services 2.9%&#10;Printing (including the reproduction of recorded media) 3%&#10;Broadcasting (except Internet) 1%&#10;Internet Service Providers, Internet Publishing and Broadcasting, Websearch Portals and Data Processing 1%&#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58180" cy="3238500"/>
                    </a:xfrm>
                    <a:prstGeom prst="rect">
                      <a:avLst/>
                    </a:prstGeom>
                    <a:noFill/>
                    <a:ln>
                      <a:noFill/>
                    </a:ln>
                  </pic:spPr>
                </pic:pic>
              </a:graphicData>
            </a:graphic>
          </wp:inline>
        </w:drawing>
      </w:r>
    </w:p>
    <w:p w:rsidR="00ED71E3" w:rsidRDefault="00ED71E3" w:rsidP="00ED71E3">
      <w:pPr>
        <w:pStyle w:val="Sourcenote"/>
      </w:pPr>
      <w:r>
        <w:t>Note: Industries are classified by whether they are creative industries (</w:t>
      </w:r>
      <w:hyperlink w:anchor="_Appendix_A:_How" w:history="1">
        <w:r w:rsidR="00547139">
          <w:rPr>
            <w:rStyle w:val="Hyperlink"/>
          </w:rPr>
          <w:t>a</w:t>
        </w:r>
        <w:r w:rsidR="00D16719" w:rsidRPr="006E170D">
          <w:rPr>
            <w:rStyle w:val="Hyperlink"/>
          </w:rPr>
          <w:t>ppendix A</w:t>
        </w:r>
      </w:hyperlink>
      <w:r>
        <w:t>). Because input output tables are published using a different classification to ANZSIC, there are some input-output industry categories that include both creative and non-creative industries. These are classified as ‘partially’ creative industries (</w:t>
      </w:r>
      <w:hyperlink w:anchor="_Appendix_B:_Use" w:history="1">
        <w:r w:rsidRPr="006E170D">
          <w:rPr>
            <w:rStyle w:val="Hyperlink"/>
          </w:rPr>
          <w:t>appendix</w:t>
        </w:r>
        <w:r w:rsidR="00D16719" w:rsidRPr="006E170D">
          <w:rPr>
            <w:rStyle w:val="Hyperlink"/>
          </w:rPr>
          <w:t> </w:t>
        </w:r>
        <w:r w:rsidRPr="006E170D">
          <w:rPr>
            <w:rStyle w:val="Hyperlink"/>
          </w:rPr>
          <w:t>B</w:t>
        </w:r>
      </w:hyperlink>
      <w:r>
        <w:t>).</w:t>
      </w:r>
      <w:r w:rsidR="00465A73">
        <w:t xml:space="preserve"> </w:t>
      </w:r>
      <w:r w:rsidR="007316B7">
        <w:t>As outlined in box 3, this figure relies on</w:t>
      </w:r>
      <w:r w:rsidR="00465A73">
        <w:t xml:space="preserve"> </w:t>
      </w:r>
      <w:r w:rsidR="007316B7">
        <w:t xml:space="preserve">ABS input-output product </w:t>
      </w:r>
      <w:r w:rsidR="00465A73">
        <w:t>categories</w:t>
      </w:r>
      <w:r w:rsidR="00FB6487">
        <w:t>.</w:t>
      </w:r>
      <w:r w:rsidR="00465A73">
        <w:t xml:space="preserve"> The data also capture export intensity at a point in time, where the flow of returns to some creative goods may occur over a period of time.</w:t>
      </w:r>
      <w:r>
        <w:br/>
        <w:t xml:space="preserve">Source: BCAR estimates based on ABS (2017) </w:t>
      </w:r>
      <w:r w:rsidRPr="00103D6A">
        <w:t>Australian National Accounts: Input-Output Tables</w:t>
      </w:r>
      <w:r>
        <w:t>,</w:t>
      </w:r>
      <w:r w:rsidRPr="00103D6A">
        <w:t xml:space="preserve"> </w:t>
      </w:r>
      <w:r w:rsidR="00BA70F9">
        <w:t>2014–15</w:t>
      </w:r>
      <w:r>
        <w:t>, Cat. No. 5209.0.55.001.</w:t>
      </w:r>
    </w:p>
    <w:p w:rsidR="00DD331D" w:rsidRDefault="00ED71E3" w:rsidP="00DD331D">
      <w:r>
        <w:t xml:space="preserve">In aggregate creative industries have a lower export intensity than for the economy as a whole. </w:t>
      </w:r>
      <w:r w:rsidR="00DD331D">
        <w:t>P</w:t>
      </w:r>
      <w:r>
        <w:t>artial or completely creative industries have an export intensity of 4.5 per cent, compared with 16.6 per cent for the whole economy and 5.4 per cent for service-based industries.</w:t>
      </w:r>
      <w:r>
        <w:rPr>
          <w:rStyle w:val="EndnoteReference"/>
        </w:rPr>
        <w:endnoteReference w:id="64"/>
      </w:r>
      <w:r w:rsidR="00BB5A64">
        <w:t xml:space="preserve"> </w:t>
      </w:r>
    </w:p>
    <w:p w:rsidR="00D511E2" w:rsidRDefault="00000555" w:rsidP="00ED71E3">
      <w:r>
        <w:t xml:space="preserve">The relatively lower export intensity, however, can also be explained </w:t>
      </w:r>
      <w:r w:rsidR="00914B1B">
        <w:t xml:space="preserve">in part </w:t>
      </w:r>
      <w:r>
        <w:t xml:space="preserve">by </w:t>
      </w:r>
      <w:r w:rsidR="00914B1B">
        <w:t>difficulties in ascribing creative inputs and outputs to exports</w:t>
      </w:r>
      <w:r>
        <w:t>. Many creative products</w:t>
      </w:r>
      <w:r w:rsidR="00D511E2">
        <w:t>—</w:t>
      </w:r>
      <w:r>
        <w:t>which embody the creative skills used to create them</w:t>
      </w:r>
      <w:r w:rsidR="00D511E2">
        <w:t>—</w:t>
      </w:r>
      <w:r>
        <w:t xml:space="preserve">are sold as </w:t>
      </w:r>
      <w:r w:rsidR="0002023E">
        <w:t xml:space="preserve">finished </w:t>
      </w:r>
      <w:r w:rsidR="00437E18">
        <w:t>goods or services in product groups that are not defined as ‘creative’</w:t>
      </w:r>
      <w:r w:rsidR="00D511E2">
        <w:t>.</w:t>
      </w:r>
    </w:p>
    <w:p w:rsidR="00351B7F" w:rsidRDefault="0002023E" w:rsidP="00ED71E3">
      <w:r>
        <w:t xml:space="preserve">For example, a user-centred design interface for educational services that better enables the </w:t>
      </w:r>
      <w:r w:rsidR="00E438FA">
        <w:t xml:space="preserve">sale and use of </w:t>
      </w:r>
      <w:r>
        <w:t>Australian educational services overseas relies heavily on design</w:t>
      </w:r>
      <w:r w:rsidR="00D511E2">
        <w:t>—</w:t>
      </w:r>
      <w:r>
        <w:t xml:space="preserve">a creative skill. </w:t>
      </w:r>
      <w:r w:rsidR="00351B7F">
        <w:t xml:space="preserve"> </w:t>
      </w:r>
      <w:r w:rsidR="00A5343C">
        <w:t xml:space="preserve">However, </w:t>
      </w:r>
      <w:r>
        <w:t>becau</w:t>
      </w:r>
      <w:r w:rsidR="008005CE">
        <w:t xml:space="preserve">se educational services </w:t>
      </w:r>
      <w:r w:rsidR="009E1B35">
        <w:t>is not considered</w:t>
      </w:r>
      <w:r w:rsidR="008005CE">
        <w:t xml:space="preserve"> a creative industry, </w:t>
      </w:r>
      <w:r w:rsidR="009E1B35">
        <w:t xml:space="preserve">its </w:t>
      </w:r>
      <w:r w:rsidR="008005CE">
        <w:t xml:space="preserve">exports are not </w:t>
      </w:r>
      <w:r w:rsidR="00E438FA">
        <w:t>counted towards the export intensity measure above.</w:t>
      </w:r>
    </w:p>
    <w:p w:rsidR="0002023E" w:rsidRDefault="001D5775" w:rsidP="00ED71E3">
      <w:r>
        <w:t xml:space="preserve">This means that export intensities, as measured using definitions of creative industries, are likely to </w:t>
      </w:r>
      <w:r w:rsidR="006B4530">
        <w:t xml:space="preserve">understate </w:t>
      </w:r>
      <w:r>
        <w:t>the true contribution to export value.</w:t>
      </w:r>
    </w:p>
    <w:p w:rsidR="00FB6487" w:rsidRDefault="00B714FC" w:rsidP="00C019B7">
      <w:r>
        <w:lastRenderedPageBreak/>
        <w:t xml:space="preserve">More comprehensive information about the imports of creative goods and services and whether they </w:t>
      </w:r>
      <w:r w:rsidR="009E1B35">
        <w:t xml:space="preserve">are </w:t>
      </w:r>
      <w:r>
        <w:t xml:space="preserve">inputs </w:t>
      </w:r>
      <w:r w:rsidR="009E1B35">
        <w:t>that compete with Australian</w:t>
      </w:r>
      <w:r>
        <w:t xml:space="preserve"> creative goods and services would </w:t>
      </w:r>
      <w:r w:rsidR="009E1B35">
        <w:t>be needed to determine the contribution of creative industries to exports. In particular, t</w:t>
      </w:r>
      <w:r>
        <w:t xml:space="preserve">he rise of ‘gig economy’ platforms that </w:t>
      </w:r>
      <w:r w:rsidR="003902CE">
        <w:t>enable the outsourcing of specific tasks</w:t>
      </w:r>
      <w:r w:rsidR="009806DE">
        <w:t>, including to overseas jurisdictions</w:t>
      </w:r>
      <w:r w:rsidR="009E1B35">
        <w:t xml:space="preserve">, may </w:t>
      </w:r>
      <w:r w:rsidR="00BB5A64">
        <w:t>affect the trade in creative services.</w:t>
      </w:r>
    </w:p>
    <w:p w:rsidR="00FB6487" w:rsidRDefault="00FB6487" w:rsidP="00C019B7">
      <w:r w:rsidRPr="001E645C">
        <w:t>Creative skills already make up a sizeable component of qualifications currently and can be expected to increase. The growth in the share of cognitive roles in the workforce; the importance of creative skills to innovative and high-growth industries currently; and the prevalence of creative skills in workforces that are expected to grow in the coming years are all indicators that creative skills are important now, and will</w:t>
      </w:r>
      <w:r>
        <w:t xml:space="preserve"> be</w:t>
      </w:r>
      <w:r w:rsidRPr="001E645C">
        <w:t xml:space="preserve"> important to Australia’s economy in the future.</w:t>
      </w:r>
    </w:p>
    <w:p w:rsidR="00261351" w:rsidRPr="00D14CBA" w:rsidRDefault="00BB5A64" w:rsidP="00C019B7">
      <w:r>
        <w:t xml:space="preserve"> </w:t>
      </w:r>
      <w:r w:rsidR="00347AC2">
        <w:br w:type="page"/>
      </w:r>
    </w:p>
    <w:p w:rsidR="00CE69A9" w:rsidRDefault="00CE69A9" w:rsidP="00CE69A9">
      <w:pPr>
        <w:pStyle w:val="Heading2"/>
      </w:pPr>
      <w:bookmarkStart w:id="29" w:name="_Appendix_A:_How"/>
      <w:bookmarkStart w:id="30" w:name="_Toc531801746"/>
      <w:bookmarkStart w:id="31" w:name="_Toc509237849"/>
      <w:bookmarkStart w:id="32" w:name="_Toc475458961"/>
      <w:bookmarkEnd w:id="5"/>
      <w:bookmarkEnd w:id="29"/>
      <w:r>
        <w:lastRenderedPageBreak/>
        <w:t>Appendix A: How creative skills, occupations and industries are determined</w:t>
      </w:r>
      <w:bookmarkEnd w:id="30"/>
    </w:p>
    <w:p w:rsidR="00B34758" w:rsidRDefault="00B34758" w:rsidP="003006EA">
      <w:pPr>
        <w:pStyle w:val="Heading3"/>
      </w:pPr>
      <w:r>
        <w:t xml:space="preserve">Creative occupations </w:t>
      </w:r>
      <w:r w:rsidR="000431E1">
        <w:t>and industries</w:t>
      </w:r>
    </w:p>
    <w:p w:rsidR="00B34758" w:rsidRDefault="000431E1" w:rsidP="00B34758">
      <w:r>
        <w:t>The list of creative occupations is drawn directly from the 2014 paper ‘Australian Creative Employment in 2011</w:t>
      </w:r>
      <w:r w:rsidR="00BA70F9">
        <w:t>—</w:t>
      </w:r>
      <w:r>
        <w:t>applying the N</w:t>
      </w:r>
      <w:r w:rsidR="00F44EDA">
        <w:t>esta</w:t>
      </w:r>
      <w:r>
        <w:t xml:space="preserve"> Dynamic Mapping definition methodology to Australian Classifications</w:t>
      </w:r>
      <w:r w:rsidR="00FF28A9">
        <w:t>’</w:t>
      </w:r>
      <w:r>
        <w:t>.</w:t>
      </w:r>
      <w:r>
        <w:rPr>
          <w:rStyle w:val="EndnoteReference"/>
        </w:rPr>
        <w:endnoteReference w:id="65"/>
      </w:r>
      <w:r w:rsidR="00FF28A9">
        <w:t xml:space="preserve"> That paper adapted the Nesta methodology to identify the occupations under the </w:t>
      </w:r>
      <w:r w:rsidR="00BD435B">
        <w:t>ANZS</w:t>
      </w:r>
      <w:r w:rsidR="00FF28A9">
        <w:t>C</w:t>
      </w:r>
      <w:r w:rsidR="00BD435B">
        <w:t>O</w:t>
      </w:r>
      <w:r w:rsidR="00FF28A9">
        <w:t xml:space="preserve"> classification that c</w:t>
      </w:r>
      <w:r w:rsidR="0098638D">
        <w:t>ould be deemed creative (table A.1</w:t>
      </w:r>
      <w:r w:rsidR="00FF28A9">
        <w:t>).</w:t>
      </w:r>
      <w:r w:rsidR="007D49E0">
        <w:rPr>
          <w:rStyle w:val="EndnoteReference"/>
        </w:rPr>
        <w:endnoteReference w:id="66"/>
      </w:r>
    </w:p>
    <w:p w:rsidR="00FF28A9" w:rsidRDefault="0098638D" w:rsidP="00FF28A9">
      <w:pPr>
        <w:pStyle w:val="Tablefigureheading"/>
      </w:pPr>
      <w:bookmarkStart w:id="33" w:name="_Toc532208393"/>
      <w:r>
        <w:t>Table A.1</w:t>
      </w:r>
      <w:r w:rsidR="007E013F">
        <w:t>: List of creative occupations</w:t>
      </w:r>
      <w:bookmarkEnd w:id="33"/>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Description w:val="Table A.1: List of creative occupations"/>
      </w:tblPr>
      <w:tblGrid>
        <w:gridCol w:w="1843"/>
        <w:gridCol w:w="7371"/>
      </w:tblGrid>
      <w:tr w:rsidR="00BD435B" w:rsidTr="009B57D3">
        <w:trPr>
          <w:cantSplit/>
          <w:tblHeader/>
        </w:trPr>
        <w:tc>
          <w:tcPr>
            <w:tcW w:w="1843" w:type="dxa"/>
            <w:tcBorders>
              <w:top w:val="nil"/>
              <w:left w:val="nil"/>
              <w:bottom w:val="thickThinLargeGap" w:sz="24" w:space="0" w:color="auto"/>
              <w:right w:val="nil"/>
            </w:tcBorders>
            <w:shd w:val="clear" w:color="auto" w:fill="0066AB"/>
            <w:hideMark/>
          </w:tcPr>
          <w:p w:rsidR="00BD435B" w:rsidRDefault="00BD435B" w:rsidP="00BD435B">
            <w:pPr>
              <w:pStyle w:val="Tablerowcolumnheading"/>
            </w:pPr>
            <w:r>
              <w:t>ANZSCO Code</w:t>
            </w:r>
          </w:p>
        </w:tc>
        <w:tc>
          <w:tcPr>
            <w:tcW w:w="7371" w:type="dxa"/>
            <w:tcBorders>
              <w:top w:val="nil"/>
              <w:left w:val="nil"/>
              <w:bottom w:val="thickThinLargeGap" w:sz="24" w:space="0" w:color="auto"/>
              <w:right w:val="nil"/>
            </w:tcBorders>
            <w:shd w:val="clear" w:color="auto" w:fill="0066AB"/>
            <w:hideMark/>
          </w:tcPr>
          <w:p w:rsidR="00BD435B" w:rsidRDefault="00BD435B" w:rsidP="00BD435B">
            <w:pPr>
              <w:pStyle w:val="Tablerowcolumnheadingcentred"/>
              <w:jc w:val="left"/>
            </w:pPr>
            <w:r>
              <w:t>Name of occupation</w:t>
            </w:r>
          </w:p>
        </w:tc>
      </w:tr>
      <w:tr w:rsidR="00BD435B" w:rsidTr="009B57D3">
        <w:trPr>
          <w:cantSplit/>
        </w:trPr>
        <w:tc>
          <w:tcPr>
            <w:tcW w:w="1843" w:type="dxa"/>
            <w:tcBorders>
              <w:top w:val="thickThinLargeGap" w:sz="24" w:space="0" w:color="auto"/>
              <w:left w:val="nil"/>
              <w:bottom w:val="single" w:sz="4" w:space="0" w:color="auto"/>
              <w:right w:val="nil"/>
            </w:tcBorders>
            <w:shd w:val="clear" w:color="auto" w:fill="auto"/>
            <w:vAlign w:val="bottom"/>
            <w:hideMark/>
          </w:tcPr>
          <w:p w:rsidR="00BD435B" w:rsidRDefault="00BD435B" w:rsidP="003006EA">
            <w:pPr>
              <w:pStyle w:val="Tabletext"/>
            </w:pPr>
            <w:r>
              <w:t>131111</w:t>
            </w:r>
          </w:p>
        </w:tc>
        <w:tc>
          <w:tcPr>
            <w:tcW w:w="7371" w:type="dxa"/>
            <w:tcBorders>
              <w:top w:val="thickThinLargeGap" w:sz="24" w:space="0" w:color="auto"/>
              <w:left w:val="nil"/>
              <w:bottom w:val="single" w:sz="4" w:space="0" w:color="auto"/>
              <w:right w:val="nil"/>
            </w:tcBorders>
            <w:shd w:val="clear" w:color="auto" w:fill="auto"/>
            <w:vAlign w:val="bottom"/>
            <w:hideMark/>
          </w:tcPr>
          <w:p w:rsidR="00BD435B" w:rsidRPr="00431AE8" w:rsidRDefault="00BD435B" w:rsidP="003006EA">
            <w:pPr>
              <w:pStyle w:val="Tabletext"/>
            </w:pPr>
            <w:r>
              <w:t>Advertising and Public Relations Manager</w:t>
            </w:r>
          </w:p>
        </w:tc>
      </w:tr>
      <w:tr w:rsidR="00BD435B" w:rsidTr="009B57D3">
        <w:trPr>
          <w:cantSplit/>
        </w:trPr>
        <w:tc>
          <w:tcPr>
            <w:tcW w:w="1843" w:type="dxa"/>
            <w:tcBorders>
              <w:top w:val="single" w:sz="4" w:space="0" w:color="auto"/>
              <w:left w:val="nil"/>
              <w:bottom w:val="single" w:sz="4" w:space="0" w:color="auto"/>
              <w:right w:val="nil"/>
            </w:tcBorders>
            <w:shd w:val="clear" w:color="auto" w:fill="auto"/>
            <w:vAlign w:val="bottom"/>
            <w:hideMark/>
          </w:tcPr>
          <w:p w:rsidR="00BD435B" w:rsidRDefault="00BD435B" w:rsidP="003006EA">
            <w:pPr>
              <w:pStyle w:val="Tabletext"/>
            </w:pPr>
            <w:r>
              <w:t>131113</w:t>
            </w:r>
          </w:p>
        </w:tc>
        <w:tc>
          <w:tcPr>
            <w:tcW w:w="7371" w:type="dxa"/>
            <w:tcBorders>
              <w:top w:val="single" w:sz="4" w:space="0" w:color="auto"/>
              <w:left w:val="nil"/>
              <w:bottom w:val="single" w:sz="4" w:space="0" w:color="auto"/>
              <w:right w:val="nil"/>
            </w:tcBorders>
            <w:shd w:val="clear" w:color="auto" w:fill="auto"/>
            <w:vAlign w:val="bottom"/>
            <w:hideMark/>
          </w:tcPr>
          <w:p w:rsidR="00BD435B" w:rsidRPr="00431AE8" w:rsidRDefault="00BD435B" w:rsidP="003006EA">
            <w:pPr>
              <w:pStyle w:val="Tabletext"/>
            </w:pPr>
            <w:r>
              <w:t>Advertising Manager</w:t>
            </w:r>
          </w:p>
        </w:tc>
      </w:tr>
      <w:tr w:rsidR="00BD435B" w:rsidTr="009B57D3">
        <w:trPr>
          <w:cantSplit/>
        </w:trPr>
        <w:tc>
          <w:tcPr>
            <w:tcW w:w="1843" w:type="dxa"/>
            <w:tcBorders>
              <w:top w:val="single" w:sz="4" w:space="0" w:color="auto"/>
              <w:left w:val="nil"/>
              <w:bottom w:val="single" w:sz="4" w:space="0" w:color="auto"/>
              <w:right w:val="nil"/>
            </w:tcBorders>
            <w:shd w:val="clear" w:color="auto" w:fill="auto"/>
            <w:vAlign w:val="bottom"/>
          </w:tcPr>
          <w:p w:rsidR="00BD435B" w:rsidRDefault="00BD435B" w:rsidP="003006EA">
            <w:pPr>
              <w:pStyle w:val="Tabletext"/>
            </w:pPr>
            <w:r>
              <w:t>212411</w:t>
            </w:r>
          </w:p>
        </w:tc>
        <w:tc>
          <w:tcPr>
            <w:tcW w:w="7371" w:type="dxa"/>
            <w:tcBorders>
              <w:top w:val="single" w:sz="4" w:space="0" w:color="auto"/>
              <w:left w:val="nil"/>
              <w:bottom w:val="single" w:sz="4" w:space="0" w:color="auto"/>
              <w:right w:val="nil"/>
            </w:tcBorders>
            <w:shd w:val="clear" w:color="auto" w:fill="auto"/>
            <w:vAlign w:val="bottom"/>
          </w:tcPr>
          <w:p w:rsidR="00BD435B" w:rsidRPr="00431AE8" w:rsidRDefault="00BD435B" w:rsidP="003006EA">
            <w:pPr>
              <w:pStyle w:val="Tabletext"/>
            </w:pPr>
            <w:r>
              <w:t>Copywriter</w:t>
            </w:r>
          </w:p>
        </w:tc>
      </w:tr>
      <w:tr w:rsidR="00BD435B" w:rsidTr="009B57D3">
        <w:trPr>
          <w:cantSplit/>
        </w:trPr>
        <w:tc>
          <w:tcPr>
            <w:tcW w:w="1843" w:type="dxa"/>
            <w:tcBorders>
              <w:top w:val="single" w:sz="4" w:space="0" w:color="auto"/>
              <w:left w:val="nil"/>
              <w:bottom w:val="single" w:sz="4" w:space="0" w:color="auto"/>
              <w:right w:val="nil"/>
            </w:tcBorders>
            <w:shd w:val="clear" w:color="auto" w:fill="auto"/>
            <w:vAlign w:val="bottom"/>
          </w:tcPr>
          <w:p w:rsidR="00BD435B" w:rsidRDefault="00BD435B" w:rsidP="003006EA">
            <w:pPr>
              <w:pStyle w:val="Tabletext"/>
            </w:pPr>
            <w:r>
              <w:t>225100</w:t>
            </w:r>
          </w:p>
        </w:tc>
        <w:tc>
          <w:tcPr>
            <w:tcW w:w="7371" w:type="dxa"/>
            <w:tcBorders>
              <w:top w:val="single" w:sz="4" w:space="0" w:color="auto"/>
              <w:left w:val="nil"/>
              <w:bottom w:val="single" w:sz="4" w:space="0" w:color="auto"/>
              <w:right w:val="nil"/>
            </w:tcBorders>
            <w:shd w:val="clear" w:color="auto" w:fill="auto"/>
            <w:vAlign w:val="bottom"/>
          </w:tcPr>
          <w:p w:rsidR="00BD435B" w:rsidRPr="00431AE8" w:rsidRDefault="00BD435B" w:rsidP="003006EA">
            <w:pPr>
              <w:pStyle w:val="Tabletext"/>
            </w:pPr>
            <w:r>
              <w:t>Advertising and Marketing Professionals</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225111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Advertising Specialist</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225113</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Marketing Specialist</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131114</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Public Relations Manager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225300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Public Relations Professionals</w:t>
            </w:r>
            <w:r w:rsidR="00D76A66">
              <w:t>, not further defined</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225311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Public Relations Professional</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232000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Architects, Designers, Planners and Surveyors</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232100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Architects and Landscape Architects</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232111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Architect</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232500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Interior Designers</w:t>
            </w:r>
            <w:r w:rsidR="00D76A66">
              <w:t>, not further defined</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232511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Interior Designer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232112</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Landscape Architect</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233916</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Naval Architect</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232600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Urban and Regional Planners</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232611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Urban and Regional Planner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232300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Fashion, Industrial and Jewellery Designers</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232311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Fashion Designer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232400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Graphic and Web Designers, and Illustrators</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232411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Graphic Designer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211300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Photographers</w:t>
            </w:r>
            <w:r w:rsidR="00D76A66">
              <w:t>, not further defined</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211311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Photographer</w:t>
            </w:r>
          </w:p>
        </w:tc>
      </w:tr>
      <w:tr w:rsidR="00BD435B" w:rsidTr="009B57D3">
        <w:trPr>
          <w:cantSplit/>
        </w:trPr>
        <w:tc>
          <w:tcPr>
            <w:tcW w:w="1843" w:type="dxa"/>
            <w:tcBorders>
              <w:top w:val="single" w:sz="4" w:space="0" w:color="auto"/>
              <w:left w:val="nil"/>
              <w:bottom w:val="single" w:sz="4" w:space="0" w:color="auto"/>
              <w:right w:val="nil"/>
            </w:tcBorders>
            <w:shd w:val="clear" w:color="auto" w:fill="auto"/>
            <w:vAlign w:val="bottom"/>
            <w:hideMark/>
          </w:tcPr>
          <w:p w:rsidR="00BD435B" w:rsidRDefault="00BD435B" w:rsidP="003006EA">
            <w:pPr>
              <w:pStyle w:val="Tabletext"/>
            </w:pPr>
            <w:r>
              <w:t>232312</w:t>
            </w:r>
          </w:p>
        </w:tc>
        <w:tc>
          <w:tcPr>
            <w:tcW w:w="7371" w:type="dxa"/>
            <w:tcBorders>
              <w:top w:val="single" w:sz="4" w:space="0" w:color="auto"/>
              <w:left w:val="nil"/>
              <w:bottom w:val="single" w:sz="4" w:space="0" w:color="auto"/>
              <w:right w:val="nil"/>
            </w:tcBorders>
            <w:shd w:val="clear" w:color="auto" w:fill="auto"/>
            <w:vAlign w:val="bottom"/>
            <w:hideMark/>
          </w:tcPr>
          <w:p w:rsidR="00BD435B" w:rsidRPr="00431AE8" w:rsidRDefault="00BD435B" w:rsidP="003006EA">
            <w:pPr>
              <w:pStyle w:val="Tabletext"/>
            </w:pPr>
            <w:r>
              <w:t>Industrial Designer</w:t>
            </w:r>
          </w:p>
        </w:tc>
      </w:tr>
      <w:tr w:rsidR="00BD435B" w:rsidTr="009B57D3">
        <w:trPr>
          <w:cantSplit/>
        </w:trPr>
        <w:tc>
          <w:tcPr>
            <w:tcW w:w="1843" w:type="dxa"/>
            <w:tcBorders>
              <w:top w:val="single" w:sz="4" w:space="0" w:color="auto"/>
              <w:left w:val="nil"/>
              <w:bottom w:val="single" w:sz="4" w:space="0" w:color="auto"/>
              <w:right w:val="nil"/>
            </w:tcBorders>
            <w:shd w:val="clear" w:color="auto" w:fill="auto"/>
            <w:vAlign w:val="bottom"/>
            <w:hideMark/>
          </w:tcPr>
          <w:p w:rsidR="00BD435B" w:rsidRDefault="00BD435B" w:rsidP="003006EA">
            <w:pPr>
              <w:pStyle w:val="Tabletext"/>
            </w:pPr>
            <w:r>
              <w:t>212000</w:t>
            </w:r>
          </w:p>
        </w:tc>
        <w:tc>
          <w:tcPr>
            <w:tcW w:w="7371" w:type="dxa"/>
            <w:tcBorders>
              <w:top w:val="single" w:sz="4" w:space="0" w:color="auto"/>
              <w:left w:val="nil"/>
              <w:bottom w:val="single" w:sz="4" w:space="0" w:color="auto"/>
              <w:right w:val="nil"/>
            </w:tcBorders>
            <w:shd w:val="clear" w:color="auto" w:fill="auto"/>
            <w:vAlign w:val="bottom"/>
            <w:hideMark/>
          </w:tcPr>
          <w:p w:rsidR="00BD435B" w:rsidRPr="00431AE8" w:rsidRDefault="00BD435B" w:rsidP="003006EA">
            <w:pPr>
              <w:pStyle w:val="Tabletext"/>
            </w:pPr>
            <w:r>
              <w:t>Media Professionals</w:t>
            </w:r>
          </w:p>
        </w:tc>
      </w:tr>
      <w:tr w:rsidR="00BD435B" w:rsidTr="009B57D3">
        <w:trPr>
          <w:cantSplit/>
        </w:trPr>
        <w:tc>
          <w:tcPr>
            <w:tcW w:w="1843" w:type="dxa"/>
            <w:tcBorders>
              <w:top w:val="single" w:sz="4" w:space="0" w:color="auto"/>
              <w:left w:val="nil"/>
              <w:bottom w:val="single" w:sz="4" w:space="0" w:color="auto"/>
              <w:right w:val="nil"/>
            </w:tcBorders>
            <w:shd w:val="clear" w:color="auto" w:fill="auto"/>
            <w:vAlign w:val="bottom"/>
          </w:tcPr>
          <w:p w:rsidR="00BD435B" w:rsidRDefault="00BD435B" w:rsidP="003006EA">
            <w:pPr>
              <w:pStyle w:val="Tabletext"/>
            </w:pPr>
            <w:r>
              <w:t>212112</w:t>
            </w:r>
          </w:p>
        </w:tc>
        <w:tc>
          <w:tcPr>
            <w:tcW w:w="7371" w:type="dxa"/>
            <w:tcBorders>
              <w:top w:val="single" w:sz="4" w:space="0" w:color="auto"/>
              <w:left w:val="nil"/>
              <w:bottom w:val="single" w:sz="4" w:space="0" w:color="auto"/>
              <w:right w:val="nil"/>
            </w:tcBorders>
            <w:shd w:val="clear" w:color="auto" w:fill="auto"/>
            <w:vAlign w:val="bottom"/>
          </w:tcPr>
          <w:p w:rsidR="00BD435B" w:rsidRPr="00431AE8" w:rsidRDefault="00BD435B" w:rsidP="003006EA">
            <w:pPr>
              <w:pStyle w:val="Tabletext"/>
            </w:pPr>
            <w:r>
              <w:t>Media Producer (Excluding Video)</w:t>
            </w:r>
          </w:p>
        </w:tc>
      </w:tr>
      <w:tr w:rsidR="00BD435B" w:rsidTr="009B57D3">
        <w:trPr>
          <w:cantSplit/>
        </w:trPr>
        <w:tc>
          <w:tcPr>
            <w:tcW w:w="1843" w:type="dxa"/>
            <w:tcBorders>
              <w:top w:val="single" w:sz="4" w:space="0" w:color="auto"/>
              <w:left w:val="nil"/>
              <w:bottom w:val="single" w:sz="4" w:space="0" w:color="auto"/>
              <w:right w:val="nil"/>
            </w:tcBorders>
            <w:shd w:val="clear" w:color="auto" w:fill="auto"/>
            <w:vAlign w:val="bottom"/>
          </w:tcPr>
          <w:p w:rsidR="00BD435B" w:rsidRDefault="00BD435B" w:rsidP="003006EA">
            <w:pPr>
              <w:pStyle w:val="Tabletext"/>
            </w:pPr>
            <w:r>
              <w:t>212300</w:t>
            </w:r>
          </w:p>
        </w:tc>
        <w:tc>
          <w:tcPr>
            <w:tcW w:w="7371" w:type="dxa"/>
            <w:tcBorders>
              <w:top w:val="single" w:sz="4" w:space="0" w:color="auto"/>
              <w:left w:val="nil"/>
              <w:bottom w:val="single" w:sz="4" w:space="0" w:color="auto"/>
              <w:right w:val="nil"/>
            </w:tcBorders>
            <w:shd w:val="clear" w:color="auto" w:fill="auto"/>
            <w:vAlign w:val="bottom"/>
          </w:tcPr>
          <w:p w:rsidR="00BD435B" w:rsidRPr="00431AE8" w:rsidRDefault="00BD435B" w:rsidP="003006EA">
            <w:pPr>
              <w:pStyle w:val="Tabletext"/>
            </w:pPr>
            <w:r>
              <w:t>Film, Television, Radio and Stage Directors</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212311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Art Director (Film, Television or Stage)</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212312</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Director (Film, Television, Radio or Stage)</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212313</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Director of Photography</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212314</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Film and Video Editor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212318</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Video Producer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lastRenderedPageBreak/>
              <w:t>212399</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Film, Television, Radio and Stage Directors Nec</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212114</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Television Presenter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212315</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Program Director (Television or Radio)</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212317</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Technical Director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212416</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Television Journalist</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212113</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Radio Presenter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212414</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Radio Journalist</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211200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Music Professionals</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211211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Composer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211212</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Music Director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211213</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Musician (Instrumental)</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211214</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Singer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211299</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Music Professionals Nec</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211111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Actor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211199</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Actors, Dancers and Other Entertainers Nec</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211112</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Dancer or Choreographer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139911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Arts Administrator or Manager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210000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Arts and Media Professionals</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211000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Arts Professionals</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211100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Actors, Dancers and Other Entertainers</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212100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Artistic Directors, and Media Producers and Presenters</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212111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Artistic Director</w:t>
            </w:r>
          </w:p>
        </w:tc>
      </w:tr>
      <w:tr w:rsidR="00BD435B" w:rsidTr="009B57D3">
        <w:trPr>
          <w:cantSplit/>
        </w:trPr>
        <w:tc>
          <w:tcPr>
            <w:tcW w:w="1843" w:type="dxa"/>
            <w:tcBorders>
              <w:top w:val="single" w:sz="4" w:space="0" w:color="auto"/>
              <w:left w:val="nil"/>
              <w:bottom w:val="single" w:sz="4" w:space="0" w:color="auto"/>
              <w:right w:val="nil"/>
            </w:tcBorders>
            <w:shd w:val="clear" w:color="auto" w:fill="auto"/>
            <w:vAlign w:val="bottom"/>
            <w:hideMark/>
          </w:tcPr>
          <w:p w:rsidR="00BD435B" w:rsidRDefault="00BD435B" w:rsidP="003006EA">
            <w:pPr>
              <w:pStyle w:val="Tabletext"/>
            </w:pPr>
            <w:r>
              <w:t>399514</w:t>
            </w:r>
          </w:p>
        </w:tc>
        <w:tc>
          <w:tcPr>
            <w:tcW w:w="7371" w:type="dxa"/>
            <w:tcBorders>
              <w:top w:val="single" w:sz="4" w:space="0" w:color="auto"/>
              <w:left w:val="nil"/>
              <w:bottom w:val="single" w:sz="4" w:space="0" w:color="auto"/>
              <w:right w:val="nil"/>
            </w:tcBorders>
            <w:shd w:val="clear" w:color="auto" w:fill="auto"/>
            <w:vAlign w:val="bottom"/>
            <w:hideMark/>
          </w:tcPr>
          <w:p w:rsidR="00BD435B" w:rsidRPr="00431AE8" w:rsidRDefault="00BD435B" w:rsidP="003006EA">
            <w:pPr>
              <w:pStyle w:val="Tabletext"/>
            </w:pPr>
            <w:r>
              <w:t>Make Up Artist</w:t>
            </w:r>
          </w:p>
        </w:tc>
      </w:tr>
      <w:tr w:rsidR="00BD435B" w:rsidTr="009B57D3">
        <w:trPr>
          <w:cantSplit/>
        </w:trPr>
        <w:tc>
          <w:tcPr>
            <w:tcW w:w="1843" w:type="dxa"/>
            <w:tcBorders>
              <w:top w:val="single" w:sz="4" w:space="0" w:color="auto"/>
              <w:left w:val="nil"/>
              <w:bottom w:val="single" w:sz="4" w:space="0" w:color="auto"/>
              <w:right w:val="nil"/>
            </w:tcBorders>
            <w:shd w:val="clear" w:color="auto" w:fill="auto"/>
            <w:vAlign w:val="bottom"/>
            <w:hideMark/>
          </w:tcPr>
          <w:p w:rsidR="00BD435B" w:rsidRDefault="00BD435B" w:rsidP="003006EA">
            <w:pPr>
              <w:pStyle w:val="Tabletext"/>
            </w:pPr>
            <w:r>
              <w:t>211113</w:t>
            </w:r>
          </w:p>
        </w:tc>
        <w:tc>
          <w:tcPr>
            <w:tcW w:w="7371" w:type="dxa"/>
            <w:tcBorders>
              <w:top w:val="single" w:sz="4" w:space="0" w:color="auto"/>
              <w:left w:val="nil"/>
              <w:bottom w:val="single" w:sz="4" w:space="0" w:color="auto"/>
              <w:right w:val="nil"/>
            </w:tcBorders>
            <w:shd w:val="clear" w:color="auto" w:fill="auto"/>
            <w:vAlign w:val="bottom"/>
            <w:hideMark/>
          </w:tcPr>
          <w:p w:rsidR="00BD435B" w:rsidRPr="00431AE8" w:rsidRDefault="00BD435B" w:rsidP="003006EA">
            <w:pPr>
              <w:pStyle w:val="Tabletext"/>
            </w:pPr>
            <w:r>
              <w:t>Entertainer or Variety Artist</w:t>
            </w:r>
          </w:p>
        </w:tc>
      </w:tr>
      <w:tr w:rsidR="00BD435B" w:rsidTr="009B57D3">
        <w:trPr>
          <w:cantSplit/>
        </w:trPr>
        <w:tc>
          <w:tcPr>
            <w:tcW w:w="1843" w:type="dxa"/>
            <w:tcBorders>
              <w:top w:val="single" w:sz="4" w:space="0" w:color="auto"/>
              <w:left w:val="nil"/>
              <w:bottom w:val="single" w:sz="4" w:space="0" w:color="auto"/>
              <w:right w:val="nil"/>
            </w:tcBorders>
            <w:shd w:val="clear" w:color="auto" w:fill="auto"/>
            <w:vAlign w:val="bottom"/>
          </w:tcPr>
          <w:p w:rsidR="00BD435B" w:rsidRDefault="00BD435B" w:rsidP="003006EA">
            <w:pPr>
              <w:pStyle w:val="Tabletext"/>
            </w:pPr>
            <w:r>
              <w:t>212212</w:t>
            </w:r>
          </w:p>
        </w:tc>
        <w:tc>
          <w:tcPr>
            <w:tcW w:w="7371" w:type="dxa"/>
            <w:tcBorders>
              <w:top w:val="single" w:sz="4" w:space="0" w:color="auto"/>
              <w:left w:val="nil"/>
              <w:bottom w:val="single" w:sz="4" w:space="0" w:color="auto"/>
              <w:right w:val="nil"/>
            </w:tcBorders>
            <w:shd w:val="clear" w:color="auto" w:fill="auto"/>
            <w:vAlign w:val="bottom"/>
          </w:tcPr>
          <w:p w:rsidR="00BD435B" w:rsidRPr="00431AE8" w:rsidRDefault="00BD435B" w:rsidP="003006EA">
            <w:pPr>
              <w:pStyle w:val="Tabletext"/>
            </w:pPr>
            <w:r>
              <w:t>Book or Script Editor</w:t>
            </w:r>
          </w:p>
        </w:tc>
      </w:tr>
      <w:tr w:rsidR="00BD435B" w:rsidTr="009B57D3">
        <w:trPr>
          <w:cantSplit/>
        </w:trPr>
        <w:tc>
          <w:tcPr>
            <w:tcW w:w="1843" w:type="dxa"/>
            <w:tcBorders>
              <w:top w:val="single" w:sz="4" w:space="0" w:color="auto"/>
              <w:left w:val="nil"/>
              <w:bottom w:val="single" w:sz="4" w:space="0" w:color="auto"/>
              <w:right w:val="nil"/>
            </w:tcBorders>
            <w:shd w:val="clear" w:color="auto" w:fill="auto"/>
            <w:vAlign w:val="bottom"/>
          </w:tcPr>
          <w:p w:rsidR="00BD435B" w:rsidRDefault="00BD435B" w:rsidP="003006EA">
            <w:pPr>
              <w:pStyle w:val="Tabletext"/>
            </w:pPr>
            <w:r>
              <w:t>212415</w:t>
            </w:r>
          </w:p>
        </w:tc>
        <w:tc>
          <w:tcPr>
            <w:tcW w:w="7371" w:type="dxa"/>
            <w:tcBorders>
              <w:top w:val="single" w:sz="4" w:space="0" w:color="auto"/>
              <w:left w:val="nil"/>
              <w:bottom w:val="single" w:sz="4" w:space="0" w:color="auto"/>
              <w:right w:val="nil"/>
            </w:tcBorders>
            <w:shd w:val="clear" w:color="auto" w:fill="auto"/>
            <w:vAlign w:val="bottom"/>
          </w:tcPr>
          <w:p w:rsidR="00BD435B" w:rsidRPr="00431AE8" w:rsidRDefault="00BD435B" w:rsidP="003006EA">
            <w:pPr>
              <w:pStyle w:val="Tabletext"/>
            </w:pPr>
            <w:r>
              <w:t>Technical Writer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224200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Archivists, Curators and Records</w:t>
            </w:r>
            <w:r w:rsidR="00D110AE">
              <w:t xml:space="preserve"> </w:t>
            </w:r>
            <w:r>
              <w:t>Managers</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224211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Archivist</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224600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Librarians</w:t>
            </w:r>
            <w:r w:rsidR="00D76A66">
              <w:t>, not further defined</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224611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Librarian</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212400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Journalists and Other Writers</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212412</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Newspaper or Periodical Editor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212413</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Print Journalist</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212499</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Journalists and Other Writers</w:t>
            </w:r>
            <w:r w:rsidR="00D110AE">
              <w:t xml:space="preserve"> </w:t>
            </w:r>
            <w:r>
              <w:t>Nec</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212200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Authors, and Book and Script</w:t>
            </w:r>
            <w:r w:rsidR="009B16EA">
              <w:t xml:space="preserve"> </w:t>
            </w:r>
            <w:r>
              <w:t>Editors</w:t>
            </w:r>
            <w:r w:rsidR="00D76A66">
              <w:t>, not further defined</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212211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Author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232413</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Multimedia Designer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232414</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Web Designer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261200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Multimedia Specialists and Web Developers</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261211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Multimedia Specialist</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261212</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Web Developer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225212</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ICT Business Development Manager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261100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ICT Business and Systems Analysts</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261111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ICT Business Analyst</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lastRenderedPageBreak/>
              <w:t>261112</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Systems Analyst</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261300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Pr="00431AE8" w:rsidRDefault="00BD435B" w:rsidP="003006EA">
            <w:pPr>
              <w:pStyle w:val="Tabletext"/>
            </w:pPr>
            <w:r>
              <w:t>Software and Applications</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261311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Analyst Programmer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261312</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Developer Programmer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261399</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Software and Applications</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232313</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Jewellery Designer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399400</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Jewellers</w:t>
            </w:r>
            <w:r w:rsidR="00D76A66">
              <w:t>, not further defined</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399411</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Jeweller</w:t>
            </w:r>
          </w:p>
        </w:tc>
      </w:tr>
      <w:tr w:rsidR="00BD435B"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399514</w:t>
            </w:r>
          </w:p>
        </w:tc>
        <w:tc>
          <w:tcPr>
            <w:tcW w:w="7371" w:type="dxa"/>
            <w:tcBorders>
              <w:top w:val="single" w:sz="4" w:space="0" w:color="auto"/>
              <w:left w:val="nil"/>
              <w:bottom w:val="single" w:sz="4" w:space="0" w:color="auto"/>
              <w:right w:val="nil"/>
            </w:tcBorders>
            <w:shd w:val="clear" w:color="auto" w:fill="FFFFFF" w:themeFill="background1"/>
            <w:vAlign w:val="bottom"/>
          </w:tcPr>
          <w:p w:rsidR="00BD435B" w:rsidRDefault="00BD435B" w:rsidP="003006EA">
            <w:pPr>
              <w:pStyle w:val="Tabletext"/>
            </w:pPr>
            <w:r>
              <w:t>Make Up Artist</w:t>
            </w:r>
          </w:p>
        </w:tc>
      </w:tr>
      <w:tr w:rsidR="00632E72" w:rsidTr="009B57D3">
        <w:trPr>
          <w:cantSplit/>
        </w:trPr>
        <w:tc>
          <w:tcPr>
            <w:tcW w:w="1843" w:type="dxa"/>
            <w:tcBorders>
              <w:top w:val="single" w:sz="4" w:space="0" w:color="auto"/>
              <w:left w:val="nil"/>
              <w:bottom w:val="single" w:sz="4" w:space="0" w:color="auto"/>
              <w:right w:val="nil"/>
            </w:tcBorders>
            <w:shd w:val="clear" w:color="auto" w:fill="auto"/>
            <w:vAlign w:val="bottom"/>
            <w:hideMark/>
          </w:tcPr>
          <w:p w:rsidR="00632E72" w:rsidRDefault="00632E72" w:rsidP="003006EA">
            <w:pPr>
              <w:pStyle w:val="Tabletext"/>
            </w:pPr>
            <w:r>
              <w:t>224212</w:t>
            </w:r>
          </w:p>
        </w:tc>
        <w:tc>
          <w:tcPr>
            <w:tcW w:w="7371" w:type="dxa"/>
            <w:tcBorders>
              <w:top w:val="single" w:sz="4" w:space="0" w:color="auto"/>
              <w:left w:val="nil"/>
              <w:bottom w:val="single" w:sz="4" w:space="0" w:color="auto"/>
              <w:right w:val="nil"/>
            </w:tcBorders>
            <w:shd w:val="clear" w:color="auto" w:fill="auto"/>
            <w:vAlign w:val="bottom"/>
            <w:hideMark/>
          </w:tcPr>
          <w:p w:rsidR="00632E72" w:rsidRPr="00431AE8" w:rsidRDefault="00632E72" w:rsidP="003006EA">
            <w:pPr>
              <w:pStyle w:val="Tabletext"/>
            </w:pPr>
            <w:r>
              <w:t>Gallery or Museum Curator</w:t>
            </w:r>
          </w:p>
        </w:tc>
      </w:tr>
      <w:tr w:rsidR="00632E72" w:rsidTr="009B57D3">
        <w:trPr>
          <w:cantSplit/>
        </w:trPr>
        <w:tc>
          <w:tcPr>
            <w:tcW w:w="1843" w:type="dxa"/>
            <w:tcBorders>
              <w:top w:val="single" w:sz="4" w:space="0" w:color="auto"/>
              <w:left w:val="nil"/>
              <w:bottom w:val="single" w:sz="4" w:space="0" w:color="auto"/>
              <w:right w:val="nil"/>
            </w:tcBorders>
            <w:shd w:val="clear" w:color="auto" w:fill="auto"/>
            <w:vAlign w:val="bottom"/>
            <w:hideMark/>
          </w:tcPr>
          <w:p w:rsidR="00632E72" w:rsidRDefault="00632E72" w:rsidP="003006EA">
            <w:pPr>
              <w:pStyle w:val="Tabletext"/>
            </w:pPr>
            <w:r>
              <w:t>234911</w:t>
            </w:r>
          </w:p>
        </w:tc>
        <w:tc>
          <w:tcPr>
            <w:tcW w:w="7371" w:type="dxa"/>
            <w:tcBorders>
              <w:top w:val="single" w:sz="4" w:space="0" w:color="auto"/>
              <w:left w:val="nil"/>
              <w:bottom w:val="single" w:sz="4" w:space="0" w:color="auto"/>
              <w:right w:val="nil"/>
            </w:tcBorders>
            <w:shd w:val="clear" w:color="auto" w:fill="auto"/>
            <w:vAlign w:val="bottom"/>
            <w:hideMark/>
          </w:tcPr>
          <w:p w:rsidR="00632E72" w:rsidRPr="00431AE8" w:rsidRDefault="00632E72" w:rsidP="003006EA">
            <w:pPr>
              <w:pStyle w:val="Tabletext"/>
            </w:pPr>
            <w:r>
              <w:t>Conservator</w:t>
            </w:r>
          </w:p>
        </w:tc>
      </w:tr>
      <w:tr w:rsidR="00632E72" w:rsidTr="009B57D3">
        <w:trPr>
          <w:cantSplit/>
        </w:trPr>
        <w:tc>
          <w:tcPr>
            <w:tcW w:w="1843" w:type="dxa"/>
            <w:tcBorders>
              <w:top w:val="single" w:sz="4" w:space="0" w:color="auto"/>
              <w:left w:val="nil"/>
              <w:bottom w:val="single" w:sz="4" w:space="0" w:color="auto"/>
              <w:right w:val="nil"/>
            </w:tcBorders>
            <w:shd w:val="clear" w:color="auto" w:fill="auto"/>
            <w:vAlign w:val="bottom"/>
          </w:tcPr>
          <w:p w:rsidR="00632E72" w:rsidRDefault="00632E72" w:rsidP="003006EA">
            <w:pPr>
              <w:pStyle w:val="Tabletext"/>
            </w:pPr>
            <w:r>
              <w:t>211412</w:t>
            </w:r>
          </w:p>
        </w:tc>
        <w:tc>
          <w:tcPr>
            <w:tcW w:w="7371" w:type="dxa"/>
            <w:tcBorders>
              <w:top w:val="single" w:sz="4" w:space="0" w:color="auto"/>
              <w:left w:val="nil"/>
              <w:bottom w:val="single" w:sz="4" w:space="0" w:color="auto"/>
              <w:right w:val="nil"/>
            </w:tcBorders>
            <w:shd w:val="clear" w:color="auto" w:fill="auto"/>
            <w:vAlign w:val="bottom"/>
          </w:tcPr>
          <w:p w:rsidR="00632E72" w:rsidRPr="00431AE8" w:rsidRDefault="00632E72" w:rsidP="003006EA">
            <w:pPr>
              <w:pStyle w:val="Tabletext"/>
            </w:pPr>
            <w:r>
              <w:t>Potter or Ceramic Artist</w:t>
            </w:r>
          </w:p>
        </w:tc>
      </w:tr>
      <w:tr w:rsidR="00632E72" w:rsidTr="009B57D3">
        <w:trPr>
          <w:cantSplit/>
        </w:trPr>
        <w:tc>
          <w:tcPr>
            <w:tcW w:w="1843" w:type="dxa"/>
            <w:tcBorders>
              <w:top w:val="single" w:sz="4" w:space="0" w:color="auto"/>
              <w:left w:val="nil"/>
              <w:bottom w:val="single" w:sz="4" w:space="0" w:color="auto"/>
              <w:right w:val="nil"/>
            </w:tcBorders>
            <w:shd w:val="clear" w:color="auto" w:fill="auto"/>
            <w:vAlign w:val="bottom"/>
          </w:tcPr>
          <w:p w:rsidR="00632E72" w:rsidRDefault="00632E72" w:rsidP="003006EA">
            <w:pPr>
              <w:pStyle w:val="Tabletext"/>
            </w:pPr>
            <w:r>
              <w:t>211413</w:t>
            </w:r>
          </w:p>
        </w:tc>
        <w:tc>
          <w:tcPr>
            <w:tcW w:w="7371" w:type="dxa"/>
            <w:tcBorders>
              <w:top w:val="single" w:sz="4" w:space="0" w:color="auto"/>
              <w:left w:val="nil"/>
              <w:bottom w:val="single" w:sz="4" w:space="0" w:color="auto"/>
              <w:right w:val="nil"/>
            </w:tcBorders>
            <w:shd w:val="clear" w:color="auto" w:fill="auto"/>
            <w:vAlign w:val="bottom"/>
          </w:tcPr>
          <w:p w:rsidR="00632E72" w:rsidRPr="00431AE8" w:rsidRDefault="00632E72" w:rsidP="003006EA">
            <w:pPr>
              <w:pStyle w:val="Tabletext"/>
            </w:pPr>
            <w:r>
              <w:t>Sculptor</w:t>
            </w:r>
          </w:p>
        </w:tc>
      </w:tr>
      <w:tr w:rsidR="00632E72"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632E72" w:rsidRDefault="00632E72" w:rsidP="003006EA">
            <w:pPr>
              <w:pStyle w:val="Tabletext"/>
            </w:pPr>
            <w:r>
              <w:t>211400</w:t>
            </w:r>
          </w:p>
        </w:tc>
        <w:tc>
          <w:tcPr>
            <w:tcW w:w="7371" w:type="dxa"/>
            <w:tcBorders>
              <w:top w:val="single" w:sz="4" w:space="0" w:color="auto"/>
              <w:left w:val="nil"/>
              <w:bottom w:val="single" w:sz="4" w:space="0" w:color="auto"/>
              <w:right w:val="nil"/>
            </w:tcBorders>
            <w:shd w:val="clear" w:color="auto" w:fill="FFFFFF" w:themeFill="background1"/>
            <w:vAlign w:val="bottom"/>
          </w:tcPr>
          <w:p w:rsidR="00632E72" w:rsidRPr="00431AE8" w:rsidRDefault="00632E72" w:rsidP="003006EA">
            <w:pPr>
              <w:pStyle w:val="Tabletext"/>
            </w:pPr>
            <w:r>
              <w:t>Visual Arts and Crafts Pr</w:t>
            </w:r>
            <w:r w:rsidR="00B72AD0" w:rsidRPr="00B72AD0">
              <w:t>ofessionals</w:t>
            </w:r>
          </w:p>
        </w:tc>
      </w:tr>
      <w:tr w:rsidR="00632E72"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632E72" w:rsidRDefault="00632E72" w:rsidP="003006EA">
            <w:pPr>
              <w:pStyle w:val="Tabletext"/>
            </w:pPr>
            <w:r>
              <w:t>211411</w:t>
            </w:r>
          </w:p>
        </w:tc>
        <w:tc>
          <w:tcPr>
            <w:tcW w:w="7371" w:type="dxa"/>
            <w:tcBorders>
              <w:top w:val="single" w:sz="4" w:space="0" w:color="auto"/>
              <w:left w:val="nil"/>
              <w:bottom w:val="single" w:sz="4" w:space="0" w:color="auto"/>
              <w:right w:val="nil"/>
            </w:tcBorders>
            <w:shd w:val="clear" w:color="auto" w:fill="FFFFFF" w:themeFill="background1"/>
            <w:vAlign w:val="bottom"/>
          </w:tcPr>
          <w:p w:rsidR="00632E72" w:rsidRPr="00431AE8" w:rsidRDefault="00632E72" w:rsidP="003006EA">
            <w:pPr>
              <w:pStyle w:val="Tabletext"/>
            </w:pPr>
            <w:r>
              <w:t>Painter (Visual Arts)</w:t>
            </w:r>
          </w:p>
        </w:tc>
      </w:tr>
      <w:tr w:rsidR="00632E72" w:rsidTr="009B57D3">
        <w:trPr>
          <w:cantSplit/>
        </w:trPr>
        <w:tc>
          <w:tcPr>
            <w:tcW w:w="1843" w:type="dxa"/>
            <w:tcBorders>
              <w:top w:val="single" w:sz="4" w:space="0" w:color="auto"/>
              <w:left w:val="nil"/>
              <w:bottom w:val="single" w:sz="4" w:space="0" w:color="auto"/>
              <w:right w:val="nil"/>
            </w:tcBorders>
            <w:shd w:val="clear" w:color="auto" w:fill="FFFFFF" w:themeFill="background1"/>
            <w:vAlign w:val="bottom"/>
          </w:tcPr>
          <w:p w:rsidR="00632E72" w:rsidRDefault="00632E72" w:rsidP="003006EA">
            <w:pPr>
              <w:pStyle w:val="Tabletext"/>
            </w:pPr>
            <w:r>
              <w:t>211499</w:t>
            </w:r>
          </w:p>
        </w:tc>
        <w:tc>
          <w:tcPr>
            <w:tcW w:w="7371" w:type="dxa"/>
            <w:tcBorders>
              <w:top w:val="single" w:sz="4" w:space="0" w:color="auto"/>
              <w:left w:val="nil"/>
              <w:bottom w:val="single" w:sz="4" w:space="0" w:color="auto"/>
              <w:right w:val="nil"/>
            </w:tcBorders>
            <w:shd w:val="clear" w:color="auto" w:fill="FFFFFF" w:themeFill="background1"/>
            <w:vAlign w:val="bottom"/>
          </w:tcPr>
          <w:p w:rsidR="00632E72" w:rsidRPr="00431AE8" w:rsidRDefault="00632E72" w:rsidP="003006EA">
            <w:pPr>
              <w:pStyle w:val="Tabletext"/>
            </w:pPr>
            <w:r>
              <w:t>Visual Arts and Crafts Pr</w:t>
            </w:r>
            <w:r w:rsidR="00B72AD0" w:rsidRPr="00B72AD0">
              <w:t>ofessionals Nec</w:t>
            </w:r>
          </w:p>
        </w:tc>
      </w:tr>
      <w:tr w:rsidR="00632E72" w:rsidTr="009B57D3">
        <w:trPr>
          <w:cantSplit/>
        </w:trPr>
        <w:tc>
          <w:tcPr>
            <w:tcW w:w="1843" w:type="dxa"/>
            <w:tcBorders>
              <w:top w:val="single" w:sz="4" w:space="0" w:color="auto"/>
              <w:left w:val="nil"/>
              <w:bottom w:val="single" w:sz="12" w:space="0" w:color="auto"/>
              <w:right w:val="nil"/>
            </w:tcBorders>
            <w:shd w:val="clear" w:color="auto" w:fill="FFFFFF" w:themeFill="background1"/>
            <w:vAlign w:val="bottom"/>
          </w:tcPr>
          <w:p w:rsidR="00632E72" w:rsidRDefault="00632E72" w:rsidP="003006EA">
            <w:pPr>
              <w:pStyle w:val="Tabletext"/>
            </w:pPr>
            <w:r>
              <w:t>232412</w:t>
            </w:r>
          </w:p>
        </w:tc>
        <w:tc>
          <w:tcPr>
            <w:tcW w:w="7371" w:type="dxa"/>
            <w:tcBorders>
              <w:top w:val="single" w:sz="4" w:space="0" w:color="auto"/>
              <w:left w:val="nil"/>
              <w:bottom w:val="single" w:sz="12" w:space="0" w:color="auto"/>
              <w:right w:val="nil"/>
            </w:tcBorders>
            <w:shd w:val="clear" w:color="auto" w:fill="FFFFFF" w:themeFill="background1"/>
            <w:vAlign w:val="bottom"/>
          </w:tcPr>
          <w:p w:rsidR="00632E72" w:rsidRPr="00431AE8" w:rsidRDefault="00632E72" w:rsidP="003006EA">
            <w:pPr>
              <w:pStyle w:val="Tabletext"/>
            </w:pPr>
            <w:r>
              <w:t>Illustrator</w:t>
            </w:r>
          </w:p>
        </w:tc>
      </w:tr>
    </w:tbl>
    <w:p w:rsidR="00632E72" w:rsidRPr="00C16794" w:rsidRDefault="00B72AD0" w:rsidP="00632E72">
      <w:pPr>
        <w:pStyle w:val="Sourcenote"/>
      </w:pPr>
      <w:r>
        <w:t>Note: ‘Nec’ stand</w:t>
      </w:r>
      <w:r w:rsidR="0004795C">
        <w:t>s for not elsewhere classified.</w:t>
      </w:r>
      <w:r>
        <w:br/>
      </w:r>
      <w:r w:rsidR="00632E72">
        <w:t>Source: Higgs &amp; Lennon (2014)</w:t>
      </w:r>
      <w:r w:rsidR="00632E72" w:rsidRPr="007E013F">
        <w:t xml:space="preserve"> </w:t>
      </w:r>
      <w:r w:rsidR="00632E72">
        <w:t>Australian Creative Employment in 2011</w:t>
      </w:r>
      <w:r w:rsidR="00BA70F9">
        <w:t>—</w:t>
      </w:r>
      <w:r w:rsidR="00632E72">
        <w:t>applying the NESTA Dynamic Mapping definition methodology to Australian Classifications’, pp.18</w:t>
      </w:r>
      <w:r w:rsidR="00BA70F9">
        <w:t>–</w:t>
      </w:r>
      <w:r w:rsidR="00632E72">
        <w:t>19.</w:t>
      </w:r>
    </w:p>
    <w:p w:rsidR="00FF28A9" w:rsidRPr="0098638D" w:rsidRDefault="00B72AD0" w:rsidP="00B34758">
      <w:pPr>
        <w:rPr>
          <w:spacing w:val="-2"/>
        </w:rPr>
      </w:pPr>
      <w:r w:rsidRPr="0098638D">
        <w:rPr>
          <w:spacing w:val="-2"/>
        </w:rPr>
        <w:t>Creative industries (at the 4-digit, or ‘class’, level of the ANZSIC)</w:t>
      </w:r>
      <w:r w:rsidR="007D49E0">
        <w:rPr>
          <w:rStyle w:val="EndnoteReference"/>
          <w:spacing w:val="-2"/>
        </w:rPr>
        <w:endnoteReference w:id="67"/>
      </w:r>
      <w:r w:rsidRPr="0098638D">
        <w:rPr>
          <w:spacing w:val="-2"/>
        </w:rPr>
        <w:t xml:space="preserve"> are defined as those that have at least 20</w:t>
      </w:r>
      <w:r w:rsidR="00BD435B" w:rsidRPr="0098638D">
        <w:rPr>
          <w:spacing w:val="-2"/>
        </w:rPr>
        <w:t> </w:t>
      </w:r>
      <w:r w:rsidRPr="0098638D">
        <w:rPr>
          <w:spacing w:val="-2"/>
        </w:rPr>
        <w:t>per cent of their workforce employed in creative occupations.</w:t>
      </w:r>
      <w:r w:rsidR="00510C3C" w:rsidRPr="0098638D">
        <w:rPr>
          <w:rStyle w:val="EndnoteReference"/>
          <w:spacing w:val="-2"/>
        </w:rPr>
        <w:endnoteReference w:id="68"/>
      </w:r>
      <w:r w:rsidRPr="0098638D">
        <w:rPr>
          <w:spacing w:val="-2"/>
        </w:rPr>
        <w:t xml:space="preserve"> </w:t>
      </w:r>
      <w:r w:rsidR="00BD435B" w:rsidRPr="0098638D">
        <w:rPr>
          <w:spacing w:val="-2"/>
        </w:rPr>
        <w:t xml:space="preserve">These industries are listed in table </w:t>
      </w:r>
      <w:r w:rsidR="0098638D" w:rsidRPr="0098638D">
        <w:rPr>
          <w:spacing w:val="-2"/>
        </w:rPr>
        <w:t>A.2</w:t>
      </w:r>
      <w:r w:rsidR="00BD435B" w:rsidRPr="0098638D">
        <w:rPr>
          <w:spacing w:val="-2"/>
        </w:rPr>
        <w:t>.</w:t>
      </w:r>
    </w:p>
    <w:p w:rsidR="00BD435B" w:rsidRDefault="0098638D" w:rsidP="00BD435B">
      <w:pPr>
        <w:pStyle w:val="Tablefigureheading"/>
      </w:pPr>
      <w:bookmarkStart w:id="34" w:name="_Toc532208394"/>
      <w:r>
        <w:t>Table A.2</w:t>
      </w:r>
      <w:r w:rsidR="00BD435B">
        <w:t xml:space="preserve">: List of creative </w:t>
      </w:r>
      <w:r w:rsidR="00F36CE7">
        <w:t>industries</w:t>
      </w:r>
      <w:bookmarkEnd w:id="34"/>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Description w:val="Table A.2: List of creative industries"/>
      </w:tblPr>
      <w:tblGrid>
        <w:gridCol w:w="1843"/>
        <w:gridCol w:w="7371"/>
      </w:tblGrid>
      <w:tr w:rsidR="00BD435B" w:rsidTr="0004795C">
        <w:trPr>
          <w:cantSplit/>
          <w:tblHeader/>
        </w:trPr>
        <w:tc>
          <w:tcPr>
            <w:tcW w:w="1843" w:type="dxa"/>
            <w:tcBorders>
              <w:top w:val="nil"/>
              <w:left w:val="nil"/>
              <w:bottom w:val="thickThinLargeGap" w:sz="24" w:space="0" w:color="auto"/>
              <w:right w:val="nil"/>
            </w:tcBorders>
            <w:shd w:val="clear" w:color="auto" w:fill="0066AB"/>
            <w:hideMark/>
          </w:tcPr>
          <w:p w:rsidR="00BD435B" w:rsidRDefault="00BD435B" w:rsidP="0004795C">
            <w:pPr>
              <w:pStyle w:val="Tablerowcolumnheading"/>
              <w:keepNext/>
            </w:pPr>
            <w:r>
              <w:t>ANZSIC06 Code</w:t>
            </w:r>
          </w:p>
        </w:tc>
        <w:tc>
          <w:tcPr>
            <w:tcW w:w="7371" w:type="dxa"/>
            <w:tcBorders>
              <w:top w:val="nil"/>
              <w:left w:val="nil"/>
              <w:bottom w:val="thickThinLargeGap" w:sz="24" w:space="0" w:color="auto"/>
              <w:right w:val="nil"/>
            </w:tcBorders>
            <w:shd w:val="clear" w:color="auto" w:fill="0066AB"/>
            <w:hideMark/>
          </w:tcPr>
          <w:p w:rsidR="00BD435B" w:rsidRDefault="00F36CE7" w:rsidP="0004795C">
            <w:pPr>
              <w:pStyle w:val="Tablerowcolumnheadingcentred"/>
              <w:keepNext/>
              <w:jc w:val="left"/>
            </w:pPr>
            <w:r>
              <w:t>Industry name</w:t>
            </w:r>
          </w:p>
        </w:tc>
      </w:tr>
      <w:tr w:rsidR="00F36CE7" w:rsidTr="0004795C">
        <w:trPr>
          <w:cantSplit/>
        </w:trPr>
        <w:tc>
          <w:tcPr>
            <w:tcW w:w="1843" w:type="dxa"/>
            <w:tcBorders>
              <w:top w:val="thickThinLargeGap" w:sz="24" w:space="0" w:color="auto"/>
              <w:left w:val="nil"/>
              <w:bottom w:val="single" w:sz="4" w:space="0" w:color="auto"/>
              <w:right w:val="nil"/>
            </w:tcBorders>
            <w:shd w:val="clear" w:color="auto" w:fill="auto"/>
            <w:hideMark/>
          </w:tcPr>
          <w:p w:rsidR="00F36CE7" w:rsidRDefault="00F36CE7" w:rsidP="0004795C">
            <w:pPr>
              <w:pStyle w:val="Tabletext"/>
              <w:keepNext/>
            </w:pPr>
            <w:r w:rsidRPr="009A502D">
              <w:t>J000</w:t>
            </w:r>
          </w:p>
        </w:tc>
        <w:tc>
          <w:tcPr>
            <w:tcW w:w="7371" w:type="dxa"/>
            <w:tcBorders>
              <w:top w:val="thickThinLargeGap" w:sz="24" w:space="0" w:color="auto"/>
              <w:left w:val="nil"/>
              <w:bottom w:val="single" w:sz="4" w:space="0" w:color="auto"/>
              <w:right w:val="nil"/>
            </w:tcBorders>
            <w:shd w:val="clear" w:color="auto" w:fill="auto"/>
            <w:hideMark/>
          </w:tcPr>
          <w:p w:rsidR="00F36CE7" w:rsidRPr="00431AE8" w:rsidRDefault="00F36CE7" w:rsidP="0004795C">
            <w:pPr>
              <w:pStyle w:val="Tabletext"/>
              <w:keepNext/>
            </w:pPr>
            <w:r w:rsidRPr="009A502D">
              <w:t>Information Media and Telecommunications, nfd</w:t>
            </w:r>
          </w:p>
        </w:tc>
      </w:tr>
      <w:tr w:rsidR="00F36CE7" w:rsidTr="0004795C">
        <w:trPr>
          <w:cantSplit/>
        </w:trPr>
        <w:tc>
          <w:tcPr>
            <w:tcW w:w="1843" w:type="dxa"/>
            <w:tcBorders>
              <w:top w:val="single" w:sz="4" w:space="0" w:color="auto"/>
              <w:left w:val="nil"/>
              <w:bottom w:val="single" w:sz="4" w:space="0" w:color="auto"/>
              <w:right w:val="nil"/>
            </w:tcBorders>
            <w:shd w:val="clear" w:color="auto" w:fill="auto"/>
            <w:hideMark/>
          </w:tcPr>
          <w:p w:rsidR="00F36CE7" w:rsidRDefault="00F36CE7" w:rsidP="0004795C">
            <w:pPr>
              <w:pStyle w:val="Tabletext"/>
              <w:keepNext/>
            </w:pPr>
            <w:r w:rsidRPr="009A502D">
              <w:t>1612</w:t>
            </w:r>
          </w:p>
        </w:tc>
        <w:tc>
          <w:tcPr>
            <w:tcW w:w="7371" w:type="dxa"/>
            <w:tcBorders>
              <w:top w:val="single" w:sz="4" w:space="0" w:color="auto"/>
              <w:left w:val="nil"/>
              <w:bottom w:val="single" w:sz="4" w:space="0" w:color="auto"/>
              <w:right w:val="nil"/>
            </w:tcBorders>
            <w:shd w:val="clear" w:color="auto" w:fill="auto"/>
            <w:hideMark/>
          </w:tcPr>
          <w:p w:rsidR="00F36CE7" w:rsidRPr="00431AE8" w:rsidRDefault="00F36CE7" w:rsidP="0004795C">
            <w:pPr>
              <w:pStyle w:val="Tabletext"/>
              <w:keepNext/>
            </w:pPr>
            <w:r w:rsidRPr="009A502D">
              <w:t>Printing Support Services</w:t>
            </w:r>
          </w:p>
        </w:tc>
      </w:tr>
      <w:tr w:rsidR="00F36CE7" w:rsidTr="0004795C">
        <w:trPr>
          <w:cantSplit/>
        </w:trPr>
        <w:tc>
          <w:tcPr>
            <w:tcW w:w="1843" w:type="dxa"/>
            <w:tcBorders>
              <w:top w:val="single" w:sz="4" w:space="0" w:color="auto"/>
              <w:left w:val="nil"/>
              <w:bottom w:val="single" w:sz="4" w:space="0" w:color="auto"/>
              <w:right w:val="nil"/>
            </w:tcBorders>
            <w:shd w:val="clear" w:color="auto" w:fill="auto"/>
          </w:tcPr>
          <w:p w:rsidR="00F36CE7" w:rsidRDefault="00F36CE7" w:rsidP="0004795C">
            <w:pPr>
              <w:pStyle w:val="Tabletext"/>
              <w:keepNext/>
            </w:pPr>
            <w:r w:rsidRPr="009A502D">
              <w:t xml:space="preserve">5600 </w:t>
            </w:r>
          </w:p>
        </w:tc>
        <w:tc>
          <w:tcPr>
            <w:tcW w:w="7371" w:type="dxa"/>
            <w:tcBorders>
              <w:top w:val="single" w:sz="4" w:space="0" w:color="auto"/>
              <w:left w:val="nil"/>
              <w:bottom w:val="single" w:sz="4" w:space="0" w:color="auto"/>
              <w:right w:val="nil"/>
            </w:tcBorders>
            <w:shd w:val="clear" w:color="auto" w:fill="auto"/>
          </w:tcPr>
          <w:p w:rsidR="00F36CE7" w:rsidRPr="00431AE8" w:rsidRDefault="00F36CE7" w:rsidP="0004795C">
            <w:pPr>
              <w:pStyle w:val="Tabletext"/>
              <w:keepNext/>
            </w:pPr>
            <w:r>
              <w:t>B</w:t>
            </w:r>
            <w:r w:rsidRPr="009A502D">
              <w:t>roadcasting (except Internet)</w:t>
            </w:r>
          </w:p>
        </w:tc>
      </w:tr>
      <w:tr w:rsidR="00F36CE7" w:rsidTr="0004795C">
        <w:trPr>
          <w:cantSplit/>
        </w:trPr>
        <w:tc>
          <w:tcPr>
            <w:tcW w:w="1843" w:type="dxa"/>
            <w:tcBorders>
              <w:top w:val="single" w:sz="4" w:space="0" w:color="auto"/>
              <w:left w:val="nil"/>
              <w:bottom w:val="single" w:sz="4" w:space="0" w:color="auto"/>
              <w:right w:val="nil"/>
            </w:tcBorders>
            <w:shd w:val="clear" w:color="auto" w:fill="auto"/>
          </w:tcPr>
          <w:p w:rsidR="00F36CE7" w:rsidRDefault="00F36CE7" w:rsidP="0004795C">
            <w:pPr>
              <w:pStyle w:val="Tabletext"/>
              <w:keepNext/>
            </w:pPr>
            <w:r w:rsidRPr="009A502D">
              <w:t xml:space="preserve">R000 </w:t>
            </w:r>
          </w:p>
        </w:tc>
        <w:tc>
          <w:tcPr>
            <w:tcW w:w="7371" w:type="dxa"/>
            <w:tcBorders>
              <w:top w:val="single" w:sz="4" w:space="0" w:color="auto"/>
              <w:left w:val="nil"/>
              <w:bottom w:val="single" w:sz="4" w:space="0" w:color="auto"/>
              <w:right w:val="nil"/>
            </w:tcBorders>
            <w:shd w:val="clear" w:color="auto" w:fill="auto"/>
          </w:tcPr>
          <w:p w:rsidR="00F36CE7" w:rsidRPr="00431AE8" w:rsidRDefault="00F36CE7" w:rsidP="0004795C">
            <w:pPr>
              <w:pStyle w:val="Tabletext"/>
              <w:keepNext/>
            </w:pPr>
            <w:r w:rsidRPr="009A502D">
              <w:t>Arts and Recreation Services, nfd</w:t>
            </w:r>
          </w:p>
        </w:tc>
      </w:tr>
      <w:tr w:rsidR="00F36CE7"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F36CE7" w:rsidRDefault="00F36CE7" w:rsidP="0004795C">
            <w:pPr>
              <w:pStyle w:val="Tabletext"/>
              <w:keepNext/>
            </w:pPr>
            <w:r w:rsidRPr="00CC6F1D">
              <w:t>6991</w:t>
            </w:r>
          </w:p>
        </w:tc>
        <w:tc>
          <w:tcPr>
            <w:tcW w:w="7371" w:type="dxa"/>
            <w:tcBorders>
              <w:top w:val="single" w:sz="4" w:space="0" w:color="auto"/>
              <w:left w:val="nil"/>
              <w:bottom w:val="single" w:sz="4" w:space="0" w:color="auto"/>
              <w:right w:val="nil"/>
            </w:tcBorders>
            <w:shd w:val="clear" w:color="auto" w:fill="FFFFFF" w:themeFill="background1"/>
          </w:tcPr>
          <w:p w:rsidR="00F36CE7" w:rsidRPr="00431AE8" w:rsidRDefault="00F36CE7" w:rsidP="0004795C">
            <w:pPr>
              <w:pStyle w:val="Tabletext"/>
              <w:keepNext/>
            </w:pPr>
            <w:r w:rsidRPr="00B34622">
              <w:t>Professional Photographic Services</w:t>
            </w:r>
          </w:p>
        </w:tc>
      </w:tr>
      <w:tr w:rsidR="00F36CE7"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F36CE7" w:rsidRDefault="00F36CE7" w:rsidP="0004795C">
            <w:pPr>
              <w:pStyle w:val="Tabletext"/>
              <w:keepNext/>
            </w:pPr>
            <w:r w:rsidRPr="00CC6F1D">
              <w:t>9002</w:t>
            </w:r>
          </w:p>
        </w:tc>
        <w:tc>
          <w:tcPr>
            <w:tcW w:w="7371" w:type="dxa"/>
            <w:tcBorders>
              <w:top w:val="single" w:sz="4" w:space="0" w:color="auto"/>
              <w:left w:val="nil"/>
              <w:bottom w:val="single" w:sz="4" w:space="0" w:color="auto"/>
              <w:right w:val="nil"/>
            </w:tcBorders>
            <w:shd w:val="clear" w:color="auto" w:fill="FFFFFF" w:themeFill="background1"/>
          </w:tcPr>
          <w:p w:rsidR="00F36CE7" w:rsidRPr="00431AE8" w:rsidRDefault="00F36CE7" w:rsidP="0004795C">
            <w:pPr>
              <w:pStyle w:val="Tabletext"/>
              <w:keepNext/>
            </w:pPr>
            <w:r w:rsidRPr="00B34622">
              <w:t>Creative Artists, Musicians, Writers and Performers</w:t>
            </w:r>
          </w:p>
        </w:tc>
      </w:tr>
      <w:tr w:rsidR="00F36CE7"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F36CE7" w:rsidRDefault="00F36CE7" w:rsidP="0004795C">
            <w:pPr>
              <w:pStyle w:val="Tabletext"/>
              <w:keepNext/>
            </w:pPr>
            <w:r w:rsidRPr="00CC6F1D">
              <w:t>5511</w:t>
            </w:r>
          </w:p>
        </w:tc>
        <w:tc>
          <w:tcPr>
            <w:tcW w:w="7371" w:type="dxa"/>
            <w:tcBorders>
              <w:top w:val="single" w:sz="4" w:space="0" w:color="auto"/>
              <w:left w:val="nil"/>
              <w:bottom w:val="single" w:sz="4" w:space="0" w:color="auto"/>
              <w:right w:val="nil"/>
            </w:tcBorders>
            <w:shd w:val="clear" w:color="auto" w:fill="FFFFFF" w:themeFill="background1"/>
          </w:tcPr>
          <w:p w:rsidR="00F36CE7" w:rsidRPr="00431AE8" w:rsidRDefault="00F36CE7" w:rsidP="0004795C">
            <w:pPr>
              <w:pStyle w:val="Tabletext"/>
              <w:keepNext/>
            </w:pPr>
            <w:r w:rsidRPr="00B34622">
              <w:t>Motion Picture and Video Production</w:t>
            </w:r>
          </w:p>
        </w:tc>
      </w:tr>
      <w:tr w:rsidR="00F36CE7"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F36CE7" w:rsidRDefault="00F36CE7" w:rsidP="003006EA">
            <w:pPr>
              <w:pStyle w:val="Tabletext"/>
            </w:pPr>
            <w:r w:rsidRPr="00CC6F1D">
              <w:t>6924</w:t>
            </w:r>
          </w:p>
        </w:tc>
        <w:tc>
          <w:tcPr>
            <w:tcW w:w="7371" w:type="dxa"/>
            <w:tcBorders>
              <w:top w:val="single" w:sz="4" w:space="0" w:color="auto"/>
              <w:left w:val="nil"/>
              <w:bottom w:val="single" w:sz="4" w:space="0" w:color="auto"/>
              <w:right w:val="nil"/>
            </w:tcBorders>
            <w:shd w:val="clear" w:color="auto" w:fill="FFFFFF" w:themeFill="background1"/>
          </w:tcPr>
          <w:p w:rsidR="00F36CE7" w:rsidRPr="00431AE8" w:rsidRDefault="00F36CE7" w:rsidP="003006EA">
            <w:pPr>
              <w:pStyle w:val="Tabletext"/>
            </w:pPr>
            <w:r w:rsidRPr="00B34622">
              <w:t>Other Specialised Design Services</w:t>
            </w:r>
          </w:p>
        </w:tc>
      </w:tr>
      <w:tr w:rsidR="00F36CE7"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F36CE7" w:rsidRDefault="00F36CE7" w:rsidP="003006EA">
            <w:pPr>
              <w:pStyle w:val="Tabletext"/>
            </w:pPr>
            <w:r w:rsidRPr="00CC6F1D">
              <w:t>5514</w:t>
            </w:r>
          </w:p>
        </w:tc>
        <w:tc>
          <w:tcPr>
            <w:tcW w:w="7371" w:type="dxa"/>
            <w:tcBorders>
              <w:top w:val="single" w:sz="4" w:space="0" w:color="auto"/>
              <w:left w:val="nil"/>
              <w:bottom w:val="single" w:sz="4" w:space="0" w:color="auto"/>
              <w:right w:val="nil"/>
            </w:tcBorders>
            <w:shd w:val="clear" w:color="auto" w:fill="FFFFFF" w:themeFill="background1"/>
          </w:tcPr>
          <w:p w:rsidR="00F36CE7" w:rsidRPr="00431AE8" w:rsidRDefault="00F36CE7" w:rsidP="003006EA">
            <w:pPr>
              <w:pStyle w:val="Tabletext"/>
            </w:pPr>
            <w:r w:rsidRPr="00B34622">
              <w:t>Post-production Services and Other Motion Picture and Video Activities</w:t>
            </w:r>
          </w:p>
        </w:tc>
      </w:tr>
      <w:tr w:rsidR="00F36CE7"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F36CE7" w:rsidRDefault="00F36CE7" w:rsidP="003006EA">
            <w:pPr>
              <w:pStyle w:val="Tabletext"/>
            </w:pPr>
            <w:r w:rsidRPr="00CC6F1D">
              <w:t>9001</w:t>
            </w:r>
          </w:p>
        </w:tc>
        <w:tc>
          <w:tcPr>
            <w:tcW w:w="7371" w:type="dxa"/>
            <w:tcBorders>
              <w:top w:val="single" w:sz="4" w:space="0" w:color="auto"/>
              <w:left w:val="nil"/>
              <w:bottom w:val="single" w:sz="4" w:space="0" w:color="auto"/>
              <w:right w:val="nil"/>
            </w:tcBorders>
            <w:shd w:val="clear" w:color="auto" w:fill="FFFFFF" w:themeFill="background1"/>
          </w:tcPr>
          <w:p w:rsidR="00F36CE7" w:rsidRPr="00431AE8" w:rsidRDefault="00F36CE7" w:rsidP="003006EA">
            <w:pPr>
              <w:pStyle w:val="Tabletext"/>
            </w:pPr>
            <w:r w:rsidRPr="00B34622">
              <w:t>Performing Arts Operation</w:t>
            </w:r>
          </w:p>
        </w:tc>
      </w:tr>
      <w:tr w:rsidR="00F36CE7"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F36CE7" w:rsidRDefault="00F36CE7" w:rsidP="003006EA">
            <w:pPr>
              <w:pStyle w:val="Tabletext"/>
            </w:pPr>
            <w:r w:rsidRPr="00CC6F1D">
              <w:t>5621</w:t>
            </w:r>
          </w:p>
        </w:tc>
        <w:tc>
          <w:tcPr>
            <w:tcW w:w="7371" w:type="dxa"/>
            <w:tcBorders>
              <w:top w:val="single" w:sz="4" w:space="0" w:color="auto"/>
              <w:left w:val="nil"/>
              <w:bottom w:val="single" w:sz="4" w:space="0" w:color="auto"/>
              <w:right w:val="nil"/>
            </w:tcBorders>
            <w:shd w:val="clear" w:color="auto" w:fill="FFFFFF" w:themeFill="background1"/>
          </w:tcPr>
          <w:p w:rsidR="00F36CE7" w:rsidRPr="00431AE8" w:rsidRDefault="00F36CE7" w:rsidP="003006EA">
            <w:pPr>
              <w:pStyle w:val="Tabletext"/>
            </w:pPr>
            <w:r w:rsidRPr="00B34622">
              <w:t>Free-to-Air Television Broadcasting</w:t>
            </w:r>
          </w:p>
        </w:tc>
      </w:tr>
      <w:tr w:rsidR="00F36CE7"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F36CE7" w:rsidRDefault="00F36CE7" w:rsidP="003006EA">
            <w:pPr>
              <w:pStyle w:val="Tabletext"/>
            </w:pPr>
            <w:r w:rsidRPr="00CC6F1D">
              <w:t>6921</w:t>
            </w:r>
          </w:p>
        </w:tc>
        <w:tc>
          <w:tcPr>
            <w:tcW w:w="7371" w:type="dxa"/>
            <w:tcBorders>
              <w:top w:val="single" w:sz="4" w:space="0" w:color="auto"/>
              <w:left w:val="nil"/>
              <w:bottom w:val="single" w:sz="4" w:space="0" w:color="auto"/>
              <w:right w:val="nil"/>
            </w:tcBorders>
            <w:shd w:val="clear" w:color="auto" w:fill="FFFFFF" w:themeFill="background1"/>
          </w:tcPr>
          <w:p w:rsidR="00F36CE7" w:rsidRPr="00431AE8" w:rsidRDefault="00F36CE7" w:rsidP="003006EA">
            <w:pPr>
              <w:pStyle w:val="Tabletext"/>
            </w:pPr>
            <w:r w:rsidRPr="00B34622">
              <w:t>Architectural Services</w:t>
            </w:r>
          </w:p>
        </w:tc>
      </w:tr>
      <w:tr w:rsidR="00F36CE7"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F36CE7" w:rsidRDefault="00F36CE7" w:rsidP="003006EA">
            <w:pPr>
              <w:pStyle w:val="Tabletext"/>
            </w:pPr>
            <w:r w:rsidRPr="00CC6F1D">
              <w:t>5610</w:t>
            </w:r>
          </w:p>
        </w:tc>
        <w:tc>
          <w:tcPr>
            <w:tcW w:w="7371" w:type="dxa"/>
            <w:tcBorders>
              <w:top w:val="single" w:sz="4" w:space="0" w:color="auto"/>
              <w:left w:val="nil"/>
              <w:bottom w:val="single" w:sz="4" w:space="0" w:color="auto"/>
              <w:right w:val="nil"/>
            </w:tcBorders>
            <w:shd w:val="clear" w:color="auto" w:fill="FFFFFF" w:themeFill="background1"/>
          </w:tcPr>
          <w:p w:rsidR="00F36CE7" w:rsidRPr="00431AE8" w:rsidRDefault="00F36CE7" w:rsidP="003006EA">
            <w:pPr>
              <w:pStyle w:val="Tabletext"/>
            </w:pPr>
            <w:r w:rsidRPr="00B34622">
              <w:t>Radio Broadcasting</w:t>
            </w:r>
          </w:p>
        </w:tc>
      </w:tr>
      <w:tr w:rsidR="00F36CE7"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F36CE7" w:rsidRDefault="00F36CE7" w:rsidP="003006EA">
            <w:pPr>
              <w:pStyle w:val="Tabletext"/>
            </w:pPr>
            <w:r w:rsidRPr="00CC6F1D">
              <w:t>2591</w:t>
            </w:r>
          </w:p>
        </w:tc>
        <w:tc>
          <w:tcPr>
            <w:tcW w:w="7371" w:type="dxa"/>
            <w:tcBorders>
              <w:top w:val="single" w:sz="4" w:space="0" w:color="auto"/>
              <w:left w:val="nil"/>
              <w:bottom w:val="single" w:sz="4" w:space="0" w:color="auto"/>
              <w:right w:val="nil"/>
            </w:tcBorders>
            <w:shd w:val="clear" w:color="auto" w:fill="FFFFFF" w:themeFill="background1"/>
          </w:tcPr>
          <w:p w:rsidR="00F36CE7" w:rsidRPr="00431AE8" w:rsidRDefault="00F36CE7" w:rsidP="003006EA">
            <w:pPr>
              <w:pStyle w:val="Tabletext"/>
            </w:pPr>
            <w:r w:rsidRPr="00B34622">
              <w:t>Jewellery and Silverware Manufacturing</w:t>
            </w:r>
          </w:p>
        </w:tc>
      </w:tr>
      <w:tr w:rsidR="00F36CE7"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F36CE7" w:rsidRDefault="00F36CE7" w:rsidP="003006EA">
            <w:pPr>
              <w:pStyle w:val="Tabletext"/>
            </w:pPr>
            <w:r w:rsidRPr="00CC6F1D">
              <w:t>5620</w:t>
            </w:r>
          </w:p>
        </w:tc>
        <w:tc>
          <w:tcPr>
            <w:tcW w:w="7371" w:type="dxa"/>
            <w:tcBorders>
              <w:top w:val="single" w:sz="4" w:space="0" w:color="auto"/>
              <w:left w:val="nil"/>
              <w:bottom w:val="single" w:sz="4" w:space="0" w:color="auto"/>
              <w:right w:val="nil"/>
            </w:tcBorders>
            <w:shd w:val="clear" w:color="auto" w:fill="FFFFFF" w:themeFill="background1"/>
          </w:tcPr>
          <w:p w:rsidR="00F36CE7" w:rsidRPr="00431AE8" w:rsidRDefault="00F36CE7" w:rsidP="003006EA">
            <w:pPr>
              <w:pStyle w:val="Tabletext"/>
            </w:pPr>
            <w:r w:rsidRPr="00B34622">
              <w:t>Television Broadcasting</w:t>
            </w:r>
          </w:p>
        </w:tc>
      </w:tr>
      <w:tr w:rsidR="00F36CE7"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F36CE7" w:rsidRPr="00CC6F1D" w:rsidRDefault="00F36CE7" w:rsidP="003006EA">
            <w:pPr>
              <w:pStyle w:val="Tabletext"/>
            </w:pPr>
            <w:r w:rsidRPr="00D65D1A">
              <w:t>5510</w:t>
            </w:r>
          </w:p>
        </w:tc>
        <w:tc>
          <w:tcPr>
            <w:tcW w:w="7371" w:type="dxa"/>
            <w:tcBorders>
              <w:top w:val="single" w:sz="4" w:space="0" w:color="auto"/>
              <w:left w:val="nil"/>
              <w:bottom w:val="single" w:sz="4" w:space="0" w:color="auto"/>
              <w:right w:val="nil"/>
            </w:tcBorders>
            <w:shd w:val="clear" w:color="auto" w:fill="FFFFFF" w:themeFill="background1"/>
          </w:tcPr>
          <w:p w:rsidR="00F36CE7" w:rsidRPr="00B34622" w:rsidRDefault="00F36CE7" w:rsidP="003006EA">
            <w:pPr>
              <w:pStyle w:val="Tabletext"/>
            </w:pPr>
            <w:r w:rsidRPr="009316BB">
              <w:t>Motion Picture and Video Activities</w:t>
            </w:r>
          </w:p>
        </w:tc>
      </w:tr>
      <w:tr w:rsidR="00F36CE7"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F36CE7" w:rsidRPr="00CC6F1D" w:rsidRDefault="00F36CE7" w:rsidP="003006EA">
            <w:pPr>
              <w:pStyle w:val="Tabletext"/>
            </w:pPr>
            <w:r w:rsidRPr="00D65D1A">
              <w:t>5410</w:t>
            </w:r>
          </w:p>
        </w:tc>
        <w:tc>
          <w:tcPr>
            <w:tcW w:w="7371" w:type="dxa"/>
            <w:tcBorders>
              <w:top w:val="single" w:sz="4" w:space="0" w:color="auto"/>
              <w:left w:val="nil"/>
              <w:bottom w:val="single" w:sz="4" w:space="0" w:color="auto"/>
              <w:right w:val="nil"/>
            </w:tcBorders>
            <w:shd w:val="clear" w:color="auto" w:fill="FFFFFF" w:themeFill="background1"/>
          </w:tcPr>
          <w:p w:rsidR="00F36CE7" w:rsidRPr="00B34622" w:rsidRDefault="00F36CE7" w:rsidP="003006EA">
            <w:pPr>
              <w:pStyle w:val="Tabletext"/>
            </w:pPr>
            <w:r w:rsidRPr="009316BB">
              <w:t>Newspaper, Periodical, Book and Directory Publishing</w:t>
            </w:r>
          </w:p>
        </w:tc>
      </w:tr>
      <w:tr w:rsidR="0023251E" w:rsidTr="0004795C">
        <w:trPr>
          <w:cantSplit/>
        </w:trPr>
        <w:tc>
          <w:tcPr>
            <w:tcW w:w="1843" w:type="dxa"/>
            <w:tcBorders>
              <w:top w:val="single" w:sz="4" w:space="0" w:color="auto"/>
              <w:left w:val="nil"/>
              <w:bottom w:val="single" w:sz="4" w:space="0" w:color="auto"/>
              <w:right w:val="nil"/>
            </w:tcBorders>
            <w:shd w:val="clear" w:color="auto" w:fill="auto"/>
            <w:hideMark/>
          </w:tcPr>
          <w:p w:rsidR="0023251E" w:rsidRDefault="0023251E" w:rsidP="003006EA">
            <w:pPr>
              <w:pStyle w:val="Tabletext"/>
            </w:pPr>
            <w:r w:rsidRPr="00D13D9E">
              <w:t>5400</w:t>
            </w:r>
          </w:p>
        </w:tc>
        <w:tc>
          <w:tcPr>
            <w:tcW w:w="7371" w:type="dxa"/>
            <w:tcBorders>
              <w:top w:val="single" w:sz="4" w:space="0" w:color="auto"/>
              <w:left w:val="nil"/>
              <w:bottom w:val="single" w:sz="4" w:space="0" w:color="auto"/>
              <w:right w:val="nil"/>
            </w:tcBorders>
            <w:shd w:val="clear" w:color="auto" w:fill="auto"/>
          </w:tcPr>
          <w:p w:rsidR="0023251E" w:rsidRPr="00431AE8" w:rsidRDefault="0023251E" w:rsidP="003006EA">
            <w:pPr>
              <w:pStyle w:val="Tabletext"/>
            </w:pPr>
            <w:r w:rsidRPr="00E51ED5">
              <w:t>Publishing (except Internet and Music Publishing)</w:t>
            </w:r>
          </w:p>
        </w:tc>
      </w:tr>
      <w:tr w:rsidR="0023251E" w:rsidTr="0004795C">
        <w:trPr>
          <w:cantSplit/>
        </w:trPr>
        <w:tc>
          <w:tcPr>
            <w:tcW w:w="1843" w:type="dxa"/>
            <w:tcBorders>
              <w:top w:val="single" w:sz="4" w:space="0" w:color="auto"/>
              <w:left w:val="nil"/>
              <w:bottom w:val="single" w:sz="4" w:space="0" w:color="auto"/>
              <w:right w:val="nil"/>
            </w:tcBorders>
            <w:shd w:val="clear" w:color="auto" w:fill="auto"/>
            <w:hideMark/>
          </w:tcPr>
          <w:p w:rsidR="0023251E" w:rsidRDefault="0023251E" w:rsidP="003006EA">
            <w:pPr>
              <w:pStyle w:val="Tabletext"/>
            </w:pPr>
            <w:r w:rsidRPr="00D13D9E">
              <w:t>5412</w:t>
            </w:r>
          </w:p>
        </w:tc>
        <w:tc>
          <w:tcPr>
            <w:tcW w:w="7371" w:type="dxa"/>
            <w:tcBorders>
              <w:top w:val="single" w:sz="4" w:space="0" w:color="auto"/>
              <w:left w:val="nil"/>
              <w:bottom w:val="single" w:sz="4" w:space="0" w:color="auto"/>
              <w:right w:val="nil"/>
            </w:tcBorders>
            <w:shd w:val="clear" w:color="auto" w:fill="auto"/>
          </w:tcPr>
          <w:p w:rsidR="0023251E" w:rsidRPr="00431AE8" w:rsidRDefault="0023251E" w:rsidP="003006EA">
            <w:pPr>
              <w:pStyle w:val="Tabletext"/>
            </w:pPr>
            <w:r w:rsidRPr="00E51ED5">
              <w:t>Magazine and Other Periodical Publishing</w:t>
            </w:r>
          </w:p>
        </w:tc>
      </w:tr>
      <w:tr w:rsidR="0023251E" w:rsidTr="0004795C">
        <w:trPr>
          <w:cantSplit/>
        </w:trPr>
        <w:tc>
          <w:tcPr>
            <w:tcW w:w="1843" w:type="dxa"/>
            <w:tcBorders>
              <w:top w:val="single" w:sz="4" w:space="0" w:color="auto"/>
              <w:left w:val="nil"/>
              <w:bottom w:val="single" w:sz="4" w:space="0" w:color="auto"/>
              <w:right w:val="nil"/>
            </w:tcBorders>
            <w:shd w:val="clear" w:color="auto" w:fill="auto"/>
          </w:tcPr>
          <w:p w:rsidR="0023251E" w:rsidRDefault="0023251E" w:rsidP="003006EA">
            <w:pPr>
              <w:pStyle w:val="Tabletext"/>
            </w:pPr>
            <w:r w:rsidRPr="00D13D9E">
              <w:t>9000</w:t>
            </w:r>
          </w:p>
        </w:tc>
        <w:tc>
          <w:tcPr>
            <w:tcW w:w="7371" w:type="dxa"/>
            <w:tcBorders>
              <w:top w:val="single" w:sz="4" w:space="0" w:color="auto"/>
              <w:left w:val="nil"/>
              <w:bottom w:val="single" w:sz="4" w:space="0" w:color="auto"/>
              <w:right w:val="nil"/>
            </w:tcBorders>
            <w:shd w:val="clear" w:color="auto" w:fill="auto"/>
          </w:tcPr>
          <w:p w:rsidR="0023251E" w:rsidRPr="00431AE8" w:rsidRDefault="0023251E" w:rsidP="003006EA">
            <w:pPr>
              <w:pStyle w:val="Tabletext"/>
            </w:pPr>
            <w:r w:rsidRPr="00E51ED5">
              <w:t>Creative and Performing Arts Activities</w:t>
            </w:r>
          </w:p>
        </w:tc>
      </w:tr>
      <w:tr w:rsidR="0023251E" w:rsidTr="0004795C">
        <w:trPr>
          <w:cantSplit/>
        </w:trPr>
        <w:tc>
          <w:tcPr>
            <w:tcW w:w="1843" w:type="dxa"/>
            <w:tcBorders>
              <w:top w:val="single" w:sz="4" w:space="0" w:color="auto"/>
              <w:left w:val="nil"/>
              <w:bottom w:val="single" w:sz="4" w:space="0" w:color="auto"/>
              <w:right w:val="nil"/>
            </w:tcBorders>
            <w:shd w:val="clear" w:color="auto" w:fill="auto"/>
          </w:tcPr>
          <w:p w:rsidR="0023251E" w:rsidRDefault="0023251E" w:rsidP="003006EA">
            <w:pPr>
              <w:pStyle w:val="Tabletext"/>
            </w:pPr>
            <w:r w:rsidRPr="00D13D9E">
              <w:lastRenderedPageBreak/>
              <w:t>6940</w:t>
            </w:r>
          </w:p>
        </w:tc>
        <w:tc>
          <w:tcPr>
            <w:tcW w:w="7371" w:type="dxa"/>
            <w:tcBorders>
              <w:top w:val="single" w:sz="4" w:space="0" w:color="auto"/>
              <w:left w:val="nil"/>
              <w:bottom w:val="single" w:sz="4" w:space="0" w:color="auto"/>
              <w:right w:val="nil"/>
            </w:tcBorders>
            <w:shd w:val="clear" w:color="auto" w:fill="auto"/>
          </w:tcPr>
          <w:p w:rsidR="0023251E" w:rsidRPr="00431AE8" w:rsidRDefault="0023251E" w:rsidP="003006EA">
            <w:pPr>
              <w:pStyle w:val="Tabletext"/>
            </w:pPr>
            <w:r w:rsidRPr="00E51ED5">
              <w:t>Advertising Services</w:t>
            </w:r>
          </w:p>
        </w:tc>
      </w:tr>
      <w:tr w:rsidR="0023251E"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23251E" w:rsidRDefault="0023251E" w:rsidP="003006EA">
            <w:pPr>
              <w:pStyle w:val="Tabletext"/>
            </w:pPr>
            <w:r w:rsidRPr="00D13D9E">
              <w:t>5411</w:t>
            </w:r>
          </w:p>
        </w:tc>
        <w:tc>
          <w:tcPr>
            <w:tcW w:w="7371" w:type="dxa"/>
            <w:tcBorders>
              <w:top w:val="single" w:sz="4" w:space="0" w:color="auto"/>
              <w:left w:val="nil"/>
              <w:bottom w:val="single" w:sz="4" w:space="0" w:color="auto"/>
              <w:right w:val="nil"/>
            </w:tcBorders>
            <w:shd w:val="clear" w:color="auto" w:fill="FFFFFF" w:themeFill="background1"/>
          </w:tcPr>
          <w:p w:rsidR="0023251E" w:rsidRPr="00431AE8" w:rsidRDefault="0023251E" w:rsidP="003006EA">
            <w:pPr>
              <w:pStyle w:val="Tabletext"/>
            </w:pPr>
            <w:r w:rsidRPr="00E51ED5">
              <w:t>Newspaper Publishing</w:t>
            </w:r>
          </w:p>
        </w:tc>
      </w:tr>
      <w:tr w:rsidR="0023251E"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23251E" w:rsidRDefault="0023251E" w:rsidP="003006EA">
            <w:pPr>
              <w:pStyle w:val="Tabletext"/>
            </w:pPr>
            <w:r w:rsidRPr="00D13D9E">
              <w:t>5700</w:t>
            </w:r>
          </w:p>
        </w:tc>
        <w:tc>
          <w:tcPr>
            <w:tcW w:w="7371" w:type="dxa"/>
            <w:tcBorders>
              <w:top w:val="single" w:sz="4" w:space="0" w:color="auto"/>
              <w:left w:val="nil"/>
              <w:bottom w:val="single" w:sz="4" w:space="0" w:color="auto"/>
              <w:right w:val="nil"/>
            </w:tcBorders>
            <w:shd w:val="clear" w:color="auto" w:fill="FFFFFF" w:themeFill="background1"/>
          </w:tcPr>
          <w:p w:rsidR="0023251E" w:rsidRPr="00431AE8" w:rsidRDefault="0023251E" w:rsidP="003006EA">
            <w:pPr>
              <w:pStyle w:val="Tabletext"/>
            </w:pPr>
            <w:r w:rsidRPr="00E51ED5">
              <w:t>Internet Publishing and Broadcasting</w:t>
            </w:r>
          </w:p>
        </w:tc>
      </w:tr>
      <w:tr w:rsidR="0023251E"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23251E" w:rsidRDefault="0023251E" w:rsidP="003006EA">
            <w:pPr>
              <w:pStyle w:val="Tabletext"/>
            </w:pPr>
            <w:r w:rsidRPr="00D13D9E">
              <w:t>6010</w:t>
            </w:r>
          </w:p>
        </w:tc>
        <w:tc>
          <w:tcPr>
            <w:tcW w:w="7371" w:type="dxa"/>
            <w:tcBorders>
              <w:top w:val="single" w:sz="4" w:space="0" w:color="auto"/>
              <w:left w:val="nil"/>
              <w:bottom w:val="single" w:sz="4" w:space="0" w:color="auto"/>
              <w:right w:val="nil"/>
            </w:tcBorders>
            <w:shd w:val="clear" w:color="auto" w:fill="FFFFFF" w:themeFill="background1"/>
          </w:tcPr>
          <w:p w:rsidR="0023251E" w:rsidRPr="00431AE8" w:rsidRDefault="0023251E" w:rsidP="003006EA">
            <w:pPr>
              <w:pStyle w:val="Tabletext"/>
            </w:pPr>
            <w:r w:rsidRPr="00E51ED5">
              <w:t>Libraries and Archives</w:t>
            </w:r>
          </w:p>
        </w:tc>
      </w:tr>
      <w:tr w:rsidR="0023251E"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23251E" w:rsidRDefault="0023251E" w:rsidP="003006EA">
            <w:pPr>
              <w:pStyle w:val="Tabletext"/>
            </w:pPr>
            <w:r w:rsidRPr="00D13D9E">
              <w:t>5900</w:t>
            </w:r>
          </w:p>
        </w:tc>
        <w:tc>
          <w:tcPr>
            <w:tcW w:w="7371" w:type="dxa"/>
            <w:tcBorders>
              <w:top w:val="single" w:sz="4" w:space="0" w:color="auto"/>
              <w:left w:val="nil"/>
              <w:bottom w:val="single" w:sz="4" w:space="0" w:color="auto"/>
              <w:right w:val="nil"/>
            </w:tcBorders>
            <w:shd w:val="clear" w:color="auto" w:fill="FFFFFF" w:themeFill="background1"/>
          </w:tcPr>
          <w:p w:rsidR="0023251E" w:rsidRPr="00431AE8" w:rsidRDefault="0023251E" w:rsidP="003006EA">
            <w:pPr>
              <w:pStyle w:val="Tabletext"/>
            </w:pPr>
            <w:r w:rsidRPr="00E51ED5">
              <w:t>Internet Service Providers, Web Search Portals and Data Processing Services</w:t>
            </w:r>
          </w:p>
        </w:tc>
      </w:tr>
      <w:tr w:rsidR="0023251E"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23251E" w:rsidRDefault="0023251E" w:rsidP="003006EA">
            <w:pPr>
              <w:pStyle w:val="Tabletext"/>
            </w:pPr>
            <w:r w:rsidRPr="00D13D9E">
              <w:t>5420</w:t>
            </w:r>
          </w:p>
        </w:tc>
        <w:tc>
          <w:tcPr>
            <w:tcW w:w="7371" w:type="dxa"/>
            <w:tcBorders>
              <w:top w:val="single" w:sz="4" w:space="0" w:color="auto"/>
              <w:left w:val="nil"/>
              <w:bottom w:val="single" w:sz="4" w:space="0" w:color="auto"/>
              <w:right w:val="nil"/>
            </w:tcBorders>
            <w:shd w:val="clear" w:color="auto" w:fill="FFFFFF" w:themeFill="background1"/>
          </w:tcPr>
          <w:p w:rsidR="0023251E" w:rsidRPr="00431AE8" w:rsidRDefault="0023251E" w:rsidP="003006EA">
            <w:pPr>
              <w:pStyle w:val="Tabletext"/>
            </w:pPr>
            <w:r w:rsidRPr="00E51ED5">
              <w:t>Software Publishing</w:t>
            </w:r>
          </w:p>
        </w:tc>
      </w:tr>
      <w:tr w:rsidR="0023251E"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23251E" w:rsidRDefault="0023251E" w:rsidP="003006EA">
            <w:pPr>
              <w:pStyle w:val="Tabletext"/>
            </w:pPr>
            <w:r w:rsidRPr="00D13D9E">
              <w:t>5500</w:t>
            </w:r>
          </w:p>
        </w:tc>
        <w:tc>
          <w:tcPr>
            <w:tcW w:w="7371" w:type="dxa"/>
            <w:tcBorders>
              <w:top w:val="single" w:sz="4" w:space="0" w:color="auto"/>
              <w:left w:val="nil"/>
              <w:bottom w:val="single" w:sz="4" w:space="0" w:color="auto"/>
              <w:right w:val="nil"/>
            </w:tcBorders>
            <w:shd w:val="clear" w:color="auto" w:fill="FFFFFF" w:themeFill="background1"/>
          </w:tcPr>
          <w:p w:rsidR="0023251E" w:rsidRPr="00431AE8" w:rsidRDefault="0023251E" w:rsidP="003006EA">
            <w:pPr>
              <w:pStyle w:val="Tabletext"/>
            </w:pPr>
            <w:r w:rsidRPr="00E51ED5">
              <w:t>Motion Picture and Sound Recording Activities</w:t>
            </w:r>
          </w:p>
        </w:tc>
      </w:tr>
      <w:tr w:rsidR="0023251E"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23251E" w:rsidRDefault="0023251E" w:rsidP="003006EA">
            <w:pPr>
              <w:pStyle w:val="Tabletext"/>
            </w:pPr>
            <w:r w:rsidRPr="00D13D9E">
              <w:t>5413</w:t>
            </w:r>
          </w:p>
        </w:tc>
        <w:tc>
          <w:tcPr>
            <w:tcW w:w="7371" w:type="dxa"/>
            <w:tcBorders>
              <w:top w:val="single" w:sz="4" w:space="0" w:color="auto"/>
              <w:left w:val="nil"/>
              <w:bottom w:val="single" w:sz="4" w:space="0" w:color="auto"/>
              <w:right w:val="nil"/>
            </w:tcBorders>
            <w:shd w:val="clear" w:color="auto" w:fill="FFFFFF" w:themeFill="background1"/>
          </w:tcPr>
          <w:p w:rsidR="0023251E" w:rsidRPr="00431AE8" w:rsidRDefault="0023251E" w:rsidP="003006EA">
            <w:pPr>
              <w:pStyle w:val="Tabletext"/>
            </w:pPr>
            <w:r w:rsidRPr="00E51ED5">
              <w:t>Book Publishing</w:t>
            </w:r>
          </w:p>
        </w:tc>
      </w:tr>
      <w:tr w:rsidR="0023251E"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23251E" w:rsidRDefault="0023251E" w:rsidP="003006EA">
            <w:pPr>
              <w:pStyle w:val="Tabletext"/>
            </w:pPr>
            <w:r w:rsidRPr="00D13D9E">
              <w:t>5419</w:t>
            </w:r>
          </w:p>
        </w:tc>
        <w:tc>
          <w:tcPr>
            <w:tcW w:w="7371" w:type="dxa"/>
            <w:tcBorders>
              <w:top w:val="single" w:sz="4" w:space="0" w:color="auto"/>
              <w:left w:val="nil"/>
              <w:bottom w:val="single" w:sz="4" w:space="0" w:color="auto"/>
              <w:right w:val="nil"/>
            </w:tcBorders>
            <w:shd w:val="clear" w:color="auto" w:fill="FFFFFF" w:themeFill="background1"/>
          </w:tcPr>
          <w:p w:rsidR="0023251E" w:rsidRPr="00431AE8" w:rsidRDefault="0023251E" w:rsidP="003006EA">
            <w:pPr>
              <w:pStyle w:val="Tabletext"/>
            </w:pPr>
            <w:r w:rsidRPr="00E51ED5">
              <w:t>Other Publishing (except Software, Music and Internet)</w:t>
            </w:r>
          </w:p>
        </w:tc>
      </w:tr>
      <w:tr w:rsidR="0023251E"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23251E" w:rsidRDefault="0023251E" w:rsidP="003006EA">
            <w:pPr>
              <w:pStyle w:val="Tabletext"/>
            </w:pPr>
            <w:r w:rsidRPr="00D13D9E">
              <w:t>8910</w:t>
            </w:r>
          </w:p>
        </w:tc>
        <w:tc>
          <w:tcPr>
            <w:tcW w:w="7371" w:type="dxa"/>
            <w:tcBorders>
              <w:top w:val="single" w:sz="4" w:space="0" w:color="auto"/>
              <w:left w:val="nil"/>
              <w:bottom w:val="single" w:sz="4" w:space="0" w:color="auto"/>
              <w:right w:val="nil"/>
            </w:tcBorders>
            <w:shd w:val="clear" w:color="auto" w:fill="FFFFFF" w:themeFill="background1"/>
          </w:tcPr>
          <w:p w:rsidR="0023251E" w:rsidRPr="00431AE8" w:rsidRDefault="0023251E" w:rsidP="003006EA">
            <w:pPr>
              <w:pStyle w:val="Tabletext"/>
            </w:pPr>
            <w:r w:rsidRPr="00E51ED5">
              <w:t>Museum Operation</w:t>
            </w:r>
          </w:p>
        </w:tc>
      </w:tr>
      <w:tr w:rsidR="0023251E"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23251E" w:rsidRDefault="0023251E" w:rsidP="003006EA">
            <w:pPr>
              <w:pStyle w:val="Tabletext"/>
            </w:pPr>
            <w:r w:rsidRPr="00D13D9E">
              <w:t>5622</w:t>
            </w:r>
          </w:p>
        </w:tc>
        <w:tc>
          <w:tcPr>
            <w:tcW w:w="7371" w:type="dxa"/>
            <w:tcBorders>
              <w:top w:val="single" w:sz="4" w:space="0" w:color="auto"/>
              <w:left w:val="nil"/>
              <w:bottom w:val="single" w:sz="4" w:space="0" w:color="auto"/>
              <w:right w:val="nil"/>
            </w:tcBorders>
            <w:shd w:val="clear" w:color="auto" w:fill="FFFFFF" w:themeFill="background1"/>
          </w:tcPr>
          <w:p w:rsidR="0023251E" w:rsidRPr="00431AE8" w:rsidRDefault="0023251E" w:rsidP="003006EA">
            <w:pPr>
              <w:pStyle w:val="Tabletext"/>
            </w:pPr>
            <w:r w:rsidRPr="00E51ED5">
              <w:t>Cable and Other Subscription Broadcasting</w:t>
            </w:r>
          </w:p>
        </w:tc>
      </w:tr>
      <w:tr w:rsidR="0023251E"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23251E" w:rsidRDefault="0023251E" w:rsidP="003006EA">
            <w:pPr>
              <w:pStyle w:val="Tabletext"/>
            </w:pPr>
            <w:r w:rsidRPr="00D13D9E">
              <w:t>7000</w:t>
            </w:r>
          </w:p>
        </w:tc>
        <w:tc>
          <w:tcPr>
            <w:tcW w:w="7371" w:type="dxa"/>
            <w:tcBorders>
              <w:top w:val="single" w:sz="4" w:space="0" w:color="auto"/>
              <w:left w:val="nil"/>
              <w:bottom w:val="single" w:sz="4" w:space="0" w:color="auto"/>
              <w:right w:val="nil"/>
            </w:tcBorders>
            <w:shd w:val="clear" w:color="auto" w:fill="FFFFFF" w:themeFill="background1"/>
          </w:tcPr>
          <w:p w:rsidR="0023251E" w:rsidRPr="00431AE8" w:rsidRDefault="0023251E" w:rsidP="003006EA">
            <w:pPr>
              <w:pStyle w:val="Tabletext"/>
            </w:pPr>
            <w:r w:rsidRPr="00E51ED5">
              <w:t>Computer System Design and Related Services</w:t>
            </w:r>
          </w:p>
        </w:tc>
      </w:tr>
      <w:tr w:rsidR="0023251E"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23251E" w:rsidRPr="00CC6F1D" w:rsidRDefault="0023251E" w:rsidP="003006EA">
            <w:pPr>
              <w:pStyle w:val="Tabletext"/>
            </w:pPr>
            <w:r w:rsidRPr="00D13D9E">
              <w:t>5520</w:t>
            </w:r>
          </w:p>
        </w:tc>
        <w:tc>
          <w:tcPr>
            <w:tcW w:w="7371" w:type="dxa"/>
            <w:tcBorders>
              <w:top w:val="single" w:sz="4" w:space="0" w:color="auto"/>
              <w:left w:val="nil"/>
              <w:bottom w:val="single" w:sz="4" w:space="0" w:color="auto"/>
              <w:right w:val="nil"/>
            </w:tcBorders>
            <w:shd w:val="clear" w:color="auto" w:fill="FFFFFF" w:themeFill="background1"/>
          </w:tcPr>
          <w:p w:rsidR="0023251E" w:rsidRPr="00B34622" w:rsidRDefault="0023251E" w:rsidP="003006EA">
            <w:pPr>
              <w:pStyle w:val="Tabletext"/>
            </w:pPr>
            <w:r w:rsidRPr="00E51ED5">
              <w:t>Sound Recording and Music Publishing</w:t>
            </w:r>
          </w:p>
        </w:tc>
      </w:tr>
      <w:tr w:rsidR="0023251E" w:rsidTr="0004795C">
        <w:trPr>
          <w:cantSplit/>
        </w:trPr>
        <w:tc>
          <w:tcPr>
            <w:tcW w:w="1843" w:type="dxa"/>
            <w:tcBorders>
              <w:top w:val="single" w:sz="4" w:space="0" w:color="auto"/>
              <w:left w:val="nil"/>
              <w:bottom w:val="single" w:sz="4" w:space="0" w:color="auto"/>
              <w:right w:val="nil"/>
            </w:tcBorders>
            <w:shd w:val="clear" w:color="auto" w:fill="FFFFFF" w:themeFill="background1"/>
          </w:tcPr>
          <w:p w:rsidR="0023251E" w:rsidRPr="00CC6F1D" w:rsidRDefault="0023251E" w:rsidP="003006EA">
            <w:pPr>
              <w:pStyle w:val="Tabletext"/>
            </w:pPr>
            <w:r w:rsidRPr="00D13D9E">
              <w:t>9003</w:t>
            </w:r>
          </w:p>
        </w:tc>
        <w:tc>
          <w:tcPr>
            <w:tcW w:w="7371" w:type="dxa"/>
            <w:tcBorders>
              <w:top w:val="single" w:sz="4" w:space="0" w:color="auto"/>
              <w:left w:val="nil"/>
              <w:bottom w:val="single" w:sz="4" w:space="0" w:color="auto"/>
              <w:right w:val="nil"/>
            </w:tcBorders>
            <w:shd w:val="clear" w:color="auto" w:fill="FFFFFF" w:themeFill="background1"/>
          </w:tcPr>
          <w:p w:rsidR="0023251E" w:rsidRPr="00B34622" w:rsidRDefault="0023251E" w:rsidP="003006EA">
            <w:pPr>
              <w:pStyle w:val="Tabletext"/>
            </w:pPr>
            <w:r w:rsidRPr="00E51ED5">
              <w:t>Performing Arts Venue Operation</w:t>
            </w:r>
          </w:p>
        </w:tc>
      </w:tr>
      <w:tr w:rsidR="0023251E" w:rsidTr="0004795C">
        <w:trPr>
          <w:cantSplit/>
        </w:trPr>
        <w:tc>
          <w:tcPr>
            <w:tcW w:w="1843" w:type="dxa"/>
            <w:tcBorders>
              <w:top w:val="single" w:sz="4" w:space="0" w:color="auto"/>
              <w:left w:val="nil"/>
              <w:bottom w:val="single" w:sz="12" w:space="0" w:color="auto"/>
              <w:right w:val="nil"/>
            </w:tcBorders>
            <w:shd w:val="clear" w:color="auto" w:fill="FFFFFF" w:themeFill="background1"/>
          </w:tcPr>
          <w:p w:rsidR="0023251E" w:rsidRPr="00D65D1A" w:rsidRDefault="0023251E" w:rsidP="003006EA">
            <w:pPr>
              <w:pStyle w:val="Tabletext"/>
            </w:pPr>
            <w:r w:rsidRPr="00D13D9E">
              <w:t>5522</w:t>
            </w:r>
          </w:p>
        </w:tc>
        <w:tc>
          <w:tcPr>
            <w:tcW w:w="7371" w:type="dxa"/>
            <w:tcBorders>
              <w:top w:val="single" w:sz="4" w:space="0" w:color="auto"/>
              <w:left w:val="nil"/>
              <w:bottom w:val="single" w:sz="12" w:space="0" w:color="auto"/>
              <w:right w:val="nil"/>
            </w:tcBorders>
            <w:shd w:val="clear" w:color="auto" w:fill="FFFFFF" w:themeFill="background1"/>
          </w:tcPr>
          <w:p w:rsidR="0023251E" w:rsidRPr="00B34622" w:rsidRDefault="0023251E" w:rsidP="003006EA">
            <w:pPr>
              <w:pStyle w:val="Tabletext"/>
            </w:pPr>
            <w:r w:rsidRPr="00E51ED5">
              <w:t>Music and Other Sound Recording Activities</w:t>
            </w:r>
          </w:p>
        </w:tc>
      </w:tr>
    </w:tbl>
    <w:p w:rsidR="0023251E" w:rsidRPr="00C16794" w:rsidRDefault="0023251E" w:rsidP="0023251E">
      <w:pPr>
        <w:pStyle w:val="Sourcenote"/>
      </w:pPr>
      <w:r>
        <w:t>Source: Higgs &amp; Lennon (2014)</w:t>
      </w:r>
      <w:r w:rsidRPr="007E013F">
        <w:t xml:space="preserve"> </w:t>
      </w:r>
      <w:r>
        <w:t>Australian Creative Employment in 2011</w:t>
      </w:r>
      <w:r w:rsidR="00BA70F9">
        <w:t>—</w:t>
      </w:r>
      <w:r>
        <w:t>applying the NESTA Dynamic Mapping definition methodology to Australian Classifications’, pp.20</w:t>
      </w:r>
      <w:r w:rsidR="00BA70F9">
        <w:t>–</w:t>
      </w:r>
      <w:r>
        <w:t>21.</w:t>
      </w:r>
    </w:p>
    <w:p w:rsidR="00BD435B" w:rsidRDefault="00330B75" w:rsidP="003006EA">
      <w:pPr>
        <w:pStyle w:val="Heading3"/>
      </w:pPr>
      <w:r>
        <w:t>Linking to creative skills</w:t>
      </w:r>
    </w:p>
    <w:p w:rsidR="00330B75" w:rsidRDefault="00434BD1" w:rsidP="0004795C">
      <w:pPr>
        <w:keepNext/>
      </w:pPr>
      <w:r>
        <w:t>The qualifications at the ASCED 4-digit level that are more prevalent among creative occupations than other occupations are used to identify creative skills. This is carried out using 2016 Census data (table</w:t>
      </w:r>
      <w:r w:rsidR="00914B1B">
        <w:t> </w:t>
      </w:r>
      <w:r w:rsidR="009B7E28">
        <w:t>A.3</w:t>
      </w:r>
      <w:r>
        <w:t>).</w:t>
      </w:r>
    </w:p>
    <w:p w:rsidR="00313D8E" w:rsidRDefault="00313D8E" w:rsidP="00313D8E">
      <w:pPr>
        <w:pStyle w:val="Tablefigureheading"/>
      </w:pPr>
      <w:bookmarkStart w:id="35" w:name="_Toc532208395"/>
      <w:r>
        <w:t>Table A.</w:t>
      </w:r>
      <w:r w:rsidR="009B7E28">
        <w:t>3</w:t>
      </w:r>
      <w:r>
        <w:t>: List of creative skills, identified using qualification data</w:t>
      </w:r>
      <w:bookmarkEnd w:id="35"/>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A.3: List of creative skills, identified using qualification data"/>
      </w:tblPr>
      <w:tblGrid>
        <w:gridCol w:w="1138"/>
        <w:gridCol w:w="3267"/>
        <w:gridCol w:w="2464"/>
        <w:gridCol w:w="2464"/>
      </w:tblGrid>
      <w:tr w:rsidR="00313D8E" w:rsidTr="00313D8E">
        <w:trPr>
          <w:cantSplit/>
          <w:tblHeader/>
        </w:trPr>
        <w:tc>
          <w:tcPr>
            <w:tcW w:w="1138" w:type="dxa"/>
            <w:tcBorders>
              <w:top w:val="nil"/>
              <w:left w:val="nil"/>
              <w:bottom w:val="thickThinLargeGap" w:sz="24" w:space="0" w:color="auto"/>
              <w:right w:val="nil"/>
            </w:tcBorders>
            <w:shd w:val="clear" w:color="auto" w:fill="0066AB"/>
            <w:hideMark/>
          </w:tcPr>
          <w:p w:rsidR="00313D8E" w:rsidRDefault="00313D8E" w:rsidP="004425F8">
            <w:pPr>
              <w:pStyle w:val="Tablerowcolumnheading"/>
            </w:pPr>
            <w:r>
              <w:t>ASCED Code</w:t>
            </w:r>
          </w:p>
        </w:tc>
        <w:tc>
          <w:tcPr>
            <w:tcW w:w="3267" w:type="dxa"/>
            <w:tcBorders>
              <w:top w:val="nil"/>
              <w:left w:val="nil"/>
              <w:bottom w:val="thickThinLargeGap" w:sz="24" w:space="0" w:color="auto"/>
              <w:right w:val="nil"/>
            </w:tcBorders>
            <w:shd w:val="clear" w:color="auto" w:fill="0066AB"/>
            <w:hideMark/>
          </w:tcPr>
          <w:p w:rsidR="00313D8E" w:rsidRDefault="00313D8E" w:rsidP="004425F8">
            <w:pPr>
              <w:pStyle w:val="Tablerowcolumnheadingcentred"/>
              <w:jc w:val="left"/>
            </w:pPr>
            <w:r>
              <w:t>Qualification field</w:t>
            </w:r>
          </w:p>
        </w:tc>
        <w:tc>
          <w:tcPr>
            <w:tcW w:w="2464" w:type="dxa"/>
            <w:tcBorders>
              <w:top w:val="nil"/>
              <w:left w:val="nil"/>
              <w:bottom w:val="thickThinLargeGap" w:sz="24" w:space="0" w:color="auto"/>
              <w:right w:val="nil"/>
            </w:tcBorders>
            <w:shd w:val="clear" w:color="auto" w:fill="0066AB"/>
          </w:tcPr>
          <w:p w:rsidR="00313D8E" w:rsidRPr="003006EA" w:rsidRDefault="00313D8E" w:rsidP="003006EA">
            <w:pPr>
              <w:pStyle w:val="Tablerowcolumnheadingcentred"/>
            </w:pPr>
            <w:r w:rsidRPr="003006EA">
              <w:t>Prevalence within creative occupations</w:t>
            </w:r>
          </w:p>
        </w:tc>
        <w:tc>
          <w:tcPr>
            <w:tcW w:w="2464" w:type="dxa"/>
            <w:tcBorders>
              <w:top w:val="nil"/>
              <w:left w:val="nil"/>
              <w:bottom w:val="thickThinLargeGap" w:sz="24" w:space="0" w:color="auto"/>
              <w:right w:val="nil"/>
            </w:tcBorders>
            <w:shd w:val="clear" w:color="auto" w:fill="0066AB"/>
          </w:tcPr>
          <w:p w:rsidR="00313D8E" w:rsidRPr="003006EA" w:rsidRDefault="00313D8E" w:rsidP="003006EA">
            <w:pPr>
              <w:pStyle w:val="Tablerowcolumnheadingcentred"/>
            </w:pPr>
            <w:r w:rsidRPr="003006EA">
              <w:t>Prevalence within other occupations</w:t>
            </w:r>
          </w:p>
        </w:tc>
      </w:tr>
      <w:tr w:rsidR="00313D8E" w:rsidTr="004425F8">
        <w:trPr>
          <w:cantSplit/>
        </w:trPr>
        <w:tc>
          <w:tcPr>
            <w:tcW w:w="1138" w:type="dxa"/>
            <w:tcBorders>
              <w:top w:val="thickThinLargeGap" w:sz="24" w:space="0" w:color="auto"/>
              <w:left w:val="nil"/>
              <w:bottom w:val="single" w:sz="4" w:space="0" w:color="auto"/>
              <w:right w:val="nil"/>
            </w:tcBorders>
            <w:shd w:val="clear" w:color="auto" w:fill="auto"/>
          </w:tcPr>
          <w:p w:rsidR="00313D8E" w:rsidRDefault="00313D8E" w:rsidP="003006EA">
            <w:pPr>
              <w:pStyle w:val="Tabletext"/>
            </w:pPr>
            <w:r w:rsidRPr="00DC5757">
              <w:t>1007</w:t>
            </w:r>
          </w:p>
        </w:tc>
        <w:tc>
          <w:tcPr>
            <w:tcW w:w="3267" w:type="dxa"/>
            <w:tcBorders>
              <w:top w:val="thickThinLargeGap" w:sz="24" w:space="0" w:color="auto"/>
              <w:left w:val="nil"/>
              <w:bottom w:val="single" w:sz="4" w:space="0" w:color="auto"/>
              <w:right w:val="nil"/>
            </w:tcBorders>
            <w:shd w:val="clear" w:color="auto" w:fill="auto"/>
            <w:vAlign w:val="bottom"/>
          </w:tcPr>
          <w:p w:rsidR="00313D8E" w:rsidRPr="00431AE8" w:rsidRDefault="00313D8E" w:rsidP="003006EA">
            <w:pPr>
              <w:pStyle w:val="Tabletext"/>
            </w:pPr>
            <w:r>
              <w:rPr>
                <w:rFonts w:ascii="Calibri" w:hAnsi="Calibri"/>
                <w:color w:val="000000"/>
                <w:szCs w:val="22"/>
              </w:rPr>
              <w:t>Communication and Media Studies</w:t>
            </w:r>
          </w:p>
        </w:tc>
        <w:tc>
          <w:tcPr>
            <w:tcW w:w="2464" w:type="dxa"/>
            <w:tcBorders>
              <w:top w:val="thickThinLargeGap" w:sz="24" w:space="0" w:color="auto"/>
              <w:left w:val="nil"/>
              <w:bottom w:val="single" w:sz="4" w:space="0" w:color="auto"/>
              <w:right w:val="nil"/>
            </w:tcBorders>
          </w:tcPr>
          <w:p w:rsidR="00313D8E" w:rsidRPr="00431AE8" w:rsidRDefault="00313D8E" w:rsidP="003006EA">
            <w:pPr>
              <w:pStyle w:val="Tabletextcentred"/>
              <w:ind w:right="665"/>
              <w:jc w:val="right"/>
            </w:pPr>
            <w:r w:rsidRPr="00CF0001">
              <w:t>11.577%</w:t>
            </w:r>
          </w:p>
        </w:tc>
        <w:tc>
          <w:tcPr>
            <w:tcW w:w="2464" w:type="dxa"/>
            <w:tcBorders>
              <w:top w:val="thickThinLargeGap" w:sz="24" w:space="0" w:color="auto"/>
              <w:left w:val="nil"/>
              <w:bottom w:val="single" w:sz="4" w:space="0" w:color="auto"/>
              <w:right w:val="nil"/>
            </w:tcBorders>
          </w:tcPr>
          <w:p w:rsidR="00313D8E" w:rsidRPr="00431AE8" w:rsidRDefault="00313D8E" w:rsidP="003006EA">
            <w:pPr>
              <w:pStyle w:val="Tabletextcentred"/>
              <w:ind w:right="578"/>
              <w:jc w:val="right"/>
            </w:pPr>
            <w:r w:rsidRPr="00CF0001">
              <w:t>1.116%</w:t>
            </w:r>
          </w:p>
        </w:tc>
      </w:tr>
      <w:tr w:rsidR="00313D8E" w:rsidTr="004425F8">
        <w:trPr>
          <w:cantSplit/>
        </w:trPr>
        <w:tc>
          <w:tcPr>
            <w:tcW w:w="1138" w:type="dxa"/>
            <w:tcBorders>
              <w:top w:val="single" w:sz="4" w:space="0" w:color="auto"/>
              <w:left w:val="nil"/>
              <w:bottom w:val="single" w:sz="4" w:space="0" w:color="auto"/>
              <w:right w:val="nil"/>
            </w:tcBorders>
            <w:shd w:val="clear" w:color="auto" w:fill="auto"/>
          </w:tcPr>
          <w:p w:rsidR="00313D8E" w:rsidRDefault="00313D8E" w:rsidP="003006EA">
            <w:pPr>
              <w:pStyle w:val="Tabletext"/>
            </w:pPr>
            <w:r w:rsidRPr="00DC5757">
              <w:t>0401</w:t>
            </w:r>
          </w:p>
        </w:tc>
        <w:tc>
          <w:tcPr>
            <w:tcW w:w="3267" w:type="dxa"/>
            <w:tcBorders>
              <w:top w:val="single" w:sz="4" w:space="0" w:color="auto"/>
              <w:left w:val="nil"/>
              <w:bottom w:val="single" w:sz="4" w:space="0" w:color="auto"/>
              <w:right w:val="nil"/>
            </w:tcBorders>
            <w:shd w:val="clear" w:color="auto" w:fill="auto"/>
            <w:vAlign w:val="bottom"/>
          </w:tcPr>
          <w:p w:rsidR="00313D8E" w:rsidRPr="00431AE8" w:rsidRDefault="00313D8E" w:rsidP="003006EA">
            <w:pPr>
              <w:pStyle w:val="Tabletext"/>
            </w:pPr>
            <w:r>
              <w:rPr>
                <w:rFonts w:ascii="Calibri" w:hAnsi="Calibri"/>
                <w:color w:val="000000"/>
                <w:szCs w:val="22"/>
              </w:rPr>
              <w:t>Architecture and Urban Environment</w:t>
            </w:r>
          </w:p>
        </w:tc>
        <w:tc>
          <w:tcPr>
            <w:tcW w:w="2464" w:type="dxa"/>
            <w:tcBorders>
              <w:top w:val="single" w:sz="4" w:space="0" w:color="auto"/>
              <w:left w:val="nil"/>
              <w:bottom w:val="single" w:sz="4" w:space="0" w:color="auto"/>
              <w:right w:val="nil"/>
            </w:tcBorders>
          </w:tcPr>
          <w:p w:rsidR="00313D8E" w:rsidRPr="00431AE8" w:rsidRDefault="00313D8E" w:rsidP="003006EA">
            <w:pPr>
              <w:pStyle w:val="Tabletextcentred"/>
              <w:ind w:right="665"/>
              <w:jc w:val="right"/>
            </w:pPr>
            <w:r w:rsidRPr="00CF0001">
              <w:t>10.918%</w:t>
            </w:r>
          </w:p>
        </w:tc>
        <w:tc>
          <w:tcPr>
            <w:tcW w:w="2464" w:type="dxa"/>
            <w:tcBorders>
              <w:top w:val="single" w:sz="4" w:space="0" w:color="auto"/>
              <w:left w:val="nil"/>
              <w:bottom w:val="single" w:sz="4" w:space="0" w:color="auto"/>
              <w:right w:val="nil"/>
            </w:tcBorders>
          </w:tcPr>
          <w:p w:rsidR="00313D8E" w:rsidRPr="00431AE8" w:rsidRDefault="00313D8E" w:rsidP="003006EA">
            <w:pPr>
              <w:pStyle w:val="Tabletextcentred"/>
              <w:ind w:right="578"/>
              <w:jc w:val="right"/>
            </w:pPr>
            <w:r w:rsidRPr="00CF0001">
              <w:t>0.626%</w:t>
            </w:r>
          </w:p>
        </w:tc>
      </w:tr>
      <w:tr w:rsidR="00313D8E" w:rsidTr="004425F8">
        <w:trPr>
          <w:cantSplit/>
        </w:trPr>
        <w:tc>
          <w:tcPr>
            <w:tcW w:w="1138" w:type="dxa"/>
            <w:tcBorders>
              <w:top w:val="single" w:sz="4" w:space="0" w:color="auto"/>
              <w:left w:val="nil"/>
              <w:bottom w:val="single" w:sz="4" w:space="0" w:color="auto"/>
              <w:right w:val="nil"/>
            </w:tcBorders>
            <w:shd w:val="clear" w:color="auto" w:fill="auto"/>
          </w:tcPr>
          <w:p w:rsidR="00313D8E" w:rsidRDefault="00313D8E" w:rsidP="003006EA">
            <w:pPr>
              <w:pStyle w:val="Tabletext"/>
            </w:pPr>
            <w:r w:rsidRPr="00DC5757">
              <w:t>1005</w:t>
            </w:r>
          </w:p>
        </w:tc>
        <w:tc>
          <w:tcPr>
            <w:tcW w:w="3267" w:type="dxa"/>
            <w:tcBorders>
              <w:top w:val="single" w:sz="4" w:space="0" w:color="auto"/>
              <w:left w:val="nil"/>
              <w:bottom w:val="single" w:sz="4" w:space="0" w:color="auto"/>
              <w:right w:val="nil"/>
            </w:tcBorders>
            <w:shd w:val="clear" w:color="auto" w:fill="auto"/>
            <w:vAlign w:val="bottom"/>
          </w:tcPr>
          <w:p w:rsidR="00313D8E" w:rsidRPr="00431AE8" w:rsidRDefault="00313D8E" w:rsidP="003006EA">
            <w:pPr>
              <w:pStyle w:val="Tabletext"/>
            </w:pPr>
            <w:r>
              <w:rPr>
                <w:rFonts w:ascii="Calibri" w:hAnsi="Calibri"/>
                <w:color w:val="000000"/>
                <w:szCs w:val="22"/>
              </w:rPr>
              <w:t>Graphic and Design Studies</w:t>
            </w:r>
          </w:p>
        </w:tc>
        <w:tc>
          <w:tcPr>
            <w:tcW w:w="2464" w:type="dxa"/>
            <w:tcBorders>
              <w:top w:val="single" w:sz="4" w:space="0" w:color="auto"/>
              <w:left w:val="nil"/>
              <w:bottom w:val="single" w:sz="4" w:space="0" w:color="auto"/>
              <w:right w:val="nil"/>
            </w:tcBorders>
          </w:tcPr>
          <w:p w:rsidR="00313D8E" w:rsidRPr="00431AE8" w:rsidRDefault="00313D8E" w:rsidP="003006EA">
            <w:pPr>
              <w:pStyle w:val="Tabletextcentred"/>
              <w:ind w:right="665"/>
              <w:jc w:val="right"/>
            </w:pPr>
            <w:r w:rsidRPr="00CF0001">
              <w:t>10.515%</w:t>
            </w:r>
          </w:p>
        </w:tc>
        <w:tc>
          <w:tcPr>
            <w:tcW w:w="2464" w:type="dxa"/>
            <w:tcBorders>
              <w:top w:val="single" w:sz="4" w:space="0" w:color="auto"/>
              <w:left w:val="nil"/>
              <w:bottom w:val="single" w:sz="4" w:space="0" w:color="auto"/>
              <w:right w:val="nil"/>
            </w:tcBorders>
          </w:tcPr>
          <w:p w:rsidR="00313D8E" w:rsidRPr="00431AE8" w:rsidRDefault="00313D8E" w:rsidP="003006EA">
            <w:pPr>
              <w:pStyle w:val="Tabletextcentred"/>
              <w:ind w:right="578"/>
              <w:jc w:val="right"/>
            </w:pPr>
            <w:r w:rsidRPr="00CF0001">
              <w:t>0.740%</w:t>
            </w:r>
          </w:p>
        </w:tc>
      </w:tr>
      <w:tr w:rsidR="00313D8E" w:rsidTr="004425F8">
        <w:trPr>
          <w:cantSplit/>
        </w:trPr>
        <w:tc>
          <w:tcPr>
            <w:tcW w:w="1138" w:type="dxa"/>
            <w:tcBorders>
              <w:top w:val="single" w:sz="4" w:space="0" w:color="auto"/>
              <w:left w:val="nil"/>
              <w:bottom w:val="single" w:sz="4" w:space="0" w:color="auto"/>
              <w:right w:val="nil"/>
            </w:tcBorders>
            <w:shd w:val="clear" w:color="auto" w:fill="auto"/>
          </w:tcPr>
          <w:p w:rsidR="00313D8E" w:rsidRDefault="00313D8E" w:rsidP="003006EA">
            <w:pPr>
              <w:pStyle w:val="Tabletext"/>
            </w:pPr>
            <w:r w:rsidRPr="00DC5757">
              <w:t>0200</w:t>
            </w:r>
          </w:p>
        </w:tc>
        <w:tc>
          <w:tcPr>
            <w:tcW w:w="3267" w:type="dxa"/>
            <w:tcBorders>
              <w:top w:val="single" w:sz="4" w:space="0" w:color="auto"/>
              <w:left w:val="nil"/>
              <w:bottom w:val="single" w:sz="4" w:space="0" w:color="auto"/>
              <w:right w:val="nil"/>
            </w:tcBorders>
            <w:shd w:val="clear" w:color="auto" w:fill="auto"/>
            <w:vAlign w:val="bottom"/>
          </w:tcPr>
          <w:p w:rsidR="00313D8E" w:rsidRPr="00431AE8" w:rsidRDefault="00313D8E" w:rsidP="003006EA">
            <w:pPr>
              <w:pStyle w:val="Tabletext"/>
            </w:pPr>
            <w:r>
              <w:rPr>
                <w:rFonts w:ascii="Calibri" w:hAnsi="Calibri"/>
                <w:color w:val="000000"/>
                <w:szCs w:val="22"/>
              </w:rPr>
              <w:t>Information Technology, nfd</w:t>
            </w:r>
          </w:p>
        </w:tc>
        <w:tc>
          <w:tcPr>
            <w:tcW w:w="2464" w:type="dxa"/>
            <w:tcBorders>
              <w:top w:val="single" w:sz="4" w:space="0" w:color="auto"/>
              <w:left w:val="nil"/>
              <w:bottom w:val="single" w:sz="4" w:space="0" w:color="auto"/>
              <w:right w:val="nil"/>
            </w:tcBorders>
          </w:tcPr>
          <w:p w:rsidR="00313D8E" w:rsidRPr="00431AE8" w:rsidRDefault="00313D8E" w:rsidP="003006EA">
            <w:pPr>
              <w:pStyle w:val="Tabletextcentred"/>
              <w:ind w:right="665"/>
              <w:jc w:val="right"/>
            </w:pPr>
            <w:r w:rsidRPr="00CF0001">
              <w:t>9.303%</w:t>
            </w:r>
          </w:p>
        </w:tc>
        <w:tc>
          <w:tcPr>
            <w:tcW w:w="2464" w:type="dxa"/>
            <w:tcBorders>
              <w:top w:val="single" w:sz="4" w:space="0" w:color="auto"/>
              <w:left w:val="nil"/>
              <w:bottom w:val="single" w:sz="4" w:space="0" w:color="auto"/>
              <w:right w:val="nil"/>
            </w:tcBorders>
          </w:tcPr>
          <w:p w:rsidR="00313D8E" w:rsidRPr="00431AE8" w:rsidRDefault="00313D8E" w:rsidP="003006EA">
            <w:pPr>
              <w:pStyle w:val="Tabletextcentred"/>
              <w:ind w:right="578"/>
              <w:jc w:val="right"/>
            </w:pPr>
            <w:r w:rsidRPr="00CF0001">
              <w:t>2.444%</w:t>
            </w:r>
          </w:p>
        </w:tc>
      </w:tr>
      <w:tr w:rsidR="00313D8E" w:rsidTr="004425F8">
        <w:trPr>
          <w:cantSplit/>
        </w:trPr>
        <w:tc>
          <w:tcPr>
            <w:tcW w:w="1138" w:type="dxa"/>
            <w:tcBorders>
              <w:top w:val="single" w:sz="4" w:space="0" w:color="auto"/>
              <w:left w:val="nil"/>
              <w:bottom w:val="single" w:sz="4" w:space="0" w:color="auto"/>
              <w:right w:val="nil"/>
            </w:tcBorders>
            <w:shd w:val="clear" w:color="auto" w:fill="FFFFFF" w:themeFill="background1"/>
          </w:tcPr>
          <w:p w:rsidR="00313D8E" w:rsidRDefault="00313D8E" w:rsidP="003006EA">
            <w:pPr>
              <w:pStyle w:val="Tabletext"/>
            </w:pPr>
            <w:r w:rsidRPr="00DC5757">
              <w:t>0201</w:t>
            </w:r>
          </w:p>
        </w:tc>
        <w:tc>
          <w:tcPr>
            <w:tcW w:w="3267" w:type="dxa"/>
            <w:tcBorders>
              <w:top w:val="single" w:sz="4" w:space="0" w:color="auto"/>
              <w:left w:val="nil"/>
              <w:bottom w:val="single" w:sz="4" w:space="0" w:color="auto"/>
              <w:right w:val="nil"/>
            </w:tcBorders>
            <w:shd w:val="clear" w:color="auto" w:fill="FFFFFF" w:themeFill="background1"/>
            <w:vAlign w:val="bottom"/>
          </w:tcPr>
          <w:p w:rsidR="00313D8E" w:rsidRPr="00431AE8" w:rsidRDefault="00313D8E" w:rsidP="003006EA">
            <w:pPr>
              <w:pStyle w:val="Tabletext"/>
            </w:pPr>
            <w:r>
              <w:rPr>
                <w:rFonts w:ascii="Calibri" w:hAnsi="Calibri"/>
                <w:color w:val="000000"/>
                <w:szCs w:val="22"/>
              </w:rPr>
              <w:t>Computer Science</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665"/>
              <w:jc w:val="right"/>
            </w:pPr>
            <w:r w:rsidRPr="00CF0001">
              <w:t>5.560%</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578"/>
              <w:jc w:val="right"/>
            </w:pPr>
            <w:r w:rsidRPr="00CF0001">
              <w:t>0.826%</w:t>
            </w:r>
          </w:p>
        </w:tc>
      </w:tr>
      <w:tr w:rsidR="00313D8E" w:rsidTr="004425F8">
        <w:trPr>
          <w:cantSplit/>
        </w:trPr>
        <w:tc>
          <w:tcPr>
            <w:tcW w:w="1138" w:type="dxa"/>
            <w:tcBorders>
              <w:top w:val="single" w:sz="4" w:space="0" w:color="auto"/>
              <w:left w:val="nil"/>
              <w:bottom w:val="single" w:sz="4" w:space="0" w:color="auto"/>
              <w:right w:val="nil"/>
            </w:tcBorders>
            <w:shd w:val="clear" w:color="auto" w:fill="FFFFFF" w:themeFill="background1"/>
          </w:tcPr>
          <w:p w:rsidR="00313D8E" w:rsidRDefault="00313D8E" w:rsidP="003006EA">
            <w:pPr>
              <w:pStyle w:val="Tabletext"/>
            </w:pPr>
            <w:r w:rsidRPr="00DC5757">
              <w:t>0805</w:t>
            </w:r>
          </w:p>
        </w:tc>
        <w:tc>
          <w:tcPr>
            <w:tcW w:w="3267" w:type="dxa"/>
            <w:tcBorders>
              <w:top w:val="single" w:sz="4" w:space="0" w:color="auto"/>
              <w:left w:val="nil"/>
              <w:bottom w:val="single" w:sz="4" w:space="0" w:color="auto"/>
              <w:right w:val="nil"/>
            </w:tcBorders>
            <w:shd w:val="clear" w:color="auto" w:fill="FFFFFF" w:themeFill="background1"/>
            <w:vAlign w:val="bottom"/>
          </w:tcPr>
          <w:p w:rsidR="00313D8E" w:rsidRPr="00431AE8" w:rsidRDefault="00313D8E" w:rsidP="003006EA">
            <w:pPr>
              <w:pStyle w:val="Tabletext"/>
            </w:pPr>
            <w:r>
              <w:rPr>
                <w:rFonts w:ascii="Calibri" w:hAnsi="Calibri"/>
                <w:color w:val="000000"/>
                <w:szCs w:val="22"/>
              </w:rPr>
              <w:t>Sales and Marketing</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665"/>
              <w:jc w:val="right"/>
            </w:pPr>
            <w:r w:rsidRPr="00CF0001">
              <w:t>6.582%</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578"/>
              <w:jc w:val="right"/>
            </w:pPr>
            <w:r w:rsidRPr="00CF0001">
              <w:t>2.461%</w:t>
            </w:r>
          </w:p>
        </w:tc>
      </w:tr>
      <w:tr w:rsidR="00313D8E" w:rsidTr="004425F8">
        <w:trPr>
          <w:cantSplit/>
        </w:trPr>
        <w:tc>
          <w:tcPr>
            <w:tcW w:w="1138" w:type="dxa"/>
            <w:tcBorders>
              <w:top w:val="single" w:sz="4" w:space="0" w:color="auto"/>
              <w:left w:val="nil"/>
              <w:bottom w:val="single" w:sz="4" w:space="0" w:color="auto"/>
              <w:right w:val="nil"/>
            </w:tcBorders>
            <w:shd w:val="clear" w:color="auto" w:fill="FFFFFF" w:themeFill="background1"/>
          </w:tcPr>
          <w:p w:rsidR="00313D8E" w:rsidRDefault="00313D8E" w:rsidP="003006EA">
            <w:pPr>
              <w:pStyle w:val="Tabletext"/>
            </w:pPr>
            <w:r w:rsidRPr="00DC5757">
              <w:t>1003</w:t>
            </w:r>
          </w:p>
        </w:tc>
        <w:tc>
          <w:tcPr>
            <w:tcW w:w="3267" w:type="dxa"/>
            <w:tcBorders>
              <w:top w:val="single" w:sz="4" w:space="0" w:color="auto"/>
              <w:left w:val="nil"/>
              <w:bottom w:val="single" w:sz="4" w:space="0" w:color="auto"/>
              <w:right w:val="nil"/>
            </w:tcBorders>
            <w:shd w:val="clear" w:color="auto" w:fill="FFFFFF" w:themeFill="background1"/>
            <w:vAlign w:val="bottom"/>
          </w:tcPr>
          <w:p w:rsidR="00313D8E" w:rsidRPr="00431AE8" w:rsidRDefault="00313D8E" w:rsidP="003006EA">
            <w:pPr>
              <w:pStyle w:val="Tabletext"/>
            </w:pPr>
            <w:r>
              <w:rPr>
                <w:rFonts w:ascii="Calibri" w:hAnsi="Calibri"/>
                <w:color w:val="000000"/>
                <w:szCs w:val="22"/>
              </w:rPr>
              <w:t>Visual Arts and Crafts</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665"/>
              <w:jc w:val="right"/>
            </w:pPr>
            <w:r w:rsidRPr="00CF0001">
              <w:t>3.522%</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578"/>
              <w:jc w:val="right"/>
            </w:pPr>
            <w:r w:rsidRPr="00CF0001">
              <w:t>0.522%</w:t>
            </w:r>
          </w:p>
        </w:tc>
      </w:tr>
      <w:tr w:rsidR="00313D8E" w:rsidTr="004425F8">
        <w:trPr>
          <w:cantSplit/>
        </w:trPr>
        <w:tc>
          <w:tcPr>
            <w:tcW w:w="1138" w:type="dxa"/>
            <w:tcBorders>
              <w:top w:val="single" w:sz="4" w:space="0" w:color="auto"/>
              <w:left w:val="nil"/>
              <w:bottom w:val="single" w:sz="4" w:space="0" w:color="auto"/>
              <w:right w:val="nil"/>
            </w:tcBorders>
            <w:shd w:val="clear" w:color="auto" w:fill="FFFFFF" w:themeFill="background1"/>
          </w:tcPr>
          <w:p w:rsidR="00313D8E" w:rsidRDefault="00313D8E" w:rsidP="003006EA">
            <w:pPr>
              <w:pStyle w:val="Tabletext"/>
            </w:pPr>
            <w:r w:rsidRPr="00DC5757">
              <w:t>0913</w:t>
            </w:r>
          </w:p>
        </w:tc>
        <w:tc>
          <w:tcPr>
            <w:tcW w:w="3267" w:type="dxa"/>
            <w:tcBorders>
              <w:top w:val="single" w:sz="4" w:space="0" w:color="auto"/>
              <w:left w:val="nil"/>
              <w:bottom w:val="single" w:sz="4" w:space="0" w:color="auto"/>
              <w:right w:val="nil"/>
            </w:tcBorders>
            <w:shd w:val="clear" w:color="auto" w:fill="FFFFFF" w:themeFill="background1"/>
            <w:vAlign w:val="bottom"/>
          </w:tcPr>
          <w:p w:rsidR="00313D8E" w:rsidRPr="00431AE8" w:rsidRDefault="00313D8E" w:rsidP="003006EA">
            <w:pPr>
              <w:pStyle w:val="Tabletext"/>
            </w:pPr>
            <w:r>
              <w:rPr>
                <w:rFonts w:ascii="Calibri" w:hAnsi="Calibri"/>
                <w:color w:val="000000"/>
                <w:szCs w:val="22"/>
              </w:rPr>
              <w:t>Librarianship, Information Management and Curatorial Studies</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665"/>
              <w:jc w:val="right"/>
            </w:pPr>
            <w:r w:rsidRPr="00CF0001">
              <w:t>2.357%</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578"/>
              <w:jc w:val="right"/>
            </w:pPr>
            <w:r w:rsidRPr="00CF0001">
              <w:t>0.264%</w:t>
            </w:r>
          </w:p>
        </w:tc>
      </w:tr>
      <w:tr w:rsidR="00313D8E" w:rsidTr="004425F8">
        <w:trPr>
          <w:cantSplit/>
        </w:trPr>
        <w:tc>
          <w:tcPr>
            <w:tcW w:w="1138" w:type="dxa"/>
            <w:tcBorders>
              <w:top w:val="single" w:sz="4" w:space="0" w:color="auto"/>
              <w:left w:val="nil"/>
              <w:bottom w:val="single" w:sz="4" w:space="0" w:color="auto"/>
              <w:right w:val="nil"/>
            </w:tcBorders>
            <w:shd w:val="clear" w:color="auto" w:fill="FFFFFF" w:themeFill="background1"/>
          </w:tcPr>
          <w:p w:rsidR="00313D8E" w:rsidRDefault="00313D8E" w:rsidP="003006EA">
            <w:pPr>
              <w:pStyle w:val="Tabletext"/>
            </w:pPr>
            <w:r w:rsidRPr="00DC5757">
              <w:t>1001</w:t>
            </w:r>
          </w:p>
        </w:tc>
        <w:tc>
          <w:tcPr>
            <w:tcW w:w="3267" w:type="dxa"/>
            <w:tcBorders>
              <w:top w:val="single" w:sz="4" w:space="0" w:color="auto"/>
              <w:left w:val="nil"/>
              <w:bottom w:val="single" w:sz="4" w:space="0" w:color="auto"/>
              <w:right w:val="nil"/>
            </w:tcBorders>
            <w:shd w:val="clear" w:color="auto" w:fill="FFFFFF" w:themeFill="background1"/>
            <w:vAlign w:val="bottom"/>
          </w:tcPr>
          <w:p w:rsidR="00313D8E" w:rsidRPr="00431AE8" w:rsidRDefault="00313D8E" w:rsidP="003006EA">
            <w:pPr>
              <w:pStyle w:val="Tabletext"/>
            </w:pPr>
            <w:r>
              <w:rPr>
                <w:rFonts w:ascii="Calibri" w:hAnsi="Calibri"/>
                <w:color w:val="000000"/>
                <w:szCs w:val="22"/>
              </w:rPr>
              <w:t>Performing Arts</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665"/>
              <w:jc w:val="right"/>
            </w:pPr>
            <w:r w:rsidRPr="00CF0001">
              <w:t>2.391%</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578"/>
              <w:jc w:val="right"/>
            </w:pPr>
            <w:r w:rsidRPr="00CF0001">
              <w:t>0.543%</w:t>
            </w:r>
          </w:p>
        </w:tc>
      </w:tr>
      <w:tr w:rsidR="00313D8E" w:rsidTr="004425F8">
        <w:trPr>
          <w:cantSplit/>
        </w:trPr>
        <w:tc>
          <w:tcPr>
            <w:tcW w:w="1138" w:type="dxa"/>
            <w:tcBorders>
              <w:top w:val="single" w:sz="4" w:space="0" w:color="auto"/>
              <w:left w:val="nil"/>
              <w:bottom w:val="single" w:sz="4" w:space="0" w:color="auto"/>
              <w:right w:val="nil"/>
            </w:tcBorders>
            <w:shd w:val="clear" w:color="auto" w:fill="FFFFFF" w:themeFill="background1"/>
          </w:tcPr>
          <w:p w:rsidR="00313D8E" w:rsidRDefault="00313D8E" w:rsidP="003006EA">
            <w:pPr>
              <w:pStyle w:val="Tabletext"/>
            </w:pPr>
            <w:r w:rsidRPr="00DC5757">
              <w:t>1000</w:t>
            </w:r>
          </w:p>
        </w:tc>
        <w:tc>
          <w:tcPr>
            <w:tcW w:w="3267" w:type="dxa"/>
            <w:tcBorders>
              <w:top w:val="single" w:sz="4" w:space="0" w:color="auto"/>
              <w:left w:val="nil"/>
              <w:bottom w:val="single" w:sz="4" w:space="0" w:color="auto"/>
              <w:right w:val="nil"/>
            </w:tcBorders>
            <w:shd w:val="clear" w:color="auto" w:fill="FFFFFF" w:themeFill="background1"/>
            <w:vAlign w:val="bottom"/>
          </w:tcPr>
          <w:p w:rsidR="00313D8E" w:rsidRPr="00431AE8" w:rsidRDefault="00313D8E" w:rsidP="003006EA">
            <w:pPr>
              <w:pStyle w:val="Tabletext"/>
            </w:pPr>
            <w:r>
              <w:rPr>
                <w:rFonts w:ascii="Calibri" w:hAnsi="Calibri"/>
                <w:color w:val="000000"/>
                <w:szCs w:val="22"/>
              </w:rPr>
              <w:t>Creative Arts, nfd</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665"/>
              <w:jc w:val="right"/>
            </w:pPr>
            <w:r w:rsidRPr="00CF0001">
              <w:t>1.239%</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578"/>
              <w:jc w:val="right"/>
            </w:pPr>
            <w:r w:rsidRPr="00CF0001">
              <w:t>0.192%</w:t>
            </w:r>
          </w:p>
        </w:tc>
      </w:tr>
      <w:tr w:rsidR="00313D8E" w:rsidTr="004425F8">
        <w:trPr>
          <w:cantSplit/>
        </w:trPr>
        <w:tc>
          <w:tcPr>
            <w:tcW w:w="1138" w:type="dxa"/>
            <w:tcBorders>
              <w:top w:val="single" w:sz="4" w:space="0" w:color="auto"/>
              <w:left w:val="nil"/>
              <w:bottom w:val="single" w:sz="4" w:space="0" w:color="auto"/>
              <w:right w:val="nil"/>
            </w:tcBorders>
            <w:shd w:val="clear" w:color="auto" w:fill="FFFFFF" w:themeFill="background1"/>
          </w:tcPr>
          <w:p w:rsidR="00313D8E" w:rsidRDefault="00313D8E" w:rsidP="003006EA">
            <w:pPr>
              <w:pStyle w:val="Tabletext"/>
            </w:pPr>
            <w:r w:rsidRPr="00DC5757">
              <w:t>0903</w:t>
            </w:r>
          </w:p>
        </w:tc>
        <w:tc>
          <w:tcPr>
            <w:tcW w:w="3267" w:type="dxa"/>
            <w:tcBorders>
              <w:top w:val="single" w:sz="4" w:space="0" w:color="auto"/>
              <w:left w:val="nil"/>
              <w:bottom w:val="single" w:sz="4" w:space="0" w:color="auto"/>
              <w:right w:val="nil"/>
            </w:tcBorders>
            <w:shd w:val="clear" w:color="auto" w:fill="FFFFFF" w:themeFill="background1"/>
            <w:vAlign w:val="bottom"/>
          </w:tcPr>
          <w:p w:rsidR="00313D8E" w:rsidRPr="00431AE8" w:rsidRDefault="00313D8E" w:rsidP="003006EA">
            <w:pPr>
              <w:pStyle w:val="Tabletext"/>
            </w:pPr>
            <w:r>
              <w:rPr>
                <w:rFonts w:ascii="Calibri" w:hAnsi="Calibri"/>
                <w:color w:val="000000"/>
                <w:szCs w:val="22"/>
              </w:rPr>
              <w:t>Studies in Human Society</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665"/>
              <w:jc w:val="right"/>
            </w:pPr>
            <w:r w:rsidRPr="00CF0001">
              <w:t>1.277%</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578"/>
              <w:jc w:val="right"/>
            </w:pPr>
            <w:r w:rsidRPr="00CF0001">
              <w:t>0.673%</w:t>
            </w:r>
          </w:p>
        </w:tc>
      </w:tr>
      <w:tr w:rsidR="00313D8E" w:rsidTr="004425F8">
        <w:trPr>
          <w:cantSplit/>
        </w:trPr>
        <w:tc>
          <w:tcPr>
            <w:tcW w:w="1138" w:type="dxa"/>
            <w:tcBorders>
              <w:top w:val="single" w:sz="4" w:space="0" w:color="auto"/>
              <w:left w:val="nil"/>
              <w:bottom w:val="single" w:sz="4" w:space="0" w:color="auto"/>
              <w:right w:val="nil"/>
            </w:tcBorders>
            <w:shd w:val="clear" w:color="auto" w:fill="FFFFFF" w:themeFill="background1"/>
          </w:tcPr>
          <w:p w:rsidR="00313D8E" w:rsidRDefault="00313D8E" w:rsidP="003006EA">
            <w:pPr>
              <w:pStyle w:val="Tabletext"/>
            </w:pPr>
            <w:r w:rsidRPr="00DC5757">
              <w:t>0915</w:t>
            </w:r>
          </w:p>
        </w:tc>
        <w:tc>
          <w:tcPr>
            <w:tcW w:w="3267" w:type="dxa"/>
            <w:tcBorders>
              <w:top w:val="single" w:sz="4" w:space="0" w:color="auto"/>
              <w:left w:val="nil"/>
              <w:bottom w:val="single" w:sz="4" w:space="0" w:color="auto"/>
              <w:right w:val="nil"/>
            </w:tcBorders>
            <w:shd w:val="clear" w:color="auto" w:fill="FFFFFF" w:themeFill="background1"/>
            <w:vAlign w:val="bottom"/>
          </w:tcPr>
          <w:p w:rsidR="00313D8E" w:rsidRPr="00431AE8" w:rsidRDefault="00313D8E" w:rsidP="003006EA">
            <w:pPr>
              <w:pStyle w:val="Tabletext"/>
            </w:pPr>
            <w:r>
              <w:rPr>
                <w:rFonts w:ascii="Calibri" w:hAnsi="Calibri"/>
                <w:color w:val="000000"/>
                <w:szCs w:val="22"/>
              </w:rPr>
              <w:t>Language and Literature</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665"/>
              <w:jc w:val="right"/>
            </w:pPr>
            <w:r w:rsidRPr="00CF0001">
              <w:t>1.257%</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578"/>
              <w:jc w:val="right"/>
            </w:pPr>
            <w:r w:rsidRPr="00CF0001">
              <w:t>0.671%</w:t>
            </w:r>
          </w:p>
        </w:tc>
      </w:tr>
      <w:tr w:rsidR="00313D8E" w:rsidTr="004425F8">
        <w:trPr>
          <w:cantSplit/>
        </w:trPr>
        <w:tc>
          <w:tcPr>
            <w:tcW w:w="1138" w:type="dxa"/>
            <w:tcBorders>
              <w:top w:val="single" w:sz="4" w:space="0" w:color="auto"/>
              <w:left w:val="nil"/>
              <w:bottom w:val="single" w:sz="4" w:space="0" w:color="auto"/>
              <w:right w:val="nil"/>
            </w:tcBorders>
            <w:shd w:val="clear" w:color="auto" w:fill="FFFFFF" w:themeFill="background1"/>
          </w:tcPr>
          <w:p w:rsidR="00313D8E" w:rsidRDefault="00313D8E" w:rsidP="003006EA">
            <w:pPr>
              <w:pStyle w:val="Tabletext"/>
            </w:pPr>
            <w:r w:rsidRPr="00DC5757">
              <w:t>0203</w:t>
            </w:r>
          </w:p>
        </w:tc>
        <w:tc>
          <w:tcPr>
            <w:tcW w:w="3267" w:type="dxa"/>
            <w:tcBorders>
              <w:top w:val="single" w:sz="4" w:space="0" w:color="auto"/>
              <w:left w:val="nil"/>
              <w:bottom w:val="single" w:sz="4" w:space="0" w:color="auto"/>
              <w:right w:val="nil"/>
            </w:tcBorders>
            <w:shd w:val="clear" w:color="auto" w:fill="FFFFFF" w:themeFill="background1"/>
            <w:vAlign w:val="bottom"/>
          </w:tcPr>
          <w:p w:rsidR="00313D8E" w:rsidRPr="00431AE8" w:rsidRDefault="00313D8E" w:rsidP="003006EA">
            <w:pPr>
              <w:pStyle w:val="Tabletext"/>
            </w:pPr>
            <w:r>
              <w:rPr>
                <w:rFonts w:ascii="Calibri" w:hAnsi="Calibri"/>
                <w:color w:val="000000"/>
                <w:szCs w:val="22"/>
              </w:rPr>
              <w:t>Information Systems</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665"/>
              <w:jc w:val="right"/>
            </w:pPr>
            <w:r w:rsidRPr="00CF0001">
              <w:t>0.578%</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578"/>
              <w:jc w:val="right"/>
            </w:pPr>
            <w:r w:rsidRPr="00CF0001">
              <w:t>0.172%</w:t>
            </w:r>
          </w:p>
        </w:tc>
      </w:tr>
      <w:tr w:rsidR="00313D8E" w:rsidTr="004425F8">
        <w:trPr>
          <w:cantSplit/>
        </w:trPr>
        <w:tc>
          <w:tcPr>
            <w:tcW w:w="1138" w:type="dxa"/>
            <w:tcBorders>
              <w:top w:val="single" w:sz="4" w:space="0" w:color="auto"/>
              <w:left w:val="nil"/>
              <w:bottom w:val="single" w:sz="4" w:space="0" w:color="auto"/>
              <w:right w:val="nil"/>
            </w:tcBorders>
            <w:shd w:val="clear" w:color="auto" w:fill="FFFFFF" w:themeFill="background1"/>
          </w:tcPr>
          <w:p w:rsidR="00313D8E" w:rsidRDefault="00313D8E" w:rsidP="003006EA">
            <w:pPr>
              <w:pStyle w:val="Tabletext"/>
            </w:pPr>
            <w:r w:rsidRPr="00DC5757">
              <w:t>0101</w:t>
            </w:r>
          </w:p>
        </w:tc>
        <w:tc>
          <w:tcPr>
            <w:tcW w:w="3267" w:type="dxa"/>
            <w:tcBorders>
              <w:top w:val="single" w:sz="4" w:space="0" w:color="auto"/>
              <w:left w:val="nil"/>
              <w:bottom w:val="single" w:sz="4" w:space="0" w:color="auto"/>
              <w:right w:val="nil"/>
            </w:tcBorders>
            <w:shd w:val="clear" w:color="auto" w:fill="FFFFFF" w:themeFill="background1"/>
            <w:vAlign w:val="bottom"/>
          </w:tcPr>
          <w:p w:rsidR="00313D8E" w:rsidRPr="00431AE8" w:rsidRDefault="00313D8E" w:rsidP="003006EA">
            <w:pPr>
              <w:pStyle w:val="Tabletext"/>
            </w:pPr>
            <w:r>
              <w:rPr>
                <w:rFonts w:ascii="Calibri" w:hAnsi="Calibri"/>
                <w:color w:val="000000"/>
                <w:szCs w:val="22"/>
              </w:rPr>
              <w:t>Mathematical Sciences</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665"/>
              <w:jc w:val="right"/>
            </w:pPr>
            <w:r w:rsidRPr="00CF0001">
              <w:t>0.657%</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578"/>
              <w:jc w:val="right"/>
            </w:pPr>
            <w:r w:rsidRPr="00CF0001">
              <w:t>0.304%</w:t>
            </w:r>
          </w:p>
        </w:tc>
      </w:tr>
      <w:tr w:rsidR="00313D8E" w:rsidTr="004425F8">
        <w:trPr>
          <w:cantSplit/>
        </w:trPr>
        <w:tc>
          <w:tcPr>
            <w:tcW w:w="1138" w:type="dxa"/>
            <w:tcBorders>
              <w:top w:val="single" w:sz="4" w:space="0" w:color="auto"/>
              <w:left w:val="nil"/>
              <w:bottom w:val="single" w:sz="4" w:space="0" w:color="auto"/>
              <w:right w:val="nil"/>
            </w:tcBorders>
            <w:shd w:val="clear" w:color="auto" w:fill="FFFFFF" w:themeFill="background1"/>
          </w:tcPr>
          <w:p w:rsidR="00313D8E" w:rsidRDefault="00313D8E" w:rsidP="003006EA">
            <w:pPr>
              <w:pStyle w:val="Tabletext"/>
            </w:pPr>
            <w:r w:rsidRPr="00DC5757">
              <w:t>0901</w:t>
            </w:r>
          </w:p>
        </w:tc>
        <w:tc>
          <w:tcPr>
            <w:tcW w:w="3267" w:type="dxa"/>
            <w:tcBorders>
              <w:top w:val="single" w:sz="4" w:space="0" w:color="auto"/>
              <w:left w:val="nil"/>
              <w:bottom w:val="single" w:sz="4" w:space="0" w:color="auto"/>
              <w:right w:val="nil"/>
            </w:tcBorders>
            <w:shd w:val="clear" w:color="auto" w:fill="FFFFFF" w:themeFill="background1"/>
            <w:vAlign w:val="bottom"/>
          </w:tcPr>
          <w:p w:rsidR="00313D8E" w:rsidRPr="00431AE8" w:rsidRDefault="00313D8E" w:rsidP="003006EA">
            <w:pPr>
              <w:pStyle w:val="Tabletext"/>
            </w:pPr>
            <w:r>
              <w:rPr>
                <w:rFonts w:ascii="Calibri" w:hAnsi="Calibri"/>
                <w:color w:val="000000"/>
                <w:szCs w:val="22"/>
              </w:rPr>
              <w:t>Political Science and Policy Studies</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665"/>
              <w:jc w:val="right"/>
            </w:pPr>
            <w:r w:rsidRPr="00CF0001">
              <w:t>0.550%</w:t>
            </w:r>
          </w:p>
        </w:tc>
        <w:tc>
          <w:tcPr>
            <w:tcW w:w="2464" w:type="dxa"/>
            <w:tcBorders>
              <w:top w:val="single" w:sz="4" w:space="0" w:color="auto"/>
              <w:left w:val="nil"/>
              <w:bottom w:val="single" w:sz="4" w:space="0" w:color="auto"/>
              <w:right w:val="nil"/>
            </w:tcBorders>
            <w:shd w:val="clear" w:color="auto" w:fill="FFFFFF" w:themeFill="background1"/>
          </w:tcPr>
          <w:p w:rsidR="00313D8E" w:rsidRPr="00431AE8" w:rsidRDefault="00313D8E" w:rsidP="003006EA">
            <w:pPr>
              <w:pStyle w:val="Tabletextcentred"/>
              <w:ind w:right="578"/>
              <w:jc w:val="right"/>
            </w:pPr>
            <w:r w:rsidRPr="00CF0001">
              <w:t>0.385%</w:t>
            </w:r>
          </w:p>
        </w:tc>
      </w:tr>
      <w:tr w:rsidR="00313D8E" w:rsidTr="004425F8">
        <w:trPr>
          <w:cantSplit/>
        </w:trPr>
        <w:tc>
          <w:tcPr>
            <w:tcW w:w="1138" w:type="dxa"/>
            <w:tcBorders>
              <w:top w:val="single" w:sz="4" w:space="0" w:color="auto"/>
              <w:left w:val="nil"/>
              <w:bottom w:val="single" w:sz="4" w:space="0" w:color="auto"/>
              <w:right w:val="nil"/>
            </w:tcBorders>
            <w:shd w:val="clear" w:color="auto" w:fill="FFFFFF" w:themeFill="background1"/>
          </w:tcPr>
          <w:p w:rsidR="00313D8E" w:rsidRPr="00CC6F1D" w:rsidRDefault="00313D8E" w:rsidP="003006EA">
            <w:pPr>
              <w:pStyle w:val="Tabletext"/>
            </w:pPr>
            <w:r w:rsidRPr="00DC5757">
              <w:t>0900</w:t>
            </w:r>
          </w:p>
        </w:tc>
        <w:tc>
          <w:tcPr>
            <w:tcW w:w="3267" w:type="dxa"/>
            <w:tcBorders>
              <w:top w:val="single" w:sz="4" w:space="0" w:color="auto"/>
              <w:left w:val="nil"/>
              <w:bottom w:val="single" w:sz="4" w:space="0" w:color="auto"/>
              <w:right w:val="nil"/>
            </w:tcBorders>
            <w:shd w:val="clear" w:color="auto" w:fill="FFFFFF" w:themeFill="background1"/>
            <w:vAlign w:val="bottom"/>
          </w:tcPr>
          <w:p w:rsidR="00313D8E" w:rsidRPr="00B34622" w:rsidRDefault="00313D8E" w:rsidP="003006EA">
            <w:pPr>
              <w:pStyle w:val="Tabletext"/>
            </w:pPr>
            <w:r>
              <w:rPr>
                <w:rFonts w:ascii="Calibri" w:hAnsi="Calibri"/>
                <w:color w:val="000000"/>
                <w:szCs w:val="22"/>
              </w:rPr>
              <w:t>Society and Culture, nfd</w:t>
            </w:r>
          </w:p>
        </w:tc>
        <w:tc>
          <w:tcPr>
            <w:tcW w:w="2464" w:type="dxa"/>
            <w:tcBorders>
              <w:top w:val="single" w:sz="4" w:space="0" w:color="auto"/>
              <w:left w:val="nil"/>
              <w:bottom w:val="single" w:sz="4" w:space="0" w:color="auto"/>
              <w:right w:val="nil"/>
            </w:tcBorders>
            <w:shd w:val="clear" w:color="auto" w:fill="FFFFFF" w:themeFill="background1"/>
          </w:tcPr>
          <w:p w:rsidR="00313D8E" w:rsidRPr="00B34622" w:rsidRDefault="00313D8E" w:rsidP="003006EA">
            <w:pPr>
              <w:pStyle w:val="Tabletextcentred"/>
              <w:ind w:right="665"/>
              <w:jc w:val="right"/>
            </w:pPr>
            <w:r w:rsidRPr="00CF0001">
              <w:t>0.649%</w:t>
            </w:r>
          </w:p>
        </w:tc>
        <w:tc>
          <w:tcPr>
            <w:tcW w:w="2464" w:type="dxa"/>
            <w:tcBorders>
              <w:top w:val="single" w:sz="4" w:space="0" w:color="auto"/>
              <w:left w:val="nil"/>
              <w:bottom w:val="single" w:sz="4" w:space="0" w:color="auto"/>
              <w:right w:val="nil"/>
            </w:tcBorders>
            <w:shd w:val="clear" w:color="auto" w:fill="FFFFFF" w:themeFill="background1"/>
          </w:tcPr>
          <w:p w:rsidR="00313D8E" w:rsidRPr="00B34622" w:rsidRDefault="00313D8E" w:rsidP="003006EA">
            <w:pPr>
              <w:pStyle w:val="Tabletextcentred"/>
              <w:ind w:right="578"/>
              <w:jc w:val="right"/>
            </w:pPr>
            <w:r w:rsidRPr="00CF0001">
              <w:t>0.532%</w:t>
            </w:r>
          </w:p>
        </w:tc>
      </w:tr>
      <w:tr w:rsidR="00313D8E" w:rsidTr="004425F8">
        <w:trPr>
          <w:cantSplit/>
        </w:trPr>
        <w:tc>
          <w:tcPr>
            <w:tcW w:w="1138" w:type="dxa"/>
            <w:tcBorders>
              <w:top w:val="single" w:sz="4" w:space="0" w:color="auto"/>
              <w:left w:val="nil"/>
              <w:bottom w:val="single" w:sz="4" w:space="0" w:color="auto"/>
              <w:right w:val="nil"/>
            </w:tcBorders>
            <w:shd w:val="clear" w:color="auto" w:fill="FFFFFF" w:themeFill="background1"/>
          </w:tcPr>
          <w:p w:rsidR="00313D8E" w:rsidRPr="00CC6F1D" w:rsidRDefault="00313D8E" w:rsidP="003006EA">
            <w:pPr>
              <w:pStyle w:val="Tabletext"/>
            </w:pPr>
            <w:r w:rsidRPr="00DC5757">
              <w:t>0103</w:t>
            </w:r>
          </w:p>
        </w:tc>
        <w:tc>
          <w:tcPr>
            <w:tcW w:w="3267" w:type="dxa"/>
            <w:tcBorders>
              <w:top w:val="single" w:sz="4" w:space="0" w:color="auto"/>
              <w:left w:val="nil"/>
              <w:bottom w:val="single" w:sz="4" w:space="0" w:color="auto"/>
              <w:right w:val="nil"/>
            </w:tcBorders>
            <w:shd w:val="clear" w:color="auto" w:fill="FFFFFF" w:themeFill="background1"/>
            <w:vAlign w:val="bottom"/>
          </w:tcPr>
          <w:p w:rsidR="00313D8E" w:rsidRPr="00B34622" w:rsidRDefault="00313D8E" w:rsidP="003006EA">
            <w:pPr>
              <w:pStyle w:val="Tabletext"/>
            </w:pPr>
            <w:r>
              <w:rPr>
                <w:rFonts w:ascii="Calibri" w:hAnsi="Calibri"/>
                <w:color w:val="000000"/>
                <w:szCs w:val="22"/>
              </w:rPr>
              <w:t>Physics and Astronomy</w:t>
            </w:r>
          </w:p>
        </w:tc>
        <w:tc>
          <w:tcPr>
            <w:tcW w:w="2464" w:type="dxa"/>
            <w:tcBorders>
              <w:top w:val="single" w:sz="4" w:space="0" w:color="auto"/>
              <w:left w:val="nil"/>
              <w:bottom w:val="single" w:sz="4" w:space="0" w:color="auto"/>
              <w:right w:val="nil"/>
            </w:tcBorders>
            <w:shd w:val="clear" w:color="auto" w:fill="FFFFFF" w:themeFill="background1"/>
          </w:tcPr>
          <w:p w:rsidR="00313D8E" w:rsidRPr="00B34622" w:rsidRDefault="00313D8E" w:rsidP="003006EA">
            <w:pPr>
              <w:pStyle w:val="Tabletextcentred"/>
              <w:ind w:right="665"/>
              <w:jc w:val="right"/>
            </w:pPr>
            <w:r w:rsidRPr="00CF0001">
              <w:t>0.246%</w:t>
            </w:r>
          </w:p>
        </w:tc>
        <w:tc>
          <w:tcPr>
            <w:tcW w:w="2464" w:type="dxa"/>
            <w:tcBorders>
              <w:top w:val="single" w:sz="4" w:space="0" w:color="auto"/>
              <w:left w:val="nil"/>
              <w:bottom w:val="single" w:sz="4" w:space="0" w:color="auto"/>
              <w:right w:val="nil"/>
            </w:tcBorders>
            <w:shd w:val="clear" w:color="auto" w:fill="FFFFFF" w:themeFill="background1"/>
          </w:tcPr>
          <w:p w:rsidR="00313D8E" w:rsidRPr="00B34622" w:rsidRDefault="00313D8E" w:rsidP="003006EA">
            <w:pPr>
              <w:pStyle w:val="Tabletextcentred"/>
              <w:ind w:right="578"/>
              <w:jc w:val="right"/>
            </w:pPr>
            <w:r w:rsidRPr="00CF0001">
              <w:t>0.137%</w:t>
            </w:r>
          </w:p>
        </w:tc>
      </w:tr>
      <w:tr w:rsidR="00313D8E" w:rsidTr="004425F8">
        <w:trPr>
          <w:cantSplit/>
        </w:trPr>
        <w:tc>
          <w:tcPr>
            <w:tcW w:w="1138" w:type="dxa"/>
            <w:tcBorders>
              <w:top w:val="single" w:sz="4" w:space="0" w:color="auto"/>
              <w:left w:val="nil"/>
              <w:bottom w:val="single" w:sz="4" w:space="0" w:color="auto"/>
              <w:right w:val="nil"/>
            </w:tcBorders>
            <w:shd w:val="clear" w:color="auto" w:fill="FFFFFF" w:themeFill="background1"/>
          </w:tcPr>
          <w:p w:rsidR="00313D8E" w:rsidRPr="00D65D1A" w:rsidRDefault="00313D8E" w:rsidP="003006EA">
            <w:pPr>
              <w:pStyle w:val="Tabletext"/>
            </w:pPr>
            <w:r w:rsidRPr="00DC5757">
              <w:lastRenderedPageBreak/>
              <w:t>0800</w:t>
            </w:r>
          </w:p>
        </w:tc>
        <w:tc>
          <w:tcPr>
            <w:tcW w:w="3267" w:type="dxa"/>
            <w:tcBorders>
              <w:top w:val="single" w:sz="4" w:space="0" w:color="auto"/>
              <w:left w:val="nil"/>
              <w:bottom w:val="single" w:sz="4" w:space="0" w:color="auto"/>
              <w:right w:val="nil"/>
            </w:tcBorders>
            <w:shd w:val="clear" w:color="auto" w:fill="FFFFFF" w:themeFill="background1"/>
            <w:vAlign w:val="bottom"/>
          </w:tcPr>
          <w:p w:rsidR="00313D8E" w:rsidRPr="00B34622" w:rsidRDefault="00313D8E" w:rsidP="003006EA">
            <w:pPr>
              <w:pStyle w:val="Tabletext"/>
            </w:pPr>
            <w:r>
              <w:rPr>
                <w:rFonts w:ascii="Calibri" w:hAnsi="Calibri"/>
                <w:color w:val="000000"/>
                <w:szCs w:val="22"/>
              </w:rPr>
              <w:t>Management and Commerce, nfd</w:t>
            </w:r>
          </w:p>
        </w:tc>
        <w:tc>
          <w:tcPr>
            <w:tcW w:w="2464" w:type="dxa"/>
            <w:tcBorders>
              <w:top w:val="single" w:sz="4" w:space="0" w:color="auto"/>
              <w:left w:val="nil"/>
              <w:bottom w:val="single" w:sz="4" w:space="0" w:color="auto"/>
              <w:right w:val="nil"/>
            </w:tcBorders>
            <w:shd w:val="clear" w:color="auto" w:fill="FFFFFF" w:themeFill="background1"/>
          </w:tcPr>
          <w:p w:rsidR="00313D8E" w:rsidRPr="00B34622" w:rsidRDefault="00313D8E" w:rsidP="003006EA">
            <w:pPr>
              <w:pStyle w:val="Tabletextcentred"/>
              <w:ind w:right="665"/>
              <w:jc w:val="right"/>
            </w:pPr>
            <w:r w:rsidRPr="00CF0001">
              <w:t>1.693%</w:t>
            </w:r>
          </w:p>
        </w:tc>
        <w:tc>
          <w:tcPr>
            <w:tcW w:w="2464" w:type="dxa"/>
            <w:tcBorders>
              <w:top w:val="single" w:sz="4" w:space="0" w:color="auto"/>
              <w:left w:val="nil"/>
              <w:bottom w:val="single" w:sz="4" w:space="0" w:color="auto"/>
              <w:right w:val="nil"/>
            </w:tcBorders>
            <w:shd w:val="clear" w:color="auto" w:fill="FFFFFF" w:themeFill="background1"/>
          </w:tcPr>
          <w:p w:rsidR="00313D8E" w:rsidRPr="00B34622" w:rsidRDefault="00313D8E" w:rsidP="003006EA">
            <w:pPr>
              <w:pStyle w:val="Tabletextcentred"/>
              <w:ind w:right="578"/>
              <w:jc w:val="right"/>
            </w:pPr>
            <w:r w:rsidRPr="00CF0001">
              <w:t>1.589%</w:t>
            </w:r>
          </w:p>
        </w:tc>
      </w:tr>
      <w:tr w:rsidR="00313D8E" w:rsidTr="004425F8">
        <w:trPr>
          <w:cantSplit/>
        </w:trPr>
        <w:tc>
          <w:tcPr>
            <w:tcW w:w="1138" w:type="dxa"/>
            <w:tcBorders>
              <w:top w:val="single" w:sz="4" w:space="0" w:color="auto"/>
              <w:left w:val="nil"/>
              <w:bottom w:val="single" w:sz="4" w:space="0" w:color="auto"/>
              <w:right w:val="nil"/>
            </w:tcBorders>
            <w:shd w:val="clear" w:color="auto" w:fill="FFFFFF" w:themeFill="background1"/>
          </w:tcPr>
          <w:p w:rsidR="00313D8E" w:rsidRPr="00D65D1A" w:rsidRDefault="00313D8E" w:rsidP="003006EA">
            <w:pPr>
              <w:pStyle w:val="Tabletext"/>
            </w:pPr>
            <w:r w:rsidRPr="00DC5757">
              <w:t>0919</w:t>
            </w:r>
          </w:p>
        </w:tc>
        <w:tc>
          <w:tcPr>
            <w:tcW w:w="3267" w:type="dxa"/>
            <w:tcBorders>
              <w:top w:val="single" w:sz="4" w:space="0" w:color="auto"/>
              <w:left w:val="nil"/>
              <w:bottom w:val="single" w:sz="4" w:space="0" w:color="auto"/>
              <w:right w:val="nil"/>
            </w:tcBorders>
            <w:shd w:val="clear" w:color="auto" w:fill="FFFFFF" w:themeFill="background1"/>
            <w:vAlign w:val="bottom"/>
          </w:tcPr>
          <w:p w:rsidR="00313D8E" w:rsidRPr="00B34622" w:rsidRDefault="00313D8E" w:rsidP="003006EA">
            <w:pPr>
              <w:pStyle w:val="Tabletext"/>
            </w:pPr>
            <w:r>
              <w:rPr>
                <w:rFonts w:ascii="Calibri" w:hAnsi="Calibri"/>
                <w:color w:val="000000"/>
                <w:szCs w:val="22"/>
              </w:rPr>
              <w:t>Economics and Econometrics</w:t>
            </w:r>
          </w:p>
        </w:tc>
        <w:tc>
          <w:tcPr>
            <w:tcW w:w="2464" w:type="dxa"/>
            <w:tcBorders>
              <w:top w:val="single" w:sz="4" w:space="0" w:color="auto"/>
              <w:left w:val="nil"/>
              <w:bottom w:val="single" w:sz="4" w:space="0" w:color="auto"/>
              <w:right w:val="nil"/>
            </w:tcBorders>
            <w:shd w:val="clear" w:color="auto" w:fill="FFFFFF" w:themeFill="background1"/>
          </w:tcPr>
          <w:p w:rsidR="00313D8E" w:rsidRPr="00B34622" w:rsidRDefault="00313D8E" w:rsidP="003006EA">
            <w:pPr>
              <w:pStyle w:val="Tabletextcentred"/>
              <w:ind w:right="665"/>
              <w:jc w:val="right"/>
            </w:pPr>
            <w:r w:rsidRPr="00CF0001">
              <w:t>0.758%</w:t>
            </w:r>
          </w:p>
        </w:tc>
        <w:tc>
          <w:tcPr>
            <w:tcW w:w="2464" w:type="dxa"/>
            <w:tcBorders>
              <w:top w:val="single" w:sz="4" w:space="0" w:color="auto"/>
              <w:left w:val="nil"/>
              <w:bottom w:val="single" w:sz="4" w:space="0" w:color="auto"/>
              <w:right w:val="nil"/>
            </w:tcBorders>
            <w:shd w:val="clear" w:color="auto" w:fill="FFFFFF" w:themeFill="background1"/>
          </w:tcPr>
          <w:p w:rsidR="00313D8E" w:rsidRPr="00B34622" w:rsidRDefault="00313D8E" w:rsidP="003006EA">
            <w:pPr>
              <w:pStyle w:val="Tabletextcentred"/>
              <w:ind w:right="578"/>
              <w:jc w:val="right"/>
            </w:pPr>
            <w:r w:rsidRPr="00CF0001">
              <w:t>0.733%</w:t>
            </w:r>
          </w:p>
        </w:tc>
      </w:tr>
      <w:tr w:rsidR="00313D8E" w:rsidTr="004425F8">
        <w:trPr>
          <w:cantSplit/>
        </w:trPr>
        <w:tc>
          <w:tcPr>
            <w:tcW w:w="1138" w:type="dxa"/>
            <w:tcBorders>
              <w:top w:val="single" w:sz="4" w:space="0" w:color="auto"/>
              <w:left w:val="nil"/>
              <w:bottom w:val="single" w:sz="4" w:space="0" w:color="auto"/>
              <w:right w:val="nil"/>
            </w:tcBorders>
            <w:shd w:val="clear" w:color="auto" w:fill="FFFFFF" w:themeFill="background1"/>
          </w:tcPr>
          <w:p w:rsidR="00313D8E" w:rsidRPr="00D65D1A" w:rsidRDefault="00313D8E" w:rsidP="003006EA">
            <w:pPr>
              <w:pStyle w:val="Tabletext"/>
            </w:pPr>
            <w:r w:rsidRPr="00DC5757">
              <w:t>0400</w:t>
            </w:r>
          </w:p>
        </w:tc>
        <w:tc>
          <w:tcPr>
            <w:tcW w:w="3267" w:type="dxa"/>
            <w:tcBorders>
              <w:top w:val="single" w:sz="4" w:space="0" w:color="auto"/>
              <w:left w:val="nil"/>
              <w:bottom w:val="single" w:sz="4" w:space="0" w:color="auto"/>
              <w:right w:val="nil"/>
            </w:tcBorders>
            <w:shd w:val="clear" w:color="auto" w:fill="FFFFFF" w:themeFill="background1"/>
            <w:vAlign w:val="bottom"/>
          </w:tcPr>
          <w:p w:rsidR="00313D8E" w:rsidRPr="00B34622" w:rsidRDefault="00313D8E" w:rsidP="003006EA">
            <w:pPr>
              <w:pStyle w:val="Tabletext"/>
            </w:pPr>
            <w:r>
              <w:rPr>
                <w:rFonts w:ascii="Calibri" w:hAnsi="Calibri"/>
                <w:color w:val="000000"/>
                <w:szCs w:val="22"/>
              </w:rPr>
              <w:t>Architecture and Building, nfd</w:t>
            </w:r>
          </w:p>
        </w:tc>
        <w:tc>
          <w:tcPr>
            <w:tcW w:w="2464" w:type="dxa"/>
            <w:tcBorders>
              <w:top w:val="single" w:sz="4" w:space="0" w:color="auto"/>
              <w:left w:val="nil"/>
              <w:bottom w:val="single" w:sz="4" w:space="0" w:color="auto"/>
              <w:right w:val="nil"/>
            </w:tcBorders>
            <w:shd w:val="clear" w:color="auto" w:fill="FFFFFF" w:themeFill="background1"/>
          </w:tcPr>
          <w:p w:rsidR="00313D8E" w:rsidRPr="00B34622" w:rsidRDefault="00313D8E" w:rsidP="003006EA">
            <w:pPr>
              <w:pStyle w:val="Tabletextcentred"/>
              <w:ind w:right="665"/>
              <w:jc w:val="right"/>
            </w:pPr>
            <w:r w:rsidRPr="00CF0001">
              <w:t>0.012%</w:t>
            </w:r>
          </w:p>
        </w:tc>
        <w:tc>
          <w:tcPr>
            <w:tcW w:w="2464" w:type="dxa"/>
            <w:tcBorders>
              <w:top w:val="single" w:sz="4" w:space="0" w:color="auto"/>
              <w:left w:val="nil"/>
              <w:bottom w:val="single" w:sz="4" w:space="0" w:color="auto"/>
              <w:right w:val="nil"/>
            </w:tcBorders>
            <w:shd w:val="clear" w:color="auto" w:fill="FFFFFF" w:themeFill="background1"/>
          </w:tcPr>
          <w:p w:rsidR="00313D8E" w:rsidRPr="00B34622" w:rsidRDefault="00313D8E" w:rsidP="003006EA">
            <w:pPr>
              <w:pStyle w:val="Tabletextcentred"/>
              <w:ind w:right="578"/>
              <w:jc w:val="right"/>
            </w:pPr>
            <w:r w:rsidRPr="00CF0001">
              <w:t>0.003%</w:t>
            </w:r>
          </w:p>
        </w:tc>
      </w:tr>
      <w:tr w:rsidR="00313D8E" w:rsidTr="003006EA">
        <w:trPr>
          <w:cantSplit/>
        </w:trPr>
        <w:tc>
          <w:tcPr>
            <w:tcW w:w="1138" w:type="dxa"/>
            <w:tcBorders>
              <w:top w:val="single" w:sz="4" w:space="0" w:color="auto"/>
              <w:left w:val="nil"/>
              <w:bottom w:val="single" w:sz="4" w:space="0" w:color="auto"/>
              <w:right w:val="nil"/>
            </w:tcBorders>
            <w:shd w:val="clear" w:color="auto" w:fill="FFFFFF" w:themeFill="background1"/>
          </w:tcPr>
          <w:p w:rsidR="00313D8E" w:rsidRPr="00D65D1A" w:rsidRDefault="00313D8E" w:rsidP="003006EA">
            <w:pPr>
              <w:pStyle w:val="Tabletext"/>
            </w:pPr>
            <w:r w:rsidRPr="00DC5757">
              <w:t>1099</w:t>
            </w:r>
          </w:p>
        </w:tc>
        <w:tc>
          <w:tcPr>
            <w:tcW w:w="3267" w:type="dxa"/>
            <w:tcBorders>
              <w:top w:val="single" w:sz="4" w:space="0" w:color="auto"/>
              <w:left w:val="nil"/>
              <w:bottom w:val="single" w:sz="4" w:space="0" w:color="auto"/>
              <w:right w:val="nil"/>
            </w:tcBorders>
            <w:shd w:val="clear" w:color="auto" w:fill="FFFFFF" w:themeFill="background1"/>
            <w:vAlign w:val="bottom"/>
          </w:tcPr>
          <w:p w:rsidR="00313D8E" w:rsidRPr="00B34622" w:rsidRDefault="00313D8E" w:rsidP="003006EA">
            <w:pPr>
              <w:pStyle w:val="Tabletext"/>
            </w:pPr>
            <w:r>
              <w:rPr>
                <w:rFonts w:ascii="Calibri" w:hAnsi="Calibri"/>
                <w:color w:val="000000"/>
                <w:szCs w:val="22"/>
              </w:rPr>
              <w:t>Other Creative Arts</w:t>
            </w:r>
          </w:p>
        </w:tc>
        <w:tc>
          <w:tcPr>
            <w:tcW w:w="2464" w:type="dxa"/>
            <w:tcBorders>
              <w:top w:val="single" w:sz="4" w:space="0" w:color="auto"/>
              <w:left w:val="nil"/>
              <w:bottom w:val="single" w:sz="4" w:space="0" w:color="auto"/>
              <w:right w:val="nil"/>
            </w:tcBorders>
            <w:shd w:val="clear" w:color="auto" w:fill="FFFFFF" w:themeFill="background1"/>
          </w:tcPr>
          <w:p w:rsidR="00313D8E" w:rsidRPr="00B34622" w:rsidRDefault="00313D8E" w:rsidP="003006EA">
            <w:pPr>
              <w:pStyle w:val="Tabletextcentred"/>
              <w:ind w:right="665"/>
              <w:jc w:val="right"/>
            </w:pPr>
            <w:r w:rsidRPr="00CF0001">
              <w:t>0.001%</w:t>
            </w:r>
          </w:p>
        </w:tc>
        <w:tc>
          <w:tcPr>
            <w:tcW w:w="2464" w:type="dxa"/>
            <w:tcBorders>
              <w:top w:val="single" w:sz="4" w:space="0" w:color="auto"/>
              <w:left w:val="nil"/>
              <w:bottom w:val="single" w:sz="4" w:space="0" w:color="auto"/>
              <w:right w:val="nil"/>
            </w:tcBorders>
            <w:shd w:val="clear" w:color="auto" w:fill="FFFFFF" w:themeFill="background1"/>
          </w:tcPr>
          <w:p w:rsidR="00313D8E" w:rsidRPr="00B34622" w:rsidRDefault="00313D8E" w:rsidP="003006EA">
            <w:pPr>
              <w:pStyle w:val="Tabletextcentred"/>
              <w:ind w:right="578"/>
              <w:jc w:val="right"/>
            </w:pPr>
            <w:r w:rsidRPr="00CF0001">
              <w:t>0.000%</w:t>
            </w:r>
          </w:p>
        </w:tc>
      </w:tr>
      <w:tr w:rsidR="00313D8E" w:rsidTr="003006EA">
        <w:trPr>
          <w:cantSplit/>
        </w:trPr>
        <w:tc>
          <w:tcPr>
            <w:tcW w:w="1138" w:type="dxa"/>
            <w:tcBorders>
              <w:top w:val="single" w:sz="4" w:space="0" w:color="auto"/>
              <w:left w:val="nil"/>
              <w:bottom w:val="single" w:sz="12" w:space="0" w:color="auto"/>
              <w:right w:val="nil"/>
            </w:tcBorders>
            <w:shd w:val="clear" w:color="auto" w:fill="FFFFFF" w:themeFill="background1"/>
          </w:tcPr>
          <w:p w:rsidR="00313D8E" w:rsidRPr="00D65D1A" w:rsidRDefault="00313D8E" w:rsidP="003006EA">
            <w:pPr>
              <w:pStyle w:val="Tabletext"/>
            </w:pPr>
            <w:r w:rsidRPr="00DC5757">
              <w:t>0299</w:t>
            </w:r>
          </w:p>
        </w:tc>
        <w:tc>
          <w:tcPr>
            <w:tcW w:w="3267" w:type="dxa"/>
            <w:tcBorders>
              <w:top w:val="single" w:sz="4" w:space="0" w:color="auto"/>
              <w:left w:val="nil"/>
              <w:bottom w:val="single" w:sz="12" w:space="0" w:color="auto"/>
              <w:right w:val="nil"/>
            </w:tcBorders>
            <w:shd w:val="clear" w:color="auto" w:fill="FFFFFF" w:themeFill="background1"/>
            <w:vAlign w:val="bottom"/>
          </w:tcPr>
          <w:p w:rsidR="00313D8E" w:rsidRPr="00B34622" w:rsidRDefault="00313D8E" w:rsidP="003006EA">
            <w:pPr>
              <w:pStyle w:val="Tabletext"/>
            </w:pPr>
            <w:r>
              <w:rPr>
                <w:rFonts w:ascii="Calibri" w:hAnsi="Calibri"/>
                <w:color w:val="000000"/>
                <w:szCs w:val="22"/>
              </w:rPr>
              <w:t>Other Information Technology</w:t>
            </w:r>
          </w:p>
        </w:tc>
        <w:tc>
          <w:tcPr>
            <w:tcW w:w="2464" w:type="dxa"/>
            <w:tcBorders>
              <w:top w:val="single" w:sz="4" w:space="0" w:color="auto"/>
              <w:left w:val="nil"/>
              <w:bottom w:val="single" w:sz="12" w:space="0" w:color="auto"/>
              <w:right w:val="nil"/>
            </w:tcBorders>
            <w:shd w:val="clear" w:color="auto" w:fill="FFFFFF" w:themeFill="background1"/>
          </w:tcPr>
          <w:p w:rsidR="00313D8E" w:rsidRPr="00B34622" w:rsidRDefault="00313D8E" w:rsidP="003006EA">
            <w:pPr>
              <w:pStyle w:val="Tabletextcentred"/>
              <w:ind w:right="665"/>
              <w:jc w:val="right"/>
            </w:pPr>
            <w:r w:rsidRPr="00CF0001">
              <w:t>0.031%</w:t>
            </w:r>
          </w:p>
        </w:tc>
        <w:tc>
          <w:tcPr>
            <w:tcW w:w="2464" w:type="dxa"/>
            <w:tcBorders>
              <w:top w:val="single" w:sz="4" w:space="0" w:color="auto"/>
              <w:left w:val="nil"/>
              <w:bottom w:val="single" w:sz="12" w:space="0" w:color="auto"/>
              <w:right w:val="nil"/>
            </w:tcBorders>
            <w:shd w:val="clear" w:color="auto" w:fill="FFFFFF" w:themeFill="background1"/>
          </w:tcPr>
          <w:p w:rsidR="00313D8E" w:rsidRPr="00B34622" w:rsidRDefault="00313D8E" w:rsidP="003006EA">
            <w:pPr>
              <w:pStyle w:val="Tabletextcentred"/>
              <w:ind w:right="578"/>
              <w:jc w:val="right"/>
            </w:pPr>
            <w:r w:rsidRPr="00CF0001">
              <w:t>0.030%</w:t>
            </w:r>
          </w:p>
        </w:tc>
      </w:tr>
    </w:tbl>
    <w:p w:rsidR="00313D8E" w:rsidRDefault="00313D8E" w:rsidP="00313D8E">
      <w:pPr>
        <w:pStyle w:val="Sourcenote"/>
      </w:pPr>
      <w:r>
        <w:t xml:space="preserve">Source: </w:t>
      </w:r>
      <w:r w:rsidR="00B65873">
        <w:t>BCAR estimates based on 2016 Census data.</w:t>
      </w:r>
    </w:p>
    <w:p w:rsidR="00622B99" w:rsidRDefault="0009467C" w:rsidP="003006EA">
      <w:pPr>
        <w:pStyle w:val="Heading3"/>
      </w:pPr>
      <w:r>
        <w:t xml:space="preserve">Alternative </w:t>
      </w:r>
      <w:r w:rsidR="00622B99">
        <w:t xml:space="preserve">definitions of creative </w:t>
      </w:r>
      <w:r>
        <w:t>occupations</w:t>
      </w:r>
    </w:p>
    <w:p w:rsidR="003A1D9D" w:rsidRDefault="003A1D9D" w:rsidP="0004795C">
      <w:pPr>
        <w:keepNext/>
        <w:keepLines/>
      </w:pPr>
      <w:r w:rsidRPr="001D44DE">
        <w:t xml:space="preserve">Another definition of </w:t>
      </w:r>
      <w:r w:rsidR="0009467C">
        <w:t xml:space="preserve">creative occupations is the </w:t>
      </w:r>
      <w:r w:rsidRPr="001D44DE">
        <w:t xml:space="preserve">set outlined in the </w:t>
      </w:r>
      <w:r w:rsidR="00862DEF">
        <w:t>Australian Bureau of Statistics (ABS)</w:t>
      </w:r>
      <w:r w:rsidRPr="001D44DE">
        <w:t xml:space="preserve"> Australian National Accounts: Cultural and Creative Activity Satellite Accounts, which is also used in the </w:t>
      </w:r>
      <w:r w:rsidR="003C11FB">
        <w:t>Bureau of Communications and Arts Research (BCAR)</w:t>
      </w:r>
      <w:r w:rsidRPr="001D44DE">
        <w:t xml:space="preserve"> working paper on Cultural and Creative Activity in Australia 2008</w:t>
      </w:r>
      <w:r w:rsidR="00BA70F9">
        <w:t>–</w:t>
      </w:r>
      <w:r w:rsidRPr="001D44DE">
        <w:t xml:space="preserve">09 to </w:t>
      </w:r>
      <w:r w:rsidR="000E442A">
        <w:t>2016–17</w:t>
      </w:r>
      <w:r w:rsidRPr="001D44DE">
        <w:t>.</w:t>
      </w:r>
      <w:r w:rsidRPr="001D44DE">
        <w:rPr>
          <w:rStyle w:val="EndnoteReference"/>
        </w:rPr>
        <w:endnoteReference w:id="69"/>
      </w:r>
      <w:r w:rsidRPr="001D44DE">
        <w:t xml:space="preserve"> </w:t>
      </w:r>
      <w:r w:rsidR="003E056D">
        <w:t>The ABS used a different approach to determining creative activity, including</w:t>
      </w:r>
      <w:r w:rsidR="005B6742">
        <w:t xml:space="preserve"> different sets of</w:t>
      </w:r>
      <w:r w:rsidR="003E056D">
        <w:t xml:space="preserve"> occupations and industries.</w:t>
      </w:r>
    </w:p>
    <w:p w:rsidR="00D511E2" w:rsidRDefault="005B6742" w:rsidP="00C019B7">
      <w:r>
        <w:t xml:space="preserve">The definition of occupations is important, as it defines how creative skills are identified. </w:t>
      </w:r>
      <w:r w:rsidR="00CB2872">
        <w:t>A different set of occupations could lead to the identification of different skills</w:t>
      </w:r>
      <w:r w:rsidR="00D511E2">
        <w:t>.</w:t>
      </w:r>
    </w:p>
    <w:p w:rsidR="003E056D" w:rsidRDefault="003E056D" w:rsidP="00C019B7">
      <w:r>
        <w:t xml:space="preserve">However, despite the different approach, the list of creative occupations between the ABS and set of </w:t>
      </w:r>
      <w:r w:rsidR="003D5D04">
        <w:t xml:space="preserve">occupations outlined above </w:t>
      </w:r>
      <w:r>
        <w:t xml:space="preserve">are similar and lead to near identical results in the identification of creative skills. The </w:t>
      </w:r>
      <w:r w:rsidR="00CB2872">
        <w:t>differences between the occupation lists</w:t>
      </w:r>
      <w:r>
        <w:t xml:space="preserve"> are:</w:t>
      </w:r>
    </w:p>
    <w:p w:rsidR="005B6742" w:rsidRDefault="003E056D" w:rsidP="005B6742">
      <w:pPr>
        <w:pStyle w:val="Bulletlevel1"/>
      </w:pPr>
      <w:r>
        <w:t xml:space="preserve">The ABS definition includes </w:t>
      </w:r>
      <w:r w:rsidR="00423D42">
        <w:t>Production Assistant (F</w:t>
      </w:r>
      <w:r w:rsidR="00605ECA">
        <w:t>ilm Television, Radio or Stage)</w:t>
      </w:r>
      <w:r w:rsidR="00423D42">
        <w:t xml:space="preserve"> </w:t>
      </w:r>
      <w:r w:rsidR="005B6742">
        <w:t>(</w:t>
      </w:r>
      <w:r w:rsidR="00626CAD">
        <w:t xml:space="preserve">ANZSCO code </w:t>
      </w:r>
      <w:r w:rsidR="005B6742">
        <w:t>599912), which the QUT definition does not.</w:t>
      </w:r>
      <w:r w:rsidR="00CB2872">
        <w:t xml:space="preserve"> In 2016, approximately </w:t>
      </w:r>
      <w:r w:rsidR="001B46EE">
        <w:t>1</w:t>
      </w:r>
      <w:r w:rsidR="00165FA8">
        <w:t>200</w:t>
      </w:r>
      <w:r w:rsidR="00CB2872">
        <w:t xml:space="preserve"> people were employed in </w:t>
      </w:r>
      <w:r w:rsidR="00165FA8">
        <w:t xml:space="preserve">this </w:t>
      </w:r>
      <w:r w:rsidR="00CB2872">
        <w:t xml:space="preserve">occupation (out of a total of around </w:t>
      </w:r>
      <w:r w:rsidR="001B46EE">
        <w:t>10.7 million</w:t>
      </w:r>
      <w:r w:rsidR="00CB2872">
        <w:t xml:space="preserve"> employees).</w:t>
      </w:r>
    </w:p>
    <w:p w:rsidR="005B6742" w:rsidRDefault="005B6742" w:rsidP="005B6742">
      <w:pPr>
        <w:pStyle w:val="Bulletlevel1"/>
      </w:pPr>
      <w:r>
        <w:t>The QUT definition includes ICT Business Development Manager (225212), which the ABS definition does not.</w:t>
      </w:r>
      <w:r w:rsidR="00165FA8">
        <w:t xml:space="preserve"> Around 3000 people were employed in this occupation in 2016.</w:t>
      </w:r>
    </w:p>
    <w:p w:rsidR="00D511E2" w:rsidRDefault="00447946" w:rsidP="00C019B7">
      <w:r>
        <w:t>Another point of difference between the two definitions is the approach to determining creative industries</w:t>
      </w:r>
      <w:r w:rsidR="00D511E2">
        <w:t>.</w:t>
      </w:r>
    </w:p>
    <w:p w:rsidR="00D511E2" w:rsidRDefault="00447946" w:rsidP="00C019B7">
      <w:pPr>
        <w:pStyle w:val="Bulletlevel1"/>
      </w:pPr>
      <w:r>
        <w:t>The definition used by the ABS i</w:t>
      </w:r>
      <w:r w:rsidR="009439DC">
        <w:t>s</w:t>
      </w:r>
      <w:r>
        <w:t xml:space="preserve"> based on a judgment of how </w:t>
      </w:r>
      <w:r w:rsidR="009439DC">
        <w:t xml:space="preserve">industries </w:t>
      </w:r>
      <w:r>
        <w:t>are l</w:t>
      </w:r>
      <w:r w:rsidR="009439DC">
        <w:t>inked to creative value chains. This means that industries like clothing manufacturing and some retail/wholesale activities are included as creative industries</w:t>
      </w:r>
      <w:r w:rsidR="00D511E2">
        <w:t>.</w:t>
      </w:r>
    </w:p>
    <w:p w:rsidR="00447946" w:rsidRDefault="00893588" w:rsidP="00C019B7">
      <w:pPr>
        <w:pStyle w:val="Bulletlevel1"/>
      </w:pPr>
      <w:r>
        <w:t xml:space="preserve">In contrast, the QUT definition requires </w:t>
      </w:r>
      <w:r w:rsidR="00447946">
        <w:t>a minimum threshold of</w:t>
      </w:r>
      <w:r>
        <w:t xml:space="preserve"> employment in</w:t>
      </w:r>
      <w:r w:rsidR="00447946">
        <w:t xml:space="preserve"> creative occupations </w:t>
      </w:r>
      <w:r>
        <w:t xml:space="preserve">within </w:t>
      </w:r>
      <w:r w:rsidR="00447946">
        <w:t xml:space="preserve">an industry to define it as creative. </w:t>
      </w:r>
      <w:r w:rsidR="009439DC">
        <w:t>As a result, it includes fewer industries than the ABS definition.</w:t>
      </w:r>
    </w:p>
    <w:p w:rsidR="00D511E2" w:rsidRDefault="009439DC" w:rsidP="00C019B7">
      <w:r>
        <w:t xml:space="preserve">The choice of which definition to use is a subjective one, which should depend on the type of analysis being undertaken. Because the focus of this paper is on the skills of employees, the BCAR has used the QUT definition that is derived from occupations, rather than the ABS definition that </w:t>
      </w:r>
      <w:r w:rsidR="00BB40E5">
        <w:t>focuses on industries</w:t>
      </w:r>
      <w:r w:rsidR="00D511E2">
        <w:t>.</w:t>
      </w:r>
    </w:p>
    <w:p w:rsidR="009361BD" w:rsidRDefault="009361BD" w:rsidP="00C019B7">
      <w:r>
        <w:br w:type="page"/>
      </w:r>
    </w:p>
    <w:p w:rsidR="00CE69A9" w:rsidRDefault="00CE69A9" w:rsidP="000721C8">
      <w:pPr>
        <w:pStyle w:val="Heading2"/>
      </w:pPr>
      <w:bookmarkStart w:id="36" w:name="_Appendix_B:_Use"/>
      <w:bookmarkStart w:id="37" w:name="_Toc531801747"/>
      <w:bookmarkEnd w:id="36"/>
      <w:r w:rsidRPr="00CE69A9">
        <w:lastRenderedPageBreak/>
        <w:t xml:space="preserve">Appendix B: </w:t>
      </w:r>
      <w:r w:rsidR="00930E60">
        <w:t>Use of input-output data and creative industries</w:t>
      </w:r>
      <w:bookmarkEnd w:id="37"/>
    </w:p>
    <w:p w:rsidR="009361BD" w:rsidRDefault="009361BD" w:rsidP="009361BD">
      <w:pPr>
        <w:rPr>
          <w:lang w:eastAsia="en-US"/>
        </w:rPr>
      </w:pPr>
      <w:r>
        <w:rPr>
          <w:lang w:eastAsia="en-US"/>
        </w:rPr>
        <w:t xml:space="preserve">Input-output tables published by the Australian Bureau of Statistics (ABS) allow the use of outputs from creative industries to be tracked to other industries as inputs, to households for final consumption, and as exports. The </w:t>
      </w:r>
      <w:r w:rsidR="00381453">
        <w:rPr>
          <w:lang w:eastAsia="en-US"/>
        </w:rPr>
        <w:t>Bureau of Communications and Arts Research (BCAR)</w:t>
      </w:r>
      <w:r>
        <w:rPr>
          <w:lang w:eastAsia="en-US"/>
        </w:rPr>
        <w:t xml:space="preserve"> has used the creative industries defined in </w:t>
      </w:r>
      <w:hyperlink w:anchor="_Appendix_A:_How" w:history="1">
        <w:r w:rsidRPr="006E170D">
          <w:rPr>
            <w:rStyle w:val="Hyperlink"/>
            <w:lang w:eastAsia="en-US"/>
          </w:rPr>
          <w:t>appendix A</w:t>
        </w:r>
      </w:hyperlink>
      <w:r>
        <w:rPr>
          <w:lang w:eastAsia="en-US"/>
        </w:rPr>
        <w:t xml:space="preserve"> as the list of creative industries for this analysis.</w:t>
      </w:r>
    </w:p>
    <w:p w:rsidR="009361BD" w:rsidRDefault="009361BD" w:rsidP="009361BD">
      <w:pPr>
        <w:rPr>
          <w:lang w:eastAsia="en-US"/>
        </w:rPr>
      </w:pPr>
      <w:r>
        <w:rPr>
          <w:lang w:eastAsia="en-US"/>
        </w:rPr>
        <w:t>One limitation of this approach is that the classification of industries in input-output tables</w:t>
      </w:r>
      <w:r w:rsidR="00D511E2">
        <w:rPr>
          <w:lang w:eastAsia="en-US"/>
        </w:rPr>
        <w:t>—</w:t>
      </w:r>
      <w:r w:rsidR="00DF4229">
        <w:rPr>
          <w:lang w:eastAsia="en-US"/>
        </w:rPr>
        <w:t>i</w:t>
      </w:r>
      <w:r w:rsidR="005379FD">
        <w:rPr>
          <w:lang w:eastAsia="en-US"/>
        </w:rPr>
        <w:t>nput</w:t>
      </w:r>
      <w:r w:rsidR="005379FD">
        <w:rPr>
          <w:lang w:eastAsia="en-US"/>
        </w:rPr>
        <w:noBreakHyphen/>
      </w:r>
      <w:r>
        <w:rPr>
          <w:lang w:eastAsia="en-US"/>
        </w:rPr>
        <w:t>output product categories (IOPC) and input-output product groups (IOPG)</w:t>
      </w:r>
      <w:r w:rsidR="00D511E2">
        <w:rPr>
          <w:lang w:eastAsia="en-US"/>
        </w:rPr>
        <w:t>—</w:t>
      </w:r>
      <w:r>
        <w:rPr>
          <w:lang w:eastAsia="en-US"/>
        </w:rPr>
        <w:t xml:space="preserve">is different to ANZSIC. </w:t>
      </w:r>
      <w:r w:rsidR="0070469E">
        <w:rPr>
          <w:lang w:eastAsia="en-US"/>
        </w:rPr>
        <w:t>The two classification structures do not perfectly align, but the BCAR has attempted to do the best matching possible. This results in sets of input-output groups that are:</w:t>
      </w:r>
    </w:p>
    <w:p w:rsidR="0070469E" w:rsidRDefault="0070469E" w:rsidP="00C019B7">
      <w:pPr>
        <w:pStyle w:val="Bulletlevel1"/>
      </w:pPr>
      <w:r>
        <w:t>‘not creative’</w:t>
      </w:r>
      <w:r w:rsidR="00D511E2">
        <w:t>—</w:t>
      </w:r>
      <w:r>
        <w:t>the groupings that do not include any creative industries</w:t>
      </w:r>
    </w:p>
    <w:p w:rsidR="0070469E" w:rsidRDefault="0070469E" w:rsidP="00C019B7">
      <w:pPr>
        <w:pStyle w:val="Bulletlevel1"/>
      </w:pPr>
      <w:r>
        <w:t>‘partially creative’</w:t>
      </w:r>
      <w:r w:rsidR="00D511E2">
        <w:t>—</w:t>
      </w:r>
      <w:r>
        <w:t>the groupings that include some creative industries and some non-creative industries where the classification structures cannot be disaggregated</w:t>
      </w:r>
    </w:p>
    <w:p w:rsidR="0070469E" w:rsidRDefault="0070469E" w:rsidP="00C019B7">
      <w:pPr>
        <w:pStyle w:val="Bulletlevel1"/>
      </w:pPr>
      <w:r>
        <w:t>‘</w:t>
      </w:r>
      <w:r w:rsidR="005634C7">
        <w:t>fully</w:t>
      </w:r>
      <w:r>
        <w:t xml:space="preserve"> creative’</w:t>
      </w:r>
      <w:r w:rsidR="00D511E2">
        <w:t>—</w:t>
      </w:r>
      <w:r>
        <w:t>the groupings that include only creative industries.</w:t>
      </w:r>
    </w:p>
    <w:p w:rsidR="0070469E" w:rsidRDefault="00A618DC" w:rsidP="009361BD">
      <w:pPr>
        <w:rPr>
          <w:lang w:eastAsia="en-US"/>
        </w:rPr>
      </w:pPr>
      <w:r>
        <w:rPr>
          <w:lang w:eastAsia="en-US"/>
        </w:rPr>
        <w:t>This gro</w:t>
      </w:r>
      <w:r w:rsidR="009B7E28">
        <w:rPr>
          <w:lang w:eastAsia="en-US"/>
        </w:rPr>
        <w:t>upings are detailed in table B.1</w:t>
      </w:r>
      <w:r>
        <w:rPr>
          <w:lang w:eastAsia="en-US"/>
        </w:rPr>
        <w:t>.</w:t>
      </w:r>
    </w:p>
    <w:p w:rsidR="00F12683" w:rsidRDefault="00F12683" w:rsidP="00F12683">
      <w:pPr>
        <w:pStyle w:val="Tablefigureheading"/>
      </w:pPr>
      <w:bookmarkStart w:id="38" w:name="_Toc532208396"/>
      <w:r>
        <w:t>Table B.</w:t>
      </w:r>
      <w:r w:rsidR="009B7E28">
        <w:t>1</w:t>
      </w:r>
      <w:r>
        <w:t>: List of creative industries from input-output tables</w:t>
      </w:r>
      <w:bookmarkEnd w:id="38"/>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B.1: List of creative industries from input-output tables"/>
      </w:tblPr>
      <w:tblGrid>
        <w:gridCol w:w="1253"/>
        <w:gridCol w:w="5551"/>
        <w:gridCol w:w="2529"/>
      </w:tblGrid>
      <w:tr w:rsidR="00F12683" w:rsidTr="00F12683">
        <w:trPr>
          <w:cantSplit/>
          <w:tblHeader/>
        </w:trPr>
        <w:tc>
          <w:tcPr>
            <w:tcW w:w="1253" w:type="dxa"/>
            <w:tcBorders>
              <w:top w:val="nil"/>
              <w:left w:val="nil"/>
              <w:bottom w:val="thickThinLargeGap" w:sz="24" w:space="0" w:color="auto"/>
              <w:right w:val="nil"/>
            </w:tcBorders>
            <w:shd w:val="clear" w:color="auto" w:fill="0066AB"/>
            <w:hideMark/>
          </w:tcPr>
          <w:p w:rsidR="00F12683" w:rsidRDefault="00F12683" w:rsidP="00921460">
            <w:pPr>
              <w:pStyle w:val="Tablerowcolumnheading"/>
            </w:pPr>
            <w:r>
              <w:t>IOPG Code</w:t>
            </w:r>
          </w:p>
        </w:tc>
        <w:tc>
          <w:tcPr>
            <w:tcW w:w="5551" w:type="dxa"/>
            <w:tcBorders>
              <w:top w:val="nil"/>
              <w:left w:val="nil"/>
              <w:bottom w:val="thickThinLargeGap" w:sz="24" w:space="0" w:color="auto"/>
              <w:right w:val="nil"/>
            </w:tcBorders>
            <w:shd w:val="clear" w:color="auto" w:fill="0066AB"/>
            <w:hideMark/>
          </w:tcPr>
          <w:p w:rsidR="00F12683" w:rsidRDefault="00F12683" w:rsidP="00921460">
            <w:pPr>
              <w:pStyle w:val="Tablerowcolumnheadingcentred"/>
              <w:jc w:val="left"/>
            </w:pPr>
            <w:r>
              <w:t>Industry name</w:t>
            </w:r>
          </w:p>
        </w:tc>
        <w:tc>
          <w:tcPr>
            <w:tcW w:w="2529" w:type="dxa"/>
            <w:tcBorders>
              <w:top w:val="nil"/>
              <w:left w:val="nil"/>
              <w:bottom w:val="thickThinLargeGap" w:sz="24" w:space="0" w:color="auto"/>
              <w:right w:val="nil"/>
            </w:tcBorders>
            <w:shd w:val="clear" w:color="auto" w:fill="0066AB"/>
          </w:tcPr>
          <w:p w:rsidR="00F12683" w:rsidRDefault="00F12683" w:rsidP="00921460">
            <w:pPr>
              <w:pStyle w:val="Tablerowcolumnheadingcentred"/>
              <w:jc w:val="left"/>
            </w:pPr>
            <w:r>
              <w:t>Partially or Fully Creative</w:t>
            </w:r>
          </w:p>
        </w:tc>
      </w:tr>
      <w:tr w:rsidR="00F12683" w:rsidTr="00F12683">
        <w:trPr>
          <w:cantSplit/>
        </w:trPr>
        <w:tc>
          <w:tcPr>
            <w:tcW w:w="1253" w:type="dxa"/>
            <w:tcBorders>
              <w:top w:val="thickThinLargeGap" w:sz="24" w:space="0" w:color="auto"/>
              <w:left w:val="nil"/>
              <w:bottom w:val="single" w:sz="4" w:space="0" w:color="auto"/>
              <w:right w:val="nil"/>
            </w:tcBorders>
            <w:shd w:val="clear" w:color="auto" w:fill="auto"/>
            <w:hideMark/>
          </w:tcPr>
          <w:p w:rsidR="00F12683" w:rsidRDefault="00F12683" w:rsidP="00F12683">
            <w:pPr>
              <w:pStyle w:val="Tabletext"/>
            </w:pPr>
            <w:r w:rsidRPr="004A4DB7">
              <w:t>5601</w:t>
            </w:r>
          </w:p>
        </w:tc>
        <w:tc>
          <w:tcPr>
            <w:tcW w:w="5551" w:type="dxa"/>
            <w:tcBorders>
              <w:top w:val="thickThinLargeGap" w:sz="24" w:space="0" w:color="auto"/>
              <w:left w:val="nil"/>
              <w:bottom w:val="single" w:sz="4" w:space="0" w:color="auto"/>
              <w:right w:val="nil"/>
            </w:tcBorders>
            <w:shd w:val="clear" w:color="auto" w:fill="auto"/>
          </w:tcPr>
          <w:p w:rsidR="00F12683" w:rsidRPr="00431AE8" w:rsidRDefault="00F12683" w:rsidP="00F12683">
            <w:pPr>
              <w:pStyle w:val="Tabletextcentred"/>
              <w:jc w:val="left"/>
            </w:pPr>
            <w:r w:rsidRPr="00B605B6">
              <w:t>Broadcasting (except Internet)</w:t>
            </w:r>
          </w:p>
        </w:tc>
        <w:tc>
          <w:tcPr>
            <w:tcW w:w="2529" w:type="dxa"/>
            <w:tcBorders>
              <w:top w:val="thickThinLargeGap" w:sz="24" w:space="0" w:color="auto"/>
              <w:left w:val="nil"/>
              <w:bottom w:val="single" w:sz="4" w:space="0" w:color="auto"/>
              <w:right w:val="nil"/>
            </w:tcBorders>
          </w:tcPr>
          <w:p w:rsidR="00F12683" w:rsidRPr="00E51ED5" w:rsidRDefault="00F12683" w:rsidP="00F12683">
            <w:pPr>
              <w:pStyle w:val="Tabletextcentred"/>
              <w:jc w:val="left"/>
            </w:pPr>
            <w:r>
              <w:t>Fully creative</w:t>
            </w:r>
          </w:p>
        </w:tc>
      </w:tr>
      <w:tr w:rsidR="00F12683" w:rsidTr="00F12683">
        <w:trPr>
          <w:cantSplit/>
        </w:trPr>
        <w:tc>
          <w:tcPr>
            <w:tcW w:w="1253" w:type="dxa"/>
            <w:tcBorders>
              <w:top w:val="single" w:sz="4" w:space="0" w:color="auto"/>
              <w:left w:val="nil"/>
              <w:bottom w:val="single" w:sz="4" w:space="0" w:color="auto"/>
              <w:right w:val="nil"/>
            </w:tcBorders>
            <w:shd w:val="clear" w:color="auto" w:fill="auto"/>
            <w:hideMark/>
          </w:tcPr>
          <w:p w:rsidR="00F12683" w:rsidRDefault="00F12683" w:rsidP="00F12683">
            <w:pPr>
              <w:pStyle w:val="Tabletext"/>
            </w:pPr>
            <w:r w:rsidRPr="004A4DB7">
              <w:t>7001</w:t>
            </w:r>
          </w:p>
        </w:tc>
        <w:tc>
          <w:tcPr>
            <w:tcW w:w="5551" w:type="dxa"/>
            <w:tcBorders>
              <w:top w:val="single" w:sz="4" w:space="0" w:color="auto"/>
              <w:left w:val="nil"/>
              <w:bottom w:val="single" w:sz="4" w:space="0" w:color="auto"/>
              <w:right w:val="nil"/>
            </w:tcBorders>
            <w:shd w:val="clear" w:color="auto" w:fill="auto"/>
          </w:tcPr>
          <w:p w:rsidR="00F12683" w:rsidRPr="00431AE8" w:rsidRDefault="00F12683" w:rsidP="00F12683">
            <w:pPr>
              <w:pStyle w:val="Tabletextcentred"/>
              <w:jc w:val="left"/>
            </w:pPr>
            <w:r w:rsidRPr="00B605B6">
              <w:t>Computer Systems Design and Related Services</w:t>
            </w:r>
          </w:p>
        </w:tc>
        <w:tc>
          <w:tcPr>
            <w:tcW w:w="2529" w:type="dxa"/>
            <w:tcBorders>
              <w:top w:val="single" w:sz="4" w:space="0" w:color="auto"/>
              <w:left w:val="nil"/>
              <w:bottom w:val="single" w:sz="4" w:space="0" w:color="auto"/>
              <w:right w:val="nil"/>
            </w:tcBorders>
          </w:tcPr>
          <w:p w:rsidR="00F12683" w:rsidRPr="00E51ED5" w:rsidRDefault="00F12683" w:rsidP="00F12683">
            <w:pPr>
              <w:pStyle w:val="Tabletextcentred"/>
              <w:jc w:val="left"/>
            </w:pPr>
            <w:r>
              <w:t>Fully creative</w:t>
            </w:r>
          </w:p>
        </w:tc>
      </w:tr>
      <w:tr w:rsidR="00F12683" w:rsidTr="00F12683">
        <w:trPr>
          <w:cantSplit/>
        </w:trPr>
        <w:tc>
          <w:tcPr>
            <w:tcW w:w="1253" w:type="dxa"/>
            <w:tcBorders>
              <w:top w:val="single" w:sz="4" w:space="0" w:color="auto"/>
              <w:left w:val="nil"/>
              <w:bottom w:val="single" w:sz="4" w:space="0" w:color="auto"/>
              <w:right w:val="nil"/>
            </w:tcBorders>
            <w:shd w:val="clear" w:color="auto" w:fill="auto"/>
          </w:tcPr>
          <w:p w:rsidR="00F12683" w:rsidRDefault="00F12683" w:rsidP="00F12683">
            <w:pPr>
              <w:pStyle w:val="Tabletext"/>
            </w:pPr>
            <w:r w:rsidRPr="00867B19">
              <w:t>1601</w:t>
            </w:r>
          </w:p>
        </w:tc>
        <w:tc>
          <w:tcPr>
            <w:tcW w:w="5551" w:type="dxa"/>
            <w:tcBorders>
              <w:top w:val="single" w:sz="4" w:space="0" w:color="auto"/>
              <w:left w:val="nil"/>
              <w:bottom w:val="single" w:sz="4" w:space="0" w:color="auto"/>
              <w:right w:val="nil"/>
            </w:tcBorders>
            <w:shd w:val="clear" w:color="auto" w:fill="auto"/>
          </w:tcPr>
          <w:p w:rsidR="00F12683" w:rsidRPr="00431AE8" w:rsidRDefault="00F12683" w:rsidP="00F12683">
            <w:pPr>
              <w:pStyle w:val="Tabletextcentred"/>
              <w:jc w:val="left"/>
            </w:pPr>
            <w:r w:rsidRPr="00867B19">
              <w:t>Printing (including the reproduction of recorded media)</w:t>
            </w:r>
          </w:p>
        </w:tc>
        <w:tc>
          <w:tcPr>
            <w:tcW w:w="2529" w:type="dxa"/>
            <w:tcBorders>
              <w:top w:val="single" w:sz="4" w:space="0" w:color="auto"/>
              <w:left w:val="nil"/>
              <w:bottom w:val="single" w:sz="4" w:space="0" w:color="auto"/>
              <w:right w:val="nil"/>
            </w:tcBorders>
          </w:tcPr>
          <w:p w:rsidR="00F12683" w:rsidRPr="00E51ED5" w:rsidRDefault="00F12683" w:rsidP="00F12683">
            <w:pPr>
              <w:pStyle w:val="Tabletextcentred"/>
              <w:jc w:val="left"/>
            </w:pPr>
            <w:r>
              <w:t>Partially creative</w:t>
            </w:r>
          </w:p>
        </w:tc>
      </w:tr>
      <w:tr w:rsidR="00F12683" w:rsidTr="00F12683">
        <w:trPr>
          <w:cantSplit/>
        </w:trPr>
        <w:tc>
          <w:tcPr>
            <w:tcW w:w="1253" w:type="dxa"/>
            <w:tcBorders>
              <w:top w:val="single" w:sz="4" w:space="0" w:color="auto"/>
              <w:left w:val="nil"/>
              <w:bottom w:val="single" w:sz="4" w:space="0" w:color="auto"/>
              <w:right w:val="nil"/>
            </w:tcBorders>
            <w:shd w:val="clear" w:color="auto" w:fill="auto"/>
          </w:tcPr>
          <w:p w:rsidR="00F12683" w:rsidRDefault="00F12683" w:rsidP="00F12683">
            <w:pPr>
              <w:pStyle w:val="Tabletext"/>
            </w:pPr>
            <w:r w:rsidRPr="00867B19">
              <w:t>2502</w:t>
            </w:r>
          </w:p>
        </w:tc>
        <w:tc>
          <w:tcPr>
            <w:tcW w:w="5551" w:type="dxa"/>
            <w:tcBorders>
              <w:top w:val="single" w:sz="4" w:space="0" w:color="auto"/>
              <w:left w:val="nil"/>
              <w:bottom w:val="single" w:sz="4" w:space="0" w:color="auto"/>
              <w:right w:val="nil"/>
            </w:tcBorders>
            <w:shd w:val="clear" w:color="auto" w:fill="auto"/>
          </w:tcPr>
          <w:p w:rsidR="00F12683" w:rsidRPr="00431AE8" w:rsidRDefault="00F12683" w:rsidP="00F12683">
            <w:pPr>
              <w:pStyle w:val="Tabletextcentred"/>
              <w:jc w:val="left"/>
            </w:pPr>
            <w:r w:rsidRPr="00867B19">
              <w:t>Other Manufactured Products</w:t>
            </w:r>
          </w:p>
        </w:tc>
        <w:tc>
          <w:tcPr>
            <w:tcW w:w="2529" w:type="dxa"/>
            <w:tcBorders>
              <w:top w:val="single" w:sz="4" w:space="0" w:color="auto"/>
              <w:left w:val="nil"/>
              <w:bottom w:val="single" w:sz="4" w:space="0" w:color="auto"/>
              <w:right w:val="nil"/>
            </w:tcBorders>
          </w:tcPr>
          <w:p w:rsidR="00F12683" w:rsidRPr="00E51ED5" w:rsidRDefault="00F12683" w:rsidP="00F12683">
            <w:pPr>
              <w:pStyle w:val="Tabletextcentred"/>
              <w:jc w:val="left"/>
            </w:pPr>
            <w:r>
              <w:t>Partially creative</w:t>
            </w:r>
          </w:p>
        </w:tc>
      </w:tr>
      <w:tr w:rsidR="00F12683" w:rsidTr="00F12683">
        <w:trPr>
          <w:cantSplit/>
        </w:trPr>
        <w:tc>
          <w:tcPr>
            <w:tcW w:w="1253" w:type="dxa"/>
            <w:tcBorders>
              <w:top w:val="single" w:sz="4" w:space="0" w:color="auto"/>
              <w:left w:val="nil"/>
              <w:bottom w:val="single" w:sz="4" w:space="0" w:color="auto"/>
              <w:right w:val="nil"/>
            </w:tcBorders>
            <w:shd w:val="clear" w:color="auto" w:fill="FFFFFF" w:themeFill="background1"/>
          </w:tcPr>
          <w:p w:rsidR="00F12683" w:rsidRDefault="00F12683" w:rsidP="00F12683">
            <w:pPr>
              <w:pStyle w:val="Tabletext"/>
            </w:pPr>
            <w:r w:rsidRPr="00867B19">
              <w:t>5401</w:t>
            </w:r>
          </w:p>
        </w:tc>
        <w:tc>
          <w:tcPr>
            <w:tcW w:w="5551" w:type="dxa"/>
            <w:tcBorders>
              <w:top w:val="single" w:sz="4" w:space="0" w:color="auto"/>
              <w:left w:val="nil"/>
              <w:bottom w:val="single" w:sz="4" w:space="0" w:color="auto"/>
              <w:right w:val="nil"/>
            </w:tcBorders>
            <w:shd w:val="clear" w:color="auto" w:fill="FFFFFF" w:themeFill="background1"/>
          </w:tcPr>
          <w:p w:rsidR="00F12683" w:rsidRPr="00431AE8" w:rsidRDefault="00F12683" w:rsidP="00F12683">
            <w:pPr>
              <w:pStyle w:val="Tabletextcentred"/>
              <w:jc w:val="left"/>
            </w:pPr>
            <w:r w:rsidRPr="00867B19">
              <w:t>Publishing (except Internet and Music Publishing)</w:t>
            </w:r>
          </w:p>
        </w:tc>
        <w:tc>
          <w:tcPr>
            <w:tcW w:w="2529" w:type="dxa"/>
            <w:tcBorders>
              <w:top w:val="single" w:sz="4" w:space="0" w:color="auto"/>
              <w:left w:val="nil"/>
              <w:bottom w:val="single" w:sz="4" w:space="0" w:color="auto"/>
              <w:right w:val="nil"/>
            </w:tcBorders>
            <w:shd w:val="clear" w:color="auto" w:fill="FFFFFF" w:themeFill="background1"/>
          </w:tcPr>
          <w:p w:rsidR="00F12683" w:rsidRPr="00E51ED5" w:rsidRDefault="00F12683" w:rsidP="00F12683">
            <w:pPr>
              <w:pStyle w:val="Tabletextcentred"/>
              <w:jc w:val="left"/>
            </w:pPr>
            <w:r>
              <w:t>Partially creative</w:t>
            </w:r>
          </w:p>
        </w:tc>
      </w:tr>
      <w:tr w:rsidR="00F12683" w:rsidTr="00F12683">
        <w:trPr>
          <w:cantSplit/>
        </w:trPr>
        <w:tc>
          <w:tcPr>
            <w:tcW w:w="1253" w:type="dxa"/>
            <w:tcBorders>
              <w:top w:val="single" w:sz="4" w:space="0" w:color="auto"/>
              <w:left w:val="nil"/>
              <w:bottom w:val="single" w:sz="4" w:space="0" w:color="auto"/>
              <w:right w:val="nil"/>
            </w:tcBorders>
            <w:shd w:val="clear" w:color="auto" w:fill="FFFFFF" w:themeFill="background1"/>
          </w:tcPr>
          <w:p w:rsidR="00F12683" w:rsidRDefault="00F12683" w:rsidP="00F12683">
            <w:pPr>
              <w:pStyle w:val="Tabletext"/>
            </w:pPr>
            <w:r w:rsidRPr="00867B19">
              <w:t>5501</w:t>
            </w:r>
          </w:p>
        </w:tc>
        <w:tc>
          <w:tcPr>
            <w:tcW w:w="5551" w:type="dxa"/>
            <w:tcBorders>
              <w:top w:val="single" w:sz="4" w:space="0" w:color="auto"/>
              <w:left w:val="nil"/>
              <w:bottom w:val="single" w:sz="4" w:space="0" w:color="auto"/>
              <w:right w:val="nil"/>
            </w:tcBorders>
            <w:shd w:val="clear" w:color="auto" w:fill="FFFFFF" w:themeFill="background1"/>
          </w:tcPr>
          <w:p w:rsidR="00F12683" w:rsidRPr="00431AE8" w:rsidRDefault="00F12683" w:rsidP="00F12683">
            <w:pPr>
              <w:pStyle w:val="Tabletextcentred"/>
              <w:jc w:val="left"/>
            </w:pPr>
            <w:r w:rsidRPr="00867B19">
              <w:t>Motion Picture and Sound Recording</w:t>
            </w:r>
          </w:p>
        </w:tc>
        <w:tc>
          <w:tcPr>
            <w:tcW w:w="2529" w:type="dxa"/>
            <w:tcBorders>
              <w:top w:val="single" w:sz="4" w:space="0" w:color="auto"/>
              <w:left w:val="nil"/>
              <w:bottom w:val="single" w:sz="4" w:space="0" w:color="auto"/>
              <w:right w:val="nil"/>
            </w:tcBorders>
            <w:shd w:val="clear" w:color="auto" w:fill="FFFFFF" w:themeFill="background1"/>
          </w:tcPr>
          <w:p w:rsidR="00F12683" w:rsidRPr="00E51ED5" w:rsidRDefault="00F12683" w:rsidP="00F12683">
            <w:pPr>
              <w:pStyle w:val="Tabletextcentred"/>
              <w:jc w:val="left"/>
            </w:pPr>
            <w:r>
              <w:t>Partially creative</w:t>
            </w:r>
          </w:p>
        </w:tc>
      </w:tr>
      <w:tr w:rsidR="00F12683" w:rsidTr="00F12683">
        <w:trPr>
          <w:cantSplit/>
        </w:trPr>
        <w:tc>
          <w:tcPr>
            <w:tcW w:w="1253" w:type="dxa"/>
            <w:tcBorders>
              <w:top w:val="single" w:sz="4" w:space="0" w:color="auto"/>
              <w:left w:val="nil"/>
              <w:bottom w:val="single" w:sz="4" w:space="0" w:color="auto"/>
              <w:right w:val="nil"/>
            </w:tcBorders>
            <w:shd w:val="clear" w:color="auto" w:fill="FFFFFF" w:themeFill="background1"/>
          </w:tcPr>
          <w:p w:rsidR="00F12683" w:rsidRDefault="00F12683" w:rsidP="00F12683">
            <w:pPr>
              <w:pStyle w:val="Tabletext"/>
            </w:pPr>
            <w:r w:rsidRPr="00867B19">
              <w:t>5701</w:t>
            </w:r>
          </w:p>
        </w:tc>
        <w:tc>
          <w:tcPr>
            <w:tcW w:w="5551" w:type="dxa"/>
            <w:tcBorders>
              <w:top w:val="single" w:sz="4" w:space="0" w:color="auto"/>
              <w:left w:val="nil"/>
              <w:bottom w:val="single" w:sz="4" w:space="0" w:color="auto"/>
              <w:right w:val="nil"/>
            </w:tcBorders>
            <w:shd w:val="clear" w:color="auto" w:fill="FFFFFF" w:themeFill="background1"/>
          </w:tcPr>
          <w:p w:rsidR="00F12683" w:rsidRPr="00431AE8" w:rsidRDefault="00F12683" w:rsidP="00F12683">
            <w:pPr>
              <w:pStyle w:val="Tabletextcentred"/>
              <w:jc w:val="left"/>
            </w:pPr>
            <w:r w:rsidRPr="00867B19">
              <w:t>Internet Service Providers, Internet Publishing and Broadcasting, Websearch Portals and Data Processing</w:t>
            </w:r>
          </w:p>
        </w:tc>
        <w:tc>
          <w:tcPr>
            <w:tcW w:w="2529" w:type="dxa"/>
            <w:tcBorders>
              <w:top w:val="single" w:sz="4" w:space="0" w:color="auto"/>
              <w:left w:val="nil"/>
              <w:bottom w:val="single" w:sz="4" w:space="0" w:color="auto"/>
              <w:right w:val="nil"/>
            </w:tcBorders>
            <w:shd w:val="clear" w:color="auto" w:fill="FFFFFF" w:themeFill="background1"/>
          </w:tcPr>
          <w:p w:rsidR="00F12683" w:rsidRPr="00E51ED5" w:rsidRDefault="00F12683" w:rsidP="00F12683">
            <w:pPr>
              <w:pStyle w:val="Tabletextcentred"/>
              <w:jc w:val="left"/>
            </w:pPr>
            <w:r>
              <w:t>Partially creative</w:t>
            </w:r>
          </w:p>
        </w:tc>
      </w:tr>
      <w:tr w:rsidR="00F12683" w:rsidTr="00F12683">
        <w:trPr>
          <w:cantSplit/>
        </w:trPr>
        <w:tc>
          <w:tcPr>
            <w:tcW w:w="1253" w:type="dxa"/>
            <w:tcBorders>
              <w:top w:val="single" w:sz="4" w:space="0" w:color="auto"/>
              <w:left w:val="nil"/>
              <w:bottom w:val="single" w:sz="4" w:space="0" w:color="auto"/>
              <w:right w:val="nil"/>
            </w:tcBorders>
            <w:shd w:val="clear" w:color="auto" w:fill="FFFFFF" w:themeFill="background1"/>
          </w:tcPr>
          <w:p w:rsidR="00F12683" w:rsidRDefault="00F12683" w:rsidP="00F12683">
            <w:pPr>
              <w:pStyle w:val="Tabletext"/>
            </w:pPr>
            <w:r w:rsidRPr="00867B19">
              <w:t>6001</w:t>
            </w:r>
          </w:p>
        </w:tc>
        <w:tc>
          <w:tcPr>
            <w:tcW w:w="5551" w:type="dxa"/>
            <w:tcBorders>
              <w:top w:val="single" w:sz="4" w:space="0" w:color="auto"/>
              <w:left w:val="nil"/>
              <w:bottom w:val="single" w:sz="4" w:space="0" w:color="auto"/>
              <w:right w:val="nil"/>
            </w:tcBorders>
            <w:shd w:val="clear" w:color="auto" w:fill="FFFFFF" w:themeFill="background1"/>
          </w:tcPr>
          <w:p w:rsidR="00F12683" w:rsidRPr="00431AE8" w:rsidRDefault="00F12683" w:rsidP="00F12683">
            <w:pPr>
              <w:pStyle w:val="Tabletextcentred"/>
              <w:jc w:val="left"/>
            </w:pPr>
            <w:r w:rsidRPr="00867B19">
              <w:t>Library and Other Information Services</w:t>
            </w:r>
          </w:p>
        </w:tc>
        <w:tc>
          <w:tcPr>
            <w:tcW w:w="2529" w:type="dxa"/>
            <w:tcBorders>
              <w:top w:val="single" w:sz="4" w:space="0" w:color="auto"/>
              <w:left w:val="nil"/>
              <w:bottom w:val="single" w:sz="4" w:space="0" w:color="auto"/>
              <w:right w:val="nil"/>
            </w:tcBorders>
            <w:shd w:val="clear" w:color="auto" w:fill="FFFFFF" w:themeFill="background1"/>
          </w:tcPr>
          <w:p w:rsidR="00F12683" w:rsidRPr="00E51ED5" w:rsidRDefault="00F12683" w:rsidP="00F12683">
            <w:pPr>
              <w:pStyle w:val="Tabletextcentred"/>
              <w:jc w:val="left"/>
            </w:pPr>
            <w:r>
              <w:t>Partially creative</w:t>
            </w:r>
          </w:p>
        </w:tc>
      </w:tr>
      <w:tr w:rsidR="00F12683" w:rsidTr="00F12683">
        <w:trPr>
          <w:cantSplit/>
        </w:trPr>
        <w:tc>
          <w:tcPr>
            <w:tcW w:w="1253" w:type="dxa"/>
            <w:tcBorders>
              <w:top w:val="single" w:sz="4" w:space="0" w:color="auto"/>
              <w:left w:val="nil"/>
              <w:bottom w:val="single" w:sz="4" w:space="0" w:color="auto"/>
              <w:right w:val="nil"/>
            </w:tcBorders>
            <w:shd w:val="clear" w:color="auto" w:fill="FFFFFF" w:themeFill="background1"/>
          </w:tcPr>
          <w:p w:rsidR="00F12683" w:rsidRDefault="00F12683" w:rsidP="00F12683">
            <w:pPr>
              <w:pStyle w:val="Tabletext"/>
            </w:pPr>
            <w:r w:rsidRPr="00867B19">
              <w:t>6901</w:t>
            </w:r>
          </w:p>
        </w:tc>
        <w:tc>
          <w:tcPr>
            <w:tcW w:w="5551" w:type="dxa"/>
            <w:tcBorders>
              <w:top w:val="single" w:sz="4" w:space="0" w:color="auto"/>
              <w:left w:val="nil"/>
              <w:bottom w:val="single" w:sz="4" w:space="0" w:color="auto"/>
              <w:right w:val="nil"/>
            </w:tcBorders>
            <w:shd w:val="clear" w:color="auto" w:fill="FFFFFF" w:themeFill="background1"/>
          </w:tcPr>
          <w:p w:rsidR="00F12683" w:rsidRPr="00431AE8" w:rsidRDefault="00F12683" w:rsidP="00F12683">
            <w:pPr>
              <w:pStyle w:val="Tabletextcentred"/>
              <w:jc w:val="left"/>
            </w:pPr>
            <w:r w:rsidRPr="00867B19">
              <w:t>Professional, Scientific and Technical Services</w:t>
            </w:r>
          </w:p>
        </w:tc>
        <w:tc>
          <w:tcPr>
            <w:tcW w:w="2529" w:type="dxa"/>
            <w:tcBorders>
              <w:top w:val="single" w:sz="4" w:space="0" w:color="auto"/>
              <w:left w:val="nil"/>
              <w:bottom w:val="single" w:sz="4" w:space="0" w:color="auto"/>
              <w:right w:val="nil"/>
            </w:tcBorders>
            <w:shd w:val="clear" w:color="auto" w:fill="FFFFFF" w:themeFill="background1"/>
          </w:tcPr>
          <w:p w:rsidR="00F12683" w:rsidRPr="00E51ED5" w:rsidRDefault="00F12683" w:rsidP="00F12683">
            <w:pPr>
              <w:pStyle w:val="Tabletextcentred"/>
              <w:jc w:val="left"/>
            </w:pPr>
            <w:r>
              <w:t>Partially creative</w:t>
            </w:r>
          </w:p>
        </w:tc>
      </w:tr>
      <w:tr w:rsidR="00F12683" w:rsidTr="00F12683">
        <w:trPr>
          <w:cantSplit/>
        </w:trPr>
        <w:tc>
          <w:tcPr>
            <w:tcW w:w="1253" w:type="dxa"/>
            <w:tcBorders>
              <w:top w:val="single" w:sz="4" w:space="0" w:color="auto"/>
              <w:left w:val="nil"/>
              <w:bottom w:val="single" w:sz="4" w:space="0" w:color="auto"/>
              <w:right w:val="nil"/>
            </w:tcBorders>
            <w:shd w:val="clear" w:color="auto" w:fill="FFFFFF" w:themeFill="background1"/>
          </w:tcPr>
          <w:p w:rsidR="00F12683" w:rsidRDefault="00F12683" w:rsidP="00F12683">
            <w:pPr>
              <w:pStyle w:val="Tabletext"/>
            </w:pPr>
            <w:r w:rsidRPr="00867B19">
              <w:t>8901</w:t>
            </w:r>
          </w:p>
        </w:tc>
        <w:tc>
          <w:tcPr>
            <w:tcW w:w="5551" w:type="dxa"/>
            <w:tcBorders>
              <w:top w:val="single" w:sz="4" w:space="0" w:color="auto"/>
              <w:left w:val="nil"/>
              <w:bottom w:val="single" w:sz="4" w:space="0" w:color="auto"/>
              <w:right w:val="nil"/>
            </w:tcBorders>
            <w:shd w:val="clear" w:color="auto" w:fill="FFFFFF" w:themeFill="background1"/>
          </w:tcPr>
          <w:p w:rsidR="00F12683" w:rsidRPr="00431AE8" w:rsidRDefault="00F12683" w:rsidP="00F12683">
            <w:pPr>
              <w:pStyle w:val="Tabletextcentred"/>
              <w:jc w:val="left"/>
            </w:pPr>
            <w:r w:rsidRPr="00867B19">
              <w:t>Heritage, Creative and Performing Arts</w:t>
            </w:r>
          </w:p>
        </w:tc>
        <w:tc>
          <w:tcPr>
            <w:tcW w:w="2529" w:type="dxa"/>
            <w:tcBorders>
              <w:top w:val="single" w:sz="4" w:space="0" w:color="auto"/>
              <w:left w:val="nil"/>
              <w:bottom w:val="single" w:sz="4" w:space="0" w:color="auto"/>
              <w:right w:val="nil"/>
            </w:tcBorders>
            <w:shd w:val="clear" w:color="auto" w:fill="FFFFFF" w:themeFill="background1"/>
          </w:tcPr>
          <w:p w:rsidR="00F12683" w:rsidRPr="00E51ED5" w:rsidRDefault="00F12683" w:rsidP="00F12683">
            <w:pPr>
              <w:pStyle w:val="Tabletextcentred"/>
              <w:jc w:val="left"/>
            </w:pPr>
            <w:r>
              <w:t>Partially creative</w:t>
            </w:r>
          </w:p>
        </w:tc>
      </w:tr>
    </w:tbl>
    <w:p w:rsidR="00D511E2" w:rsidRDefault="005B4E8A" w:rsidP="00F12683">
      <w:pPr>
        <w:pStyle w:val="Sourcenote"/>
      </w:pPr>
      <w:r>
        <w:t>Note: All other input-output product groups (IOPG) are defined as not creative.</w:t>
      </w:r>
      <w:r w:rsidR="00983702">
        <w:t xml:space="preserve"> </w:t>
      </w:r>
      <w:r>
        <w:br/>
      </w:r>
      <w:r w:rsidR="00F12683">
        <w:t xml:space="preserve">Source: </w:t>
      </w:r>
      <w:r>
        <w:t>BCAR estimates</w:t>
      </w:r>
      <w:r w:rsidR="00D511E2">
        <w:t>.</w:t>
      </w:r>
    </w:p>
    <w:p w:rsidR="003006EA" w:rsidRDefault="003006EA">
      <w:pPr>
        <w:spacing w:after="160" w:line="259" w:lineRule="auto"/>
        <w:rPr>
          <w:lang w:eastAsia="en-US"/>
        </w:rPr>
      </w:pPr>
      <w:r>
        <w:rPr>
          <w:lang w:eastAsia="en-US"/>
        </w:rPr>
        <w:br w:type="page"/>
      </w:r>
    </w:p>
    <w:p w:rsidR="00CE69A9" w:rsidRDefault="00CE69A9" w:rsidP="00CE69A9">
      <w:pPr>
        <w:pStyle w:val="Heading2"/>
      </w:pPr>
      <w:bookmarkStart w:id="39" w:name="_Appendix_C:_What"/>
      <w:bookmarkStart w:id="40" w:name="_Toc531801748"/>
      <w:bookmarkEnd w:id="39"/>
      <w:r>
        <w:lastRenderedPageBreak/>
        <w:t xml:space="preserve">Appendix C: </w:t>
      </w:r>
      <w:r w:rsidR="00C71448">
        <w:t>What information could better inform analysis of creative skills?</w:t>
      </w:r>
      <w:bookmarkEnd w:id="40"/>
    </w:p>
    <w:p w:rsidR="00D511E2" w:rsidRDefault="00C71448" w:rsidP="00C71448">
      <w:pPr>
        <w:rPr>
          <w:lang w:eastAsia="en-US"/>
        </w:rPr>
      </w:pPr>
      <w:r>
        <w:rPr>
          <w:lang w:eastAsia="en-US"/>
        </w:rPr>
        <w:t>This paper relies on a range of data sources to identify and measure the importance of creative skills</w:t>
      </w:r>
      <w:r w:rsidR="00CC0205">
        <w:rPr>
          <w:lang w:eastAsia="en-US"/>
        </w:rPr>
        <w:t>. T</w:t>
      </w:r>
      <w:r>
        <w:rPr>
          <w:lang w:eastAsia="en-US"/>
        </w:rPr>
        <w:t>hese sources</w:t>
      </w:r>
      <w:r w:rsidR="00CC0205">
        <w:rPr>
          <w:lang w:eastAsia="en-US"/>
        </w:rPr>
        <w:t xml:space="preserve"> enable an understanding of the contribution of creative skills in broad terms</w:t>
      </w:r>
      <w:r w:rsidR="00D511E2">
        <w:rPr>
          <w:lang w:eastAsia="en-US"/>
        </w:rPr>
        <w:t>.</w:t>
      </w:r>
    </w:p>
    <w:p w:rsidR="008612E6" w:rsidRDefault="0093246F" w:rsidP="00C71448">
      <w:pPr>
        <w:rPr>
          <w:lang w:eastAsia="en-US"/>
        </w:rPr>
      </w:pPr>
      <w:r>
        <w:rPr>
          <w:lang w:eastAsia="en-US"/>
        </w:rPr>
        <w:t>Information that would be of use includes:</w:t>
      </w:r>
    </w:p>
    <w:p w:rsidR="008612E6" w:rsidRPr="008612E6" w:rsidRDefault="00CC0205" w:rsidP="006E4BF0">
      <w:pPr>
        <w:pStyle w:val="Bulletlevel1"/>
        <w:rPr>
          <w:b/>
        </w:rPr>
      </w:pPr>
      <w:r>
        <w:rPr>
          <w:b/>
        </w:rPr>
        <w:t>T</w:t>
      </w:r>
      <w:r w:rsidR="008612E6" w:rsidRPr="008612E6">
        <w:rPr>
          <w:b/>
        </w:rPr>
        <w:t>he Australia New Zealand Standard Classification of Occupations (ANZSCO).</w:t>
      </w:r>
      <w:r w:rsidR="008612E6">
        <w:rPr>
          <w:b/>
        </w:rPr>
        <w:t xml:space="preserve"> </w:t>
      </w:r>
      <w:r w:rsidR="008612E6">
        <w:t xml:space="preserve">The finding that creative skills include a range of computer science and information technology fields highlights the </w:t>
      </w:r>
      <w:r w:rsidR="006E4BF0">
        <w:t xml:space="preserve">relevance of understanding roles that are important to </w:t>
      </w:r>
      <w:r w:rsidR="008612E6">
        <w:t xml:space="preserve">the growing and evolving digital economy. The current ANZSCO includes a range of technology fields relevant to computer science and information technology, </w:t>
      </w:r>
      <w:r w:rsidR="006E4BF0">
        <w:t>but was last compiled in 2006.</w:t>
      </w:r>
    </w:p>
    <w:p w:rsidR="003E1B72" w:rsidRDefault="006E4BF0" w:rsidP="00CE69A9">
      <w:pPr>
        <w:pStyle w:val="Bulletlevel1"/>
      </w:pPr>
      <w:r>
        <w:rPr>
          <w:b/>
        </w:rPr>
        <w:t>Data</w:t>
      </w:r>
      <w:r w:rsidR="00B12F69">
        <w:rPr>
          <w:b/>
        </w:rPr>
        <w:t xml:space="preserve"> on skills, especially skills outside of formal qualifications. </w:t>
      </w:r>
      <w:r w:rsidR="00B12F69">
        <w:t xml:space="preserve">While this paper uses formal qualifications as the proxy to identify skills, creative skills </w:t>
      </w:r>
      <w:r>
        <w:t>are</w:t>
      </w:r>
      <w:r w:rsidR="00B12F69">
        <w:t xml:space="preserve"> broader than formal qualifications alone. Better information on those that have been involved in creative practice (to reflect ‘learning/skilling-by-doing’)</w:t>
      </w:r>
      <w:r w:rsidR="001C1C0D">
        <w:t xml:space="preserve"> and</w:t>
      </w:r>
      <w:r w:rsidR="00B12F69">
        <w:t xml:space="preserve"> details about multiple qualifications and cross</w:t>
      </w:r>
      <w:r w:rsidR="00B12F69">
        <w:noBreakHyphen/>
        <w:t>disciplinary qualifications</w:t>
      </w:r>
      <w:r w:rsidR="001C1C0D">
        <w:t xml:space="preserve"> would help to paint a more complete picture of creative skills and their use through the economy.</w:t>
      </w:r>
    </w:p>
    <w:p w:rsidR="00D511E2" w:rsidRDefault="006E4BF0" w:rsidP="00921460">
      <w:pPr>
        <w:pStyle w:val="Bulletlevel1"/>
      </w:pPr>
      <w:r>
        <w:rPr>
          <w:b/>
        </w:rPr>
        <w:t>D</w:t>
      </w:r>
      <w:r w:rsidR="001C1C0D" w:rsidRPr="00F703DD">
        <w:rPr>
          <w:b/>
        </w:rPr>
        <w:t>etailed data on innovation.</w:t>
      </w:r>
      <w:r w:rsidR="001C1C0D">
        <w:t xml:space="preserve"> Currently, industry-division level data on innovation activ</w:t>
      </w:r>
      <w:r w:rsidR="00D2184E">
        <w:t>ity as</w:t>
      </w:r>
      <w:r w:rsidR="001C1C0D">
        <w:t xml:space="preserve"> published by the Australian Bureau of Statistics (ABS)</w:t>
      </w:r>
      <w:r>
        <w:t xml:space="preserve"> does not readily enable the identification of industries that innovate through the use of creative skills. The </w:t>
      </w:r>
      <w:r w:rsidR="001C1C0D">
        <w:t>Business</w:t>
      </w:r>
      <w:r w:rsidR="0002438A" w:rsidRPr="0002438A">
        <w:t xml:space="preserve"> Longitudinal Analysis Data Environment</w:t>
      </w:r>
      <w:r w:rsidR="0002438A">
        <w:t xml:space="preserve"> </w:t>
      </w:r>
      <w:r>
        <w:t>can provide access to more disaggregated data, but at a level that may not be statistically robust for disaggregating to the level necessary to analyse creative industries</w:t>
      </w:r>
      <w:r w:rsidR="00D511E2">
        <w:t>.</w:t>
      </w:r>
    </w:p>
    <w:p w:rsidR="00D511E2" w:rsidRDefault="00271F8A" w:rsidP="00921460">
      <w:pPr>
        <w:pStyle w:val="Bulletlevel1"/>
      </w:pPr>
      <w:r>
        <w:rPr>
          <w:b/>
        </w:rPr>
        <w:t>J</w:t>
      </w:r>
      <w:r w:rsidR="00206F4C" w:rsidRPr="00206F4C">
        <w:rPr>
          <w:b/>
        </w:rPr>
        <w:t>ob advertisements and outcomes</w:t>
      </w:r>
      <w:r w:rsidR="00206F4C">
        <w:rPr>
          <w:b/>
        </w:rPr>
        <w:t>.</w:t>
      </w:r>
      <w:r w:rsidR="00206F4C">
        <w:t xml:space="preserve"> Collection and analysis of job advertisements can be used to identify the skills and characteristics of employees that businesses are searching for. These data are being used in Australia</w:t>
      </w:r>
      <w:r w:rsidR="00EE64ED">
        <w:rPr>
          <w:rStyle w:val="EndnoteReference"/>
        </w:rPr>
        <w:endnoteReference w:id="70"/>
      </w:r>
      <w:r w:rsidR="00206F4C">
        <w:t xml:space="preserve"> and overseas</w:t>
      </w:r>
      <w:r w:rsidR="00EE64ED">
        <w:rPr>
          <w:rStyle w:val="EndnoteReference"/>
        </w:rPr>
        <w:endnoteReference w:id="71"/>
      </w:r>
      <w:r w:rsidR="000064C1">
        <w:t xml:space="preserve"> to identify future skills needs. </w:t>
      </w:r>
      <w:r w:rsidR="009B16EA">
        <w:t>Understanding whether these jobs are filled, and filled by those with the skills sought in advertisements, could help identify creative skills, or the skills that are substituted when the creatively skilled are not available</w:t>
      </w:r>
      <w:r w:rsidR="00D511E2">
        <w:t>.</w:t>
      </w:r>
    </w:p>
    <w:bookmarkEnd w:id="31"/>
    <w:bookmarkEnd w:id="32"/>
    <w:p w:rsidR="00050D6D" w:rsidRDefault="00050D6D" w:rsidP="00AB6E89">
      <w:pPr>
        <w:spacing w:after="160" w:line="259" w:lineRule="auto"/>
      </w:pPr>
    </w:p>
    <w:p w:rsidR="007F43EC" w:rsidRDefault="007F43EC" w:rsidP="00AB6E89">
      <w:pPr>
        <w:spacing w:after="160" w:line="259" w:lineRule="auto"/>
        <w:sectPr w:rsidR="007F43EC" w:rsidSect="00BB2DE6">
          <w:footnotePr>
            <w:numFmt w:val="lowerRoman"/>
          </w:footnotePr>
          <w:endnotePr>
            <w:numFmt w:val="decimal"/>
          </w:endnotePr>
          <w:pgSz w:w="11906" w:h="16838"/>
          <w:pgMar w:top="1985" w:right="1133" w:bottom="1276" w:left="1440" w:header="0" w:footer="567" w:gutter="0"/>
          <w:pgNumType w:start="1"/>
          <w:cols w:space="708"/>
          <w:docGrid w:linePitch="360"/>
        </w:sectPr>
      </w:pPr>
    </w:p>
    <w:p w:rsidR="00050D6D" w:rsidRDefault="00050D6D" w:rsidP="00050D6D">
      <w:pPr>
        <w:pStyle w:val="Heading2"/>
      </w:pPr>
      <w:bookmarkStart w:id="41" w:name="_Toc531801749"/>
      <w:r>
        <w:lastRenderedPageBreak/>
        <w:t>References</w:t>
      </w:r>
      <w:bookmarkEnd w:id="41"/>
    </w:p>
    <w:sectPr w:rsidR="00050D6D" w:rsidSect="00926ACB">
      <w:footnotePr>
        <w:numFmt w:val="lowerRoman"/>
      </w:footnotePr>
      <w:endnotePr>
        <w:numFmt w:val="decimal"/>
      </w:endnotePr>
      <w:pgSz w:w="11906" w:h="16838"/>
      <w:pgMar w:top="1985" w:right="1133" w:bottom="1276" w:left="1440"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571" w:rsidRDefault="00B52571" w:rsidP="002117E6">
      <w:pPr>
        <w:spacing w:after="0"/>
      </w:pPr>
      <w:r>
        <w:separator/>
      </w:r>
    </w:p>
  </w:endnote>
  <w:endnote w:type="continuationSeparator" w:id="0">
    <w:p w:rsidR="00B52571" w:rsidRDefault="00B52571" w:rsidP="002117E6">
      <w:pPr>
        <w:spacing w:after="0"/>
      </w:pPr>
      <w:r>
        <w:continuationSeparator/>
      </w:r>
    </w:p>
  </w:endnote>
  <w:endnote w:type="continuationNotice" w:id="1">
    <w:p w:rsidR="00B52571" w:rsidRDefault="00B52571">
      <w:pPr>
        <w:spacing w:after="0"/>
      </w:pPr>
    </w:p>
  </w:endnote>
  <w:endnote w:id="2">
    <w:p w:rsidR="00C06717" w:rsidRDefault="00C06717">
      <w:pPr>
        <w:pStyle w:val="EndnoteText"/>
      </w:pPr>
      <w:r>
        <w:rPr>
          <w:rStyle w:val="EndnoteReference"/>
        </w:rPr>
        <w:endnoteRef/>
      </w:r>
      <w:r>
        <w:t xml:space="preserve"> National Research Council (1999) The Changing Nature of Work: Implications for Occupational Analysis. Washington D.C.: The National Academies Press.</w:t>
      </w:r>
    </w:p>
  </w:endnote>
  <w:endnote w:id="3">
    <w:p w:rsidR="00C06717" w:rsidRPr="00C879C7" w:rsidRDefault="00C06717" w:rsidP="00097414">
      <w:pPr>
        <w:pStyle w:val="EndnoteText"/>
        <w:rPr>
          <w:rFonts w:cs="Times New Roman"/>
        </w:rPr>
      </w:pPr>
      <w:r w:rsidRPr="00806D5B">
        <w:rPr>
          <w:rStyle w:val="EndnoteReference"/>
          <w:rFonts w:asciiTheme="majorHAnsi" w:hAnsiTheme="majorHAnsi" w:cs="Times New Roman"/>
        </w:rPr>
        <w:endnoteRef/>
      </w:r>
      <w:r w:rsidRPr="00806D5B">
        <w:rPr>
          <w:rFonts w:asciiTheme="majorHAnsi" w:hAnsiTheme="majorHAnsi" w:cs="Times New Roman"/>
        </w:rPr>
        <w:t xml:space="preserve"> </w:t>
      </w:r>
      <w:r w:rsidRPr="00C879C7">
        <w:rPr>
          <w:rFonts w:cs="Times New Roman"/>
        </w:rPr>
        <w:t xml:space="preserve">Caruso, L. (2017) Digital innovation and the fourth industrial revolution: epochal social changes?, </w:t>
      </w:r>
      <w:r w:rsidRPr="00C879C7">
        <w:rPr>
          <w:rFonts w:cs="Times New Roman"/>
          <w:i/>
        </w:rPr>
        <w:t>AI &amp; Society.</w:t>
      </w:r>
    </w:p>
  </w:endnote>
  <w:endnote w:id="4">
    <w:p w:rsidR="00C06717" w:rsidRPr="00C879C7" w:rsidRDefault="00C06717" w:rsidP="00097414">
      <w:pPr>
        <w:pStyle w:val="EndnoteText"/>
      </w:pPr>
      <w:r w:rsidRPr="00C879C7">
        <w:rPr>
          <w:rStyle w:val="EndnoteReference"/>
        </w:rPr>
        <w:endnoteRef/>
      </w:r>
      <w:r w:rsidRPr="00C879C7">
        <w:t xml:space="preserve"> McKinsey Global Institute (2017), </w:t>
      </w:r>
      <w:hyperlink r:id="rId1" w:history="1">
        <w:r w:rsidRPr="00C879C7">
          <w:rPr>
            <w:rStyle w:val="Hyperlink"/>
          </w:rPr>
          <w:t>A Future That Works: Automation, Employment and Productivity</w:t>
        </w:r>
      </w:hyperlink>
      <w:r w:rsidRPr="00C879C7">
        <w:t>, p. 1.</w:t>
      </w:r>
    </w:p>
  </w:endnote>
  <w:endnote w:id="5">
    <w:p w:rsidR="00C06717" w:rsidRPr="00C879C7" w:rsidRDefault="00C06717" w:rsidP="00097414">
      <w:pPr>
        <w:pStyle w:val="EndnoteText"/>
      </w:pPr>
      <w:r w:rsidRPr="00C879C7">
        <w:rPr>
          <w:rStyle w:val="EndnoteReference"/>
        </w:rPr>
        <w:endnoteRef/>
      </w:r>
      <w:r w:rsidRPr="00C879C7">
        <w:t xml:space="preserve"> Ibid., p. ii.</w:t>
      </w:r>
    </w:p>
  </w:endnote>
  <w:endnote w:id="6">
    <w:p w:rsidR="00C06717" w:rsidRPr="00C879C7" w:rsidRDefault="00C06717" w:rsidP="00097414">
      <w:pPr>
        <w:pStyle w:val="EndnoteText"/>
      </w:pPr>
      <w:r w:rsidRPr="00C879C7">
        <w:rPr>
          <w:rStyle w:val="EndnoteReference"/>
        </w:rPr>
        <w:endnoteRef/>
      </w:r>
      <w:r w:rsidRPr="00C879C7">
        <w:t xml:space="preserve"> Ibid., p. 1.</w:t>
      </w:r>
    </w:p>
  </w:endnote>
  <w:endnote w:id="7">
    <w:p w:rsidR="00C06717" w:rsidRPr="00C879C7" w:rsidRDefault="00C06717" w:rsidP="00097414">
      <w:pPr>
        <w:pStyle w:val="EndnoteText"/>
      </w:pPr>
      <w:r w:rsidRPr="00C879C7">
        <w:rPr>
          <w:rStyle w:val="EndnoteReference"/>
        </w:rPr>
        <w:endnoteRef/>
      </w:r>
      <w:r w:rsidRPr="00C879C7">
        <w:t xml:space="preserve"> PwC (2017a), </w:t>
      </w:r>
      <w:hyperlink r:id="rId2" w:history="1">
        <w:r w:rsidRPr="00C879C7">
          <w:rPr>
            <w:rStyle w:val="Hyperlink"/>
          </w:rPr>
          <w:t>UK Economic Outlook</w:t>
        </w:r>
        <w:r>
          <w:rPr>
            <w:rStyle w:val="Hyperlink"/>
          </w:rPr>
          <w:t>—</w:t>
        </w:r>
        <w:r w:rsidRPr="00C879C7">
          <w:rPr>
            <w:rStyle w:val="Hyperlink"/>
          </w:rPr>
          <w:t>March 2017</w:t>
        </w:r>
      </w:hyperlink>
      <w:r w:rsidRPr="00C879C7">
        <w:rPr>
          <w:rStyle w:val="Hyperlink"/>
        </w:rPr>
        <w:t>, p. 31.</w:t>
      </w:r>
    </w:p>
  </w:endnote>
  <w:endnote w:id="8">
    <w:p w:rsidR="00C06717" w:rsidRPr="00C879C7" w:rsidRDefault="00C06717" w:rsidP="00097414">
      <w:pPr>
        <w:pStyle w:val="EndnoteText"/>
      </w:pPr>
      <w:r w:rsidRPr="00C879C7">
        <w:rPr>
          <w:rStyle w:val="EndnoteReference"/>
        </w:rPr>
        <w:endnoteRef/>
      </w:r>
      <w:r w:rsidRPr="00C879C7">
        <w:t xml:space="preserve"> Frey, C. B. and M. A. Osborne (2013), </w:t>
      </w:r>
      <w:hyperlink r:id="rId3" w:history="1">
        <w:r w:rsidRPr="00C879C7">
          <w:rPr>
            <w:rStyle w:val="Hyperlink"/>
          </w:rPr>
          <w:t>The Future of Employment: How Susceptible are Jobs to Computerization?</w:t>
        </w:r>
      </w:hyperlink>
      <w:r w:rsidRPr="00C879C7">
        <w:t>, University of Oxford.</w:t>
      </w:r>
    </w:p>
  </w:endnote>
  <w:endnote w:id="9">
    <w:p w:rsidR="00C06717" w:rsidRPr="00C879C7" w:rsidRDefault="00C06717" w:rsidP="00097414">
      <w:pPr>
        <w:pStyle w:val="EndnoteText"/>
      </w:pPr>
      <w:r w:rsidRPr="00C879C7">
        <w:rPr>
          <w:rStyle w:val="EndnoteReference"/>
        </w:rPr>
        <w:endnoteRef/>
      </w:r>
      <w:r w:rsidRPr="00C879C7">
        <w:t xml:space="preserve"> Edmonds, D. and T. Bradley (2015), </w:t>
      </w:r>
      <w:hyperlink r:id="rId4" w:history="1">
        <w:r w:rsidRPr="00C879C7">
          <w:rPr>
            <w:rStyle w:val="Hyperlink"/>
          </w:rPr>
          <w:t>Mechanical boon: will automation advance Australia?</w:t>
        </w:r>
      </w:hyperlink>
      <w:r w:rsidRPr="00C879C7">
        <w:t>, Office of the Chief Economist, Department of Industry, Innovation and Science, Research paper 7/2015.</w:t>
      </w:r>
    </w:p>
  </w:endnote>
  <w:endnote w:id="10">
    <w:p w:rsidR="00C06717" w:rsidRPr="00C879C7" w:rsidRDefault="00C06717" w:rsidP="00097414">
      <w:pPr>
        <w:pStyle w:val="EndnoteText"/>
      </w:pPr>
      <w:r w:rsidRPr="00C879C7">
        <w:rPr>
          <w:rStyle w:val="EndnoteReference"/>
        </w:rPr>
        <w:endnoteRef/>
      </w:r>
      <w:r w:rsidRPr="00C879C7">
        <w:t xml:space="preserve"> Arntz, M., T. Gregory and U. Zierahn (2016), “The Ri</w:t>
      </w:r>
      <w:r>
        <w:t>se</w:t>
      </w:r>
      <w:r w:rsidRPr="00C879C7">
        <w:t xml:space="preserve"> of Automation for Jobs in OECD Countries: A Comparative Analysis”, </w:t>
      </w:r>
      <w:r w:rsidRPr="00C879C7">
        <w:rPr>
          <w:i/>
        </w:rPr>
        <w:t>OECD Social, Employment and Migration Working Papers</w:t>
      </w:r>
      <w:r w:rsidRPr="00C879C7">
        <w:t>, No. 189, OECD Publishing, Paris.</w:t>
      </w:r>
    </w:p>
  </w:endnote>
  <w:endnote w:id="11">
    <w:p w:rsidR="00C06717" w:rsidRPr="00C879C7" w:rsidRDefault="00C06717" w:rsidP="00097414">
      <w:pPr>
        <w:pStyle w:val="EndnoteText"/>
      </w:pPr>
      <w:r w:rsidRPr="00C879C7">
        <w:rPr>
          <w:rStyle w:val="EndnoteReference"/>
        </w:rPr>
        <w:endnoteRef/>
      </w:r>
      <w:r w:rsidRPr="00C879C7">
        <w:t xml:space="preserve"> McKinsey Global Institute (2017), </w:t>
      </w:r>
      <w:hyperlink r:id="rId5" w:history="1">
        <w:r w:rsidRPr="00C879C7">
          <w:rPr>
            <w:rStyle w:val="Hyperlink"/>
          </w:rPr>
          <w:t>A Future That Works: Automation, Employment and Productivity</w:t>
        </w:r>
      </w:hyperlink>
      <w:r w:rsidRPr="00C879C7">
        <w:rPr>
          <w:rStyle w:val="Hyperlink"/>
        </w:rPr>
        <w:t xml:space="preserve">. </w:t>
      </w:r>
    </w:p>
  </w:endnote>
  <w:endnote w:id="12">
    <w:p w:rsidR="00C06717" w:rsidRPr="00C879C7" w:rsidRDefault="00C06717" w:rsidP="00097414">
      <w:pPr>
        <w:pStyle w:val="EndnoteText"/>
      </w:pPr>
      <w:r w:rsidRPr="00C879C7">
        <w:rPr>
          <w:rStyle w:val="EndnoteReference"/>
        </w:rPr>
        <w:endnoteRef/>
      </w:r>
      <w:r w:rsidRPr="00C879C7">
        <w:t xml:space="preserve"> PwC (2017a), </w:t>
      </w:r>
      <w:hyperlink r:id="rId6" w:history="1">
        <w:r w:rsidRPr="00C879C7">
          <w:rPr>
            <w:rStyle w:val="Hyperlink"/>
          </w:rPr>
          <w:t>UK Economic Outlook</w:t>
        </w:r>
        <w:r>
          <w:rPr>
            <w:rStyle w:val="Hyperlink"/>
          </w:rPr>
          <w:t>—</w:t>
        </w:r>
        <w:r w:rsidRPr="00C879C7">
          <w:rPr>
            <w:rStyle w:val="Hyperlink"/>
          </w:rPr>
          <w:t>March 2017</w:t>
        </w:r>
      </w:hyperlink>
      <w:r w:rsidRPr="00C879C7">
        <w:rPr>
          <w:rStyle w:val="Hyperlink"/>
        </w:rPr>
        <w:t>.</w:t>
      </w:r>
      <w:r>
        <w:rPr>
          <w:rStyle w:val="Hyperlink"/>
        </w:rPr>
        <w:t xml:space="preserve"> </w:t>
      </w:r>
      <w:r>
        <w:t xml:space="preserve">Accessed 26 November 2018. </w:t>
      </w:r>
    </w:p>
  </w:endnote>
  <w:endnote w:id="13">
    <w:p w:rsidR="00C06717" w:rsidRPr="00C879C7" w:rsidRDefault="00C06717" w:rsidP="00097414">
      <w:pPr>
        <w:pStyle w:val="EndnoteText"/>
      </w:pPr>
      <w:r w:rsidRPr="00C879C7">
        <w:rPr>
          <w:rStyle w:val="EndnoteReference"/>
        </w:rPr>
        <w:endnoteRef/>
      </w:r>
      <w:r w:rsidRPr="00C879C7">
        <w:t xml:space="preserve"> PwC (2017b), </w:t>
      </w:r>
      <w:hyperlink r:id="rId7" w:history="1">
        <w:r w:rsidRPr="00C879C7">
          <w:rPr>
            <w:rStyle w:val="Hyperlink"/>
          </w:rPr>
          <w:t>Will robots really steal our jobs? An international analysis of the potential long term impact of automation</w:t>
        </w:r>
      </w:hyperlink>
      <w:r w:rsidRPr="00C879C7">
        <w:t>.</w:t>
      </w:r>
      <w:r>
        <w:t xml:space="preserve"> Accessed 26 November 2018.</w:t>
      </w:r>
    </w:p>
  </w:endnote>
  <w:endnote w:id="14">
    <w:p w:rsidR="00C06717" w:rsidRPr="00C879C7" w:rsidRDefault="00C06717" w:rsidP="00097414">
      <w:pPr>
        <w:pStyle w:val="EndnoteText"/>
      </w:pPr>
      <w:r w:rsidRPr="00C879C7">
        <w:rPr>
          <w:rStyle w:val="EndnoteReference"/>
        </w:rPr>
        <w:endnoteRef/>
      </w:r>
      <w:r w:rsidRPr="00C879C7">
        <w:t xml:space="preserve"> Bakhshi, H., J. Downing, M. Osborne and P. Schneider (2017), </w:t>
      </w:r>
      <w:hyperlink r:id="rId8" w:history="1">
        <w:r w:rsidRPr="00C879C7">
          <w:rPr>
            <w:rStyle w:val="Hyperlink"/>
          </w:rPr>
          <w:t>The Future of Skills: Employment in 2030</w:t>
        </w:r>
      </w:hyperlink>
      <w:r w:rsidRPr="00C879C7">
        <w:t>. London: Pearson and Nesta.</w:t>
      </w:r>
    </w:p>
  </w:endnote>
  <w:endnote w:id="15">
    <w:p w:rsidR="00C06717" w:rsidRPr="00C879C7" w:rsidRDefault="00C06717" w:rsidP="00097414">
      <w:pPr>
        <w:pStyle w:val="EndnoteText"/>
      </w:pPr>
      <w:r w:rsidRPr="00C879C7">
        <w:rPr>
          <w:rStyle w:val="EndnoteReference"/>
        </w:rPr>
        <w:endnoteRef/>
      </w:r>
      <w:r w:rsidRPr="00C879C7">
        <w:t xml:space="preserve"> AlphaBeta (2017), </w:t>
      </w:r>
      <w:hyperlink r:id="rId9" w:history="1">
        <w:r w:rsidRPr="00C879C7">
          <w:rPr>
            <w:rStyle w:val="Hyperlink"/>
          </w:rPr>
          <w:t>The Automation Advantage</w:t>
        </w:r>
      </w:hyperlink>
      <w:r w:rsidRPr="00C879C7">
        <w:t>.</w:t>
      </w:r>
      <w:r>
        <w:t xml:space="preserve"> Accessed 26 November 2018.</w:t>
      </w:r>
    </w:p>
  </w:endnote>
  <w:endnote w:id="16">
    <w:p w:rsidR="00C06717" w:rsidRPr="000711B8" w:rsidRDefault="00C06717">
      <w:pPr>
        <w:pStyle w:val="EndnoteText"/>
      </w:pPr>
      <w:r>
        <w:rPr>
          <w:rStyle w:val="EndnoteReference"/>
        </w:rPr>
        <w:endnoteRef/>
      </w:r>
      <w:r>
        <w:t xml:space="preserve"> Borland, J. &amp; Coelli, M. (2017) </w:t>
      </w:r>
      <w:r>
        <w:rPr>
          <w:i/>
        </w:rPr>
        <w:t>Are Robots Taking Our Jobs?</w:t>
      </w:r>
      <w:r>
        <w:t>, Australian Economic Review, Vol. 50, No. 4, pp. 377–397.</w:t>
      </w:r>
    </w:p>
  </w:endnote>
  <w:endnote w:id="17">
    <w:p w:rsidR="00C06717" w:rsidRPr="00C879C7" w:rsidRDefault="00C06717" w:rsidP="00C85FB5">
      <w:pPr>
        <w:pStyle w:val="EndnoteText"/>
      </w:pPr>
      <w:r w:rsidRPr="00C879C7">
        <w:rPr>
          <w:rStyle w:val="EndnoteReference"/>
        </w:rPr>
        <w:endnoteRef/>
      </w:r>
      <w:r w:rsidRPr="00C879C7">
        <w:t xml:space="preserve"> Arntz, Gregory and Zierahn (2016), p. 23.</w:t>
      </w:r>
    </w:p>
  </w:endnote>
  <w:endnote w:id="18">
    <w:p w:rsidR="00C06717" w:rsidRPr="00C879C7" w:rsidRDefault="00C06717" w:rsidP="00C85FB5">
      <w:pPr>
        <w:pStyle w:val="EndnoteText"/>
      </w:pPr>
      <w:r w:rsidRPr="00C879C7">
        <w:rPr>
          <w:rStyle w:val="EndnoteReference"/>
        </w:rPr>
        <w:endnoteRef/>
      </w:r>
      <w:r w:rsidRPr="00C879C7">
        <w:t xml:space="preserve"> Ibid.</w:t>
      </w:r>
    </w:p>
  </w:endnote>
  <w:endnote w:id="19">
    <w:p w:rsidR="00C06717" w:rsidRPr="00C879C7" w:rsidRDefault="00C06717" w:rsidP="00C85FB5">
      <w:pPr>
        <w:pStyle w:val="EndnoteText"/>
      </w:pPr>
      <w:r w:rsidRPr="00C879C7">
        <w:rPr>
          <w:rStyle w:val="EndnoteReference"/>
        </w:rPr>
        <w:endnoteRef/>
      </w:r>
      <w:r w:rsidRPr="00C879C7">
        <w:t xml:space="preserve"> Ibid.</w:t>
      </w:r>
    </w:p>
  </w:endnote>
  <w:endnote w:id="20">
    <w:p w:rsidR="00C06717" w:rsidRPr="00C879C7" w:rsidRDefault="00C06717">
      <w:pPr>
        <w:pStyle w:val="EndnoteText"/>
      </w:pPr>
      <w:r w:rsidRPr="00C879C7">
        <w:rPr>
          <w:rStyle w:val="EndnoteReference"/>
        </w:rPr>
        <w:endnoteRef/>
      </w:r>
      <w:r w:rsidRPr="00C879C7">
        <w:t xml:space="preserve"> Edmonds, D &amp; Bradley, M. (2015) Mechanical boon: will automation advance Australia, Office of the Chief Economist, Department of Industry, Innovation and Science, Research Paper, Canberra. </w:t>
      </w:r>
    </w:p>
  </w:endnote>
  <w:endnote w:id="21">
    <w:p w:rsidR="00C06717" w:rsidRPr="00C879C7" w:rsidRDefault="00C06717" w:rsidP="005659A6">
      <w:pPr>
        <w:pStyle w:val="EndnoteText"/>
      </w:pPr>
      <w:r w:rsidRPr="00C879C7">
        <w:rPr>
          <w:rStyle w:val="EndnoteReference"/>
        </w:rPr>
        <w:endnoteRef/>
      </w:r>
      <w:r w:rsidRPr="00C879C7">
        <w:t xml:space="preserve"> ABS (2017), 5204.0</w:t>
      </w:r>
      <w:r>
        <w:t>—</w:t>
      </w:r>
      <w:r w:rsidRPr="00C879C7">
        <w:t>Australian System of National Accounts, Table 5, Gross Value Added (GVA) by Industry.</w:t>
      </w:r>
    </w:p>
  </w:endnote>
  <w:endnote w:id="22">
    <w:p w:rsidR="00C06717" w:rsidRPr="00C879C7" w:rsidRDefault="00C06717" w:rsidP="00097414">
      <w:pPr>
        <w:pStyle w:val="EndnoteText"/>
      </w:pPr>
      <w:r w:rsidRPr="00C879C7">
        <w:rPr>
          <w:rStyle w:val="EndnoteReference"/>
        </w:rPr>
        <w:endnoteRef/>
      </w:r>
      <w:r w:rsidRPr="00C879C7">
        <w:t xml:space="preserve"> PwC (2017a), </w:t>
      </w:r>
      <w:hyperlink r:id="rId10" w:history="1">
        <w:r w:rsidRPr="00C879C7">
          <w:rPr>
            <w:rStyle w:val="Hyperlink"/>
          </w:rPr>
          <w:t>UK Economic Outlook</w:t>
        </w:r>
        <w:r>
          <w:rPr>
            <w:rStyle w:val="Hyperlink"/>
          </w:rPr>
          <w:t>—</w:t>
        </w:r>
        <w:r w:rsidRPr="00C879C7">
          <w:rPr>
            <w:rStyle w:val="Hyperlink"/>
          </w:rPr>
          <w:t>March 2017</w:t>
        </w:r>
      </w:hyperlink>
      <w:r w:rsidRPr="00C879C7">
        <w:t>, p. 44.</w:t>
      </w:r>
    </w:p>
  </w:endnote>
  <w:endnote w:id="23">
    <w:p w:rsidR="00C06717" w:rsidRPr="00C879C7" w:rsidRDefault="00C06717" w:rsidP="00097414">
      <w:pPr>
        <w:pStyle w:val="EndnoteText"/>
      </w:pPr>
      <w:r w:rsidRPr="00C879C7">
        <w:rPr>
          <w:rStyle w:val="EndnoteReference"/>
        </w:rPr>
        <w:endnoteRef/>
      </w:r>
      <w:r w:rsidRPr="00C879C7">
        <w:t xml:space="preserve"> PwC (2015), </w:t>
      </w:r>
      <w:hyperlink r:id="rId11" w:history="1">
        <w:r w:rsidRPr="00C879C7">
          <w:rPr>
            <w:rStyle w:val="Hyperlink"/>
          </w:rPr>
          <w:t>UK Economic Outlook</w:t>
        </w:r>
        <w:r>
          <w:rPr>
            <w:rStyle w:val="Hyperlink"/>
          </w:rPr>
          <w:t>—</w:t>
        </w:r>
        <w:r w:rsidRPr="00C879C7">
          <w:rPr>
            <w:rStyle w:val="Hyperlink"/>
          </w:rPr>
          <w:t>March 2015</w:t>
        </w:r>
      </w:hyperlink>
      <w:r w:rsidRPr="00C879C7">
        <w:t>, pp. 31</w:t>
      </w:r>
      <w:r>
        <w:t>–</w:t>
      </w:r>
      <w:r w:rsidRPr="00C879C7">
        <w:t>32.</w:t>
      </w:r>
    </w:p>
  </w:endnote>
  <w:endnote w:id="24">
    <w:p w:rsidR="00C06717" w:rsidRPr="00C879C7" w:rsidRDefault="00C06717" w:rsidP="00097414">
      <w:pPr>
        <w:pStyle w:val="EndnoteText"/>
      </w:pPr>
      <w:r w:rsidRPr="00C879C7">
        <w:rPr>
          <w:rStyle w:val="EndnoteReference"/>
        </w:rPr>
        <w:endnoteRef/>
      </w:r>
      <w:r w:rsidRPr="00C879C7">
        <w:t xml:space="preserve"> PwC (2017a), p. 44.</w:t>
      </w:r>
    </w:p>
  </w:endnote>
  <w:endnote w:id="25">
    <w:p w:rsidR="00C06717" w:rsidRPr="00C879C7" w:rsidRDefault="00C06717" w:rsidP="00097414">
      <w:pPr>
        <w:pStyle w:val="EndnoteText"/>
      </w:pPr>
      <w:r w:rsidRPr="00C879C7">
        <w:rPr>
          <w:rStyle w:val="EndnoteReference"/>
        </w:rPr>
        <w:endnoteRef/>
      </w:r>
      <w:r w:rsidRPr="00C879C7">
        <w:t xml:space="preserve"> McKinsey Global Institute (2017), pp. 10</w:t>
      </w:r>
      <w:r>
        <w:t>–</w:t>
      </w:r>
      <w:r w:rsidRPr="00C879C7">
        <w:t>11.</w:t>
      </w:r>
    </w:p>
  </w:endnote>
  <w:endnote w:id="26">
    <w:p w:rsidR="00C06717" w:rsidRPr="00C879C7" w:rsidRDefault="00C06717" w:rsidP="00097414">
      <w:pPr>
        <w:pStyle w:val="EndnoteText"/>
      </w:pPr>
      <w:r w:rsidRPr="00C879C7">
        <w:rPr>
          <w:rStyle w:val="EndnoteReference"/>
        </w:rPr>
        <w:endnoteRef/>
      </w:r>
      <w:r w:rsidRPr="00C879C7">
        <w:t xml:space="preserve"> PwC (2017a), p. 44.</w:t>
      </w:r>
    </w:p>
  </w:endnote>
  <w:endnote w:id="27">
    <w:p w:rsidR="00C06717" w:rsidRPr="00C879C7" w:rsidRDefault="00C06717" w:rsidP="00097414">
      <w:pPr>
        <w:pStyle w:val="EndnoteText"/>
      </w:pPr>
      <w:r w:rsidRPr="00C879C7">
        <w:rPr>
          <w:rStyle w:val="EndnoteReference"/>
        </w:rPr>
        <w:endnoteRef/>
      </w:r>
      <w:r w:rsidRPr="00C879C7">
        <w:t xml:space="preserve"> Ibid.</w:t>
      </w:r>
    </w:p>
  </w:endnote>
  <w:endnote w:id="28">
    <w:p w:rsidR="00C06717" w:rsidRPr="00C879C7" w:rsidRDefault="00C06717" w:rsidP="00097414">
      <w:pPr>
        <w:pStyle w:val="EndnoteText"/>
        <w:rPr>
          <w:rFonts w:cs="Times New Roman"/>
        </w:rPr>
      </w:pPr>
      <w:r w:rsidRPr="00C879C7">
        <w:rPr>
          <w:rStyle w:val="EndnoteReference"/>
          <w:rFonts w:cs="Times New Roman"/>
        </w:rPr>
        <w:endnoteRef/>
      </w:r>
      <w:r w:rsidRPr="00C879C7">
        <w:rPr>
          <w:rFonts w:cs="Times New Roman"/>
        </w:rPr>
        <w:t xml:space="preserve"> Schiuma, G. (2017) Arts catalyst of creative organisations for the fourth industrial revolution, </w:t>
      </w:r>
      <w:r w:rsidRPr="00C879C7">
        <w:rPr>
          <w:rFonts w:cs="Times New Roman"/>
          <w:i/>
        </w:rPr>
        <w:t>Journal of Open Innovation: Technology, Market and Complexity</w:t>
      </w:r>
      <w:r>
        <w:rPr>
          <w:rFonts w:cs="Times New Roman"/>
        </w:rPr>
        <w:t>, 3(20).</w:t>
      </w:r>
    </w:p>
  </w:endnote>
  <w:endnote w:id="29">
    <w:p w:rsidR="00C06717" w:rsidRPr="00C879C7" w:rsidRDefault="00C06717" w:rsidP="00097414">
      <w:pPr>
        <w:pStyle w:val="EndnoteText"/>
        <w:rPr>
          <w:rFonts w:cs="Times New Roman"/>
        </w:rPr>
      </w:pPr>
      <w:r w:rsidRPr="00C879C7">
        <w:rPr>
          <w:rStyle w:val="EndnoteReference"/>
          <w:rFonts w:cs="Times New Roman"/>
        </w:rPr>
        <w:endnoteRef/>
      </w:r>
      <w:r w:rsidRPr="00C879C7">
        <w:rPr>
          <w:rFonts w:cs="Times New Roman"/>
        </w:rPr>
        <w:t xml:space="preserve"> Caruso, L. (2017) Digital innovation and the fourth industrial revolution: epochal social changes?, </w:t>
      </w:r>
      <w:r>
        <w:rPr>
          <w:rFonts w:cs="Times New Roman"/>
          <w:i/>
        </w:rPr>
        <w:t>AI &amp; Society</w:t>
      </w:r>
      <w:r w:rsidRPr="00C74856">
        <w:rPr>
          <w:rFonts w:cs="Times New Roman"/>
        </w:rPr>
        <w:t>;</w:t>
      </w:r>
      <w:r>
        <w:rPr>
          <w:rFonts w:cs="Times New Roman"/>
          <w:i/>
        </w:rPr>
        <w:t xml:space="preserve"> </w:t>
      </w:r>
      <w:r>
        <w:rPr>
          <w:rFonts w:cs="Times New Roman"/>
        </w:rPr>
        <w:t>Fadel, C. (2008)</w:t>
      </w:r>
      <w:r w:rsidRPr="00C879C7">
        <w:rPr>
          <w:rFonts w:cs="Times New Roman"/>
        </w:rPr>
        <w:t xml:space="preserve"> </w:t>
      </w:r>
      <w:r w:rsidRPr="00C74856">
        <w:rPr>
          <w:rFonts w:cs="Times New Roman"/>
          <w:i/>
        </w:rPr>
        <w:t>21</w:t>
      </w:r>
      <w:r w:rsidRPr="00C74856">
        <w:rPr>
          <w:rFonts w:cs="Times New Roman"/>
          <w:i/>
          <w:vertAlign w:val="superscript"/>
        </w:rPr>
        <w:t>st</w:t>
      </w:r>
      <w:r w:rsidRPr="00C74856">
        <w:rPr>
          <w:rFonts w:cs="Times New Roman"/>
          <w:i/>
        </w:rPr>
        <w:t xml:space="preserve"> Century Skills: How can you prepare students for the new Global Economy?</w:t>
      </w:r>
      <w:r w:rsidRPr="00C879C7">
        <w:rPr>
          <w:rFonts w:cs="Times New Roman"/>
        </w:rPr>
        <w:t xml:space="preserve"> OECD/CERI, Paris, May 2008</w:t>
      </w:r>
      <w:r>
        <w:rPr>
          <w:rFonts w:cs="Times New Roman"/>
        </w:rPr>
        <w:t>;</w:t>
      </w:r>
      <w:r w:rsidRPr="00C74856">
        <w:t xml:space="preserve"> </w:t>
      </w:r>
      <w:r w:rsidRPr="00C879C7">
        <w:t xml:space="preserve">Innovation and Science Australia (2017) </w:t>
      </w:r>
      <w:r w:rsidRPr="00C74856">
        <w:rPr>
          <w:i/>
        </w:rPr>
        <w:t>Australia 2030: Prosperity through innovation</w:t>
      </w:r>
      <w:r w:rsidRPr="00C879C7">
        <w:t>, Australian Government, Canberra.</w:t>
      </w:r>
    </w:p>
  </w:endnote>
  <w:endnote w:id="30">
    <w:p w:rsidR="00C06717" w:rsidRPr="00C879C7" w:rsidRDefault="00C06717" w:rsidP="00097414">
      <w:pPr>
        <w:pStyle w:val="EndnoteText"/>
      </w:pPr>
      <w:r w:rsidRPr="00C879C7">
        <w:rPr>
          <w:rStyle w:val="EndnoteReference"/>
        </w:rPr>
        <w:endnoteRef/>
      </w:r>
      <w:r w:rsidRPr="00C879C7">
        <w:t xml:space="preserve"> PwC (2017c), </w:t>
      </w:r>
      <w:hyperlink r:id="rId12" w:history="1">
        <w:r w:rsidRPr="00C879C7">
          <w:rPr>
            <w:rStyle w:val="Hyperlink"/>
          </w:rPr>
          <w:t>Workforce of the future: The competing forces shaping 2030</w:t>
        </w:r>
      </w:hyperlink>
      <w:r w:rsidRPr="00C879C7">
        <w:t>, p. 34.</w:t>
      </w:r>
    </w:p>
  </w:endnote>
  <w:endnote w:id="31">
    <w:p w:rsidR="00C06717" w:rsidRPr="00C879C7" w:rsidRDefault="00C06717" w:rsidP="00097414">
      <w:pPr>
        <w:pStyle w:val="EndnoteText"/>
      </w:pPr>
      <w:r w:rsidRPr="00C879C7">
        <w:rPr>
          <w:rStyle w:val="EndnoteReference"/>
        </w:rPr>
        <w:endnoteRef/>
      </w:r>
      <w:r w:rsidRPr="00C879C7">
        <w:t xml:space="preserve"> Bakhshi, Downing, Osborne and Schneider (2017), The Future of Skills: Employment in 2030.</w:t>
      </w:r>
    </w:p>
  </w:endnote>
  <w:endnote w:id="32">
    <w:p w:rsidR="00C06717" w:rsidRPr="00C879C7" w:rsidRDefault="00C06717" w:rsidP="00097414">
      <w:pPr>
        <w:pStyle w:val="EndnoteText"/>
      </w:pPr>
      <w:r w:rsidRPr="00C879C7">
        <w:rPr>
          <w:rStyle w:val="EndnoteReference"/>
        </w:rPr>
        <w:endnoteRef/>
      </w:r>
      <w:r w:rsidRPr="00C879C7">
        <w:t xml:space="preserve"> Ibid., p. 14.</w:t>
      </w:r>
    </w:p>
  </w:endnote>
  <w:endnote w:id="33">
    <w:p w:rsidR="00C06717" w:rsidRPr="00C879C7" w:rsidRDefault="00C06717" w:rsidP="00097414">
      <w:pPr>
        <w:pStyle w:val="EndnoteText"/>
        <w:rPr>
          <w:rFonts w:cs="Times New Roman"/>
        </w:rPr>
      </w:pPr>
      <w:r w:rsidRPr="00C879C7">
        <w:rPr>
          <w:rStyle w:val="EndnoteReference"/>
          <w:rFonts w:cs="Times New Roman"/>
        </w:rPr>
        <w:endnoteRef/>
      </w:r>
      <w:r w:rsidRPr="00C879C7">
        <w:rPr>
          <w:rFonts w:cs="Times New Roman"/>
        </w:rPr>
        <w:t xml:space="preserve"> Ibid., p. 14.</w:t>
      </w:r>
    </w:p>
  </w:endnote>
  <w:endnote w:id="34">
    <w:p w:rsidR="00C06717" w:rsidRPr="00C879C7" w:rsidRDefault="00C06717" w:rsidP="00097414">
      <w:pPr>
        <w:pStyle w:val="EndnoteText"/>
      </w:pPr>
      <w:r w:rsidRPr="00C879C7">
        <w:rPr>
          <w:rStyle w:val="EndnoteReference"/>
        </w:rPr>
        <w:endnoteRef/>
      </w:r>
      <w:r w:rsidRPr="00C879C7">
        <w:t xml:space="preserve"> Ibid., p. 83.</w:t>
      </w:r>
    </w:p>
  </w:endnote>
  <w:endnote w:id="35">
    <w:p w:rsidR="00C06717" w:rsidRPr="00C879C7" w:rsidRDefault="00C06717" w:rsidP="00097414">
      <w:pPr>
        <w:pStyle w:val="EndnoteText"/>
        <w:rPr>
          <w:rFonts w:cs="Times New Roman"/>
        </w:rPr>
      </w:pPr>
      <w:r w:rsidRPr="00C879C7">
        <w:rPr>
          <w:rStyle w:val="EndnoteReference"/>
          <w:rFonts w:cs="Times New Roman"/>
        </w:rPr>
        <w:endnoteRef/>
      </w:r>
      <w:r w:rsidRPr="00C879C7">
        <w:rPr>
          <w:rFonts w:cs="Times New Roman"/>
        </w:rPr>
        <w:t xml:space="preserve"> Ibid., p. 13.</w:t>
      </w:r>
    </w:p>
  </w:endnote>
  <w:endnote w:id="36">
    <w:p w:rsidR="00C06717" w:rsidRPr="00C879C7" w:rsidRDefault="00C06717" w:rsidP="00097414">
      <w:pPr>
        <w:pStyle w:val="EndnoteText"/>
        <w:rPr>
          <w:rFonts w:cs="Times New Roman"/>
        </w:rPr>
      </w:pPr>
      <w:r w:rsidRPr="00C879C7">
        <w:rPr>
          <w:rStyle w:val="EndnoteReference"/>
          <w:rFonts w:cs="Times New Roman"/>
        </w:rPr>
        <w:endnoteRef/>
      </w:r>
      <w:r w:rsidRPr="00C879C7">
        <w:rPr>
          <w:rFonts w:cs="Times New Roman"/>
        </w:rPr>
        <w:t xml:space="preserve"> Ibid., p.13.</w:t>
      </w:r>
    </w:p>
  </w:endnote>
  <w:endnote w:id="37">
    <w:p w:rsidR="00C06717" w:rsidRDefault="00C06717" w:rsidP="00E940BB">
      <w:pPr>
        <w:pStyle w:val="EndnoteText"/>
      </w:pPr>
      <w:r>
        <w:rPr>
          <w:rStyle w:val="EndnoteReference"/>
        </w:rPr>
        <w:endnoteRef/>
      </w:r>
      <w:r>
        <w:t xml:space="preserve"> PwC (2016) </w:t>
      </w:r>
      <w:hyperlink r:id="rId13" w:history="1">
        <w:r w:rsidRPr="007000BE">
          <w:rPr>
            <w:rStyle w:val="Hyperlink"/>
          </w:rPr>
          <w:t>21</w:t>
        </w:r>
        <w:r w:rsidRPr="003D1A35">
          <w:rPr>
            <w:rStyle w:val="Hyperlink"/>
            <w:vertAlign w:val="superscript"/>
          </w:rPr>
          <w:t>st</w:t>
        </w:r>
        <w:r w:rsidRPr="007000BE">
          <w:rPr>
            <w:rStyle w:val="Hyperlink"/>
          </w:rPr>
          <w:t xml:space="preserve"> Century Minds Accelerator Program</w:t>
        </w:r>
      </w:hyperlink>
      <w:r>
        <w:t xml:space="preserve">. Accessed 27 November 2018; Deloitte (2018) </w:t>
      </w:r>
      <w:hyperlink r:id="rId14" w:history="1">
        <w:r w:rsidRPr="007000BE">
          <w:rPr>
            <w:rStyle w:val="Hyperlink"/>
          </w:rPr>
          <w:t>Tech trends in 2018</w:t>
        </w:r>
      </w:hyperlink>
      <w:r>
        <w:t>. Accessed 27 November 2018.</w:t>
      </w:r>
    </w:p>
  </w:endnote>
  <w:endnote w:id="38">
    <w:p w:rsidR="00C06717" w:rsidRDefault="00C06717">
      <w:pPr>
        <w:pStyle w:val="EndnoteText"/>
      </w:pPr>
      <w:r>
        <w:rPr>
          <w:rStyle w:val="EndnoteReference"/>
        </w:rPr>
        <w:endnoteRef/>
      </w:r>
      <w:r>
        <w:t xml:space="preserve"> BCAR (2018) </w:t>
      </w:r>
      <w:hyperlink r:id="rId15" w:history="1">
        <w:r w:rsidRPr="00A1776D">
          <w:rPr>
            <w:rStyle w:val="Hyperlink"/>
          </w:rPr>
          <w:t>Cultural and Creative Activity in Australia 2008</w:t>
        </w:r>
        <w:r w:rsidR="000E442A">
          <w:rPr>
            <w:rStyle w:val="Hyperlink"/>
          </w:rPr>
          <w:t>-</w:t>
        </w:r>
        <w:r w:rsidRPr="00A1776D">
          <w:rPr>
            <w:rStyle w:val="Hyperlink"/>
          </w:rPr>
          <w:t>09 to 2016</w:t>
        </w:r>
        <w:r w:rsidR="000E442A">
          <w:rPr>
            <w:rStyle w:val="Hyperlink"/>
          </w:rPr>
          <w:t>-</w:t>
        </w:r>
        <w:r w:rsidRPr="00A1776D">
          <w:rPr>
            <w:rStyle w:val="Hyperlink"/>
          </w:rPr>
          <w:t>17</w:t>
        </w:r>
      </w:hyperlink>
      <w:r>
        <w:t>, p. 7.</w:t>
      </w:r>
    </w:p>
  </w:endnote>
  <w:endnote w:id="39">
    <w:p w:rsidR="00C06717" w:rsidRPr="00C879C7" w:rsidRDefault="00C06717" w:rsidP="004C428E">
      <w:pPr>
        <w:pStyle w:val="EndnoteText"/>
        <w:rPr>
          <w:rFonts w:cs="Times New Roman"/>
        </w:rPr>
      </w:pPr>
      <w:r w:rsidRPr="00C879C7">
        <w:rPr>
          <w:rStyle w:val="EndnoteReference"/>
          <w:rFonts w:cs="Times New Roman"/>
        </w:rPr>
        <w:endnoteRef/>
      </w:r>
      <w:r w:rsidRPr="00C879C7">
        <w:rPr>
          <w:rFonts w:cs="Times New Roman"/>
        </w:rPr>
        <w:t xml:space="preserve"> King, N. (1995) Individual creativity and organizational innovation. In C. M. Ford &amp; D. A. Gioia (Eds.), </w:t>
      </w:r>
      <w:r w:rsidRPr="00C879C7">
        <w:rPr>
          <w:rFonts w:cs="Times New Roman"/>
          <w:i/>
        </w:rPr>
        <w:t>Creative action in organizations</w:t>
      </w:r>
      <w:r w:rsidRPr="00C879C7">
        <w:rPr>
          <w:rFonts w:cs="Times New Roman"/>
        </w:rPr>
        <w:t xml:space="preserve"> (pp. 82</w:t>
      </w:r>
      <w:r>
        <w:rPr>
          <w:rFonts w:cs="Times New Roman"/>
        </w:rPr>
        <w:t>–</w:t>
      </w:r>
      <w:r w:rsidRPr="00C879C7">
        <w:rPr>
          <w:rFonts w:cs="Times New Roman"/>
        </w:rPr>
        <w:t>87).</w:t>
      </w:r>
    </w:p>
  </w:endnote>
  <w:endnote w:id="40">
    <w:p w:rsidR="00C06717" w:rsidRPr="00C879C7" w:rsidRDefault="00C06717" w:rsidP="004C428E">
      <w:pPr>
        <w:pStyle w:val="EndnoteText"/>
        <w:rPr>
          <w:rFonts w:cs="Times New Roman"/>
        </w:rPr>
      </w:pPr>
      <w:r w:rsidRPr="00C879C7">
        <w:rPr>
          <w:rStyle w:val="EndnoteReference"/>
          <w:rFonts w:cs="Times New Roman"/>
        </w:rPr>
        <w:endnoteRef/>
      </w:r>
      <w:r w:rsidRPr="00C879C7">
        <w:rPr>
          <w:rFonts w:cs="Times New Roman"/>
        </w:rPr>
        <w:t xml:space="preserve"> Amabile, T. (1997) </w:t>
      </w:r>
      <w:hyperlink r:id="rId16" w:history="1">
        <w:r w:rsidRPr="00C879C7">
          <w:rPr>
            <w:rStyle w:val="Hyperlink"/>
            <w:rFonts w:cs="Times New Roman"/>
          </w:rPr>
          <w:t>Motivating Creativity in Organizations: On Doing What You Love and Loving What You Do</w:t>
        </w:r>
      </w:hyperlink>
      <w:r w:rsidRPr="00C879C7">
        <w:rPr>
          <w:rFonts w:cs="Times New Roman"/>
        </w:rPr>
        <w:t xml:space="preserve">, p.40 </w:t>
      </w:r>
    </w:p>
  </w:endnote>
  <w:endnote w:id="41">
    <w:p w:rsidR="00C06717" w:rsidRPr="00C879C7" w:rsidRDefault="00C06717" w:rsidP="004C428E">
      <w:pPr>
        <w:pStyle w:val="EndnoteText"/>
        <w:rPr>
          <w:rFonts w:cs="Times New Roman"/>
        </w:rPr>
      </w:pPr>
      <w:r w:rsidRPr="00C879C7">
        <w:rPr>
          <w:rStyle w:val="EndnoteReference"/>
          <w:rFonts w:cs="Times New Roman"/>
        </w:rPr>
        <w:endnoteRef/>
      </w:r>
      <w:r w:rsidRPr="00C879C7">
        <w:rPr>
          <w:rFonts w:cs="Times New Roman"/>
        </w:rPr>
        <w:t xml:space="preserve"> Parkhurst, H. (1999) Confusion, lack of consensus, and the definition of creativity as a construct, </w:t>
      </w:r>
      <w:r w:rsidRPr="00C879C7">
        <w:rPr>
          <w:rFonts w:cs="Times New Roman"/>
          <w:i/>
        </w:rPr>
        <w:t>Journal of Creative Behaviour</w:t>
      </w:r>
      <w:r w:rsidRPr="00C879C7">
        <w:rPr>
          <w:rFonts w:cs="Times New Roman"/>
        </w:rPr>
        <w:t>, 33(1), 1</w:t>
      </w:r>
      <w:r>
        <w:rPr>
          <w:rFonts w:cs="Times New Roman"/>
        </w:rPr>
        <w:t>–</w:t>
      </w:r>
      <w:r w:rsidRPr="00C879C7">
        <w:rPr>
          <w:rFonts w:cs="Times New Roman"/>
        </w:rPr>
        <w:t xml:space="preserve">21. </w:t>
      </w:r>
    </w:p>
  </w:endnote>
  <w:endnote w:id="42">
    <w:p w:rsidR="00C06717" w:rsidRPr="00C879C7" w:rsidRDefault="00C06717" w:rsidP="004C428E">
      <w:pPr>
        <w:pStyle w:val="EndnoteText"/>
        <w:rPr>
          <w:rFonts w:cs="Times New Roman"/>
        </w:rPr>
      </w:pPr>
      <w:r w:rsidRPr="00C879C7">
        <w:rPr>
          <w:rStyle w:val="EndnoteReference"/>
          <w:rFonts w:cs="Times New Roman"/>
        </w:rPr>
        <w:endnoteRef/>
      </w:r>
      <w:r w:rsidRPr="00C879C7">
        <w:rPr>
          <w:rFonts w:cs="Times New Roman"/>
        </w:rPr>
        <w:t xml:space="preserve"> British Government (2001) </w:t>
      </w:r>
      <w:hyperlink r:id="rId17" w:history="1">
        <w:r w:rsidRPr="00C879C7">
          <w:rPr>
            <w:rStyle w:val="Hyperlink"/>
            <w:rFonts w:cs="Times New Roman"/>
          </w:rPr>
          <w:t>Creative Industries Mapping Document</w:t>
        </w:r>
      </w:hyperlink>
      <w:r w:rsidRPr="00C879C7">
        <w:rPr>
          <w:rFonts w:cs="Times New Roman"/>
        </w:rPr>
        <w:t xml:space="preserve">, p.5 </w:t>
      </w:r>
    </w:p>
  </w:endnote>
  <w:endnote w:id="43">
    <w:p w:rsidR="00C06717" w:rsidRPr="00C879C7" w:rsidRDefault="00C06717" w:rsidP="004C428E">
      <w:pPr>
        <w:pStyle w:val="EndnoteText"/>
        <w:rPr>
          <w:rFonts w:cs="Times New Roman"/>
        </w:rPr>
      </w:pPr>
      <w:r w:rsidRPr="00C879C7">
        <w:rPr>
          <w:rStyle w:val="EndnoteReference"/>
          <w:rFonts w:cs="Times New Roman"/>
        </w:rPr>
        <w:endnoteRef/>
      </w:r>
      <w:r w:rsidRPr="00C879C7">
        <w:rPr>
          <w:rFonts w:cs="Times New Roman"/>
        </w:rPr>
        <w:t xml:space="preserve"> Kampylis, P., Berki, E. &amp; Saariluoma, P. (2009) In-service and prospective teachers’ conceptions of creativity, </w:t>
      </w:r>
      <w:r w:rsidRPr="00C879C7">
        <w:rPr>
          <w:rFonts w:cs="Times New Roman"/>
          <w:i/>
        </w:rPr>
        <w:t>Thinking Skills and Creativity</w:t>
      </w:r>
      <w:r w:rsidRPr="00C879C7">
        <w:rPr>
          <w:rFonts w:cs="Times New Roman"/>
        </w:rPr>
        <w:t>, 4(1), 15</w:t>
      </w:r>
      <w:r>
        <w:rPr>
          <w:rFonts w:cs="Times New Roman"/>
        </w:rPr>
        <w:t>–</w:t>
      </w:r>
      <w:r w:rsidRPr="00C879C7">
        <w:rPr>
          <w:rFonts w:cs="Times New Roman"/>
        </w:rPr>
        <w:t xml:space="preserve">29. </w:t>
      </w:r>
    </w:p>
  </w:endnote>
  <w:endnote w:id="44">
    <w:p w:rsidR="00C06717" w:rsidRPr="00C879C7" w:rsidRDefault="00C06717" w:rsidP="00B154AF">
      <w:pPr>
        <w:pStyle w:val="EndnoteText"/>
        <w:rPr>
          <w:rFonts w:cs="Times New Roman"/>
        </w:rPr>
      </w:pPr>
      <w:r w:rsidRPr="00C879C7">
        <w:rPr>
          <w:rStyle w:val="EndnoteReference"/>
          <w:rFonts w:cs="Times New Roman"/>
        </w:rPr>
        <w:endnoteRef/>
      </w:r>
      <w:r w:rsidRPr="00C879C7">
        <w:rPr>
          <w:rFonts w:cs="Times New Roman"/>
        </w:rPr>
        <w:t xml:space="preserve"> Zorloni, A. (2013) The Economics of Contemporary Art, p.7 </w:t>
      </w:r>
    </w:p>
  </w:endnote>
  <w:endnote w:id="45">
    <w:p w:rsidR="00C06717" w:rsidRPr="00C879C7" w:rsidRDefault="00C06717" w:rsidP="00EE63AB">
      <w:pPr>
        <w:pStyle w:val="EndnoteText"/>
      </w:pPr>
      <w:r w:rsidRPr="00C879C7">
        <w:rPr>
          <w:rStyle w:val="EndnoteReference"/>
        </w:rPr>
        <w:endnoteRef/>
      </w:r>
      <w:r w:rsidRPr="00C879C7">
        <w:t xml:space="preserve"> ABS (2018) Innovation in Australian Business, 2016</w:t>
      </w:r>
      <w:r>
        <w:t>–</w:t>
      </w:r>
      <w:r w:rsidRPr="00C879C7">
        <w:t>17, Cat. No. 8158.0, Sources of Ideas and Information for Innovation.</w:t>
      </w:r>
    </w:p>
  </w:endnote>
  <w:endnote w:id="46">
    <w:p w:rsidR="00C06717" w:rsidRPr="00C879C7" w:rsidRDefault="00C06717">
      <w:pPr>
        <w:pStyle w:val="EndnoteText"/>
      </w:pPr>
      <w:r w:rsidRPr="00C879C7">
        <w:rPr>
          <w:rStyle w:val="EndnoteReference"/>
        </w:rPr>
        <w:endnoteRef/>
      </w:r>
      <w:r w:rsidRPr="00C879C7">
        <w:t xml:space="preserve"> Other approaches are detailed in the literature of the creative economy, including Howkins, J. (</w:t>
      </w:r>
      <w:r>
        <w:t>2013</w:t>
      </w:r>
      <w:r w:rsidRPr="00C879C7">
        <w:t xml:space="preserve">) The Creative Economy: How People Make Money From Ideas; and Cunningham, S. &amp; Potts, J. (2015) Creative Industries and the wider economy, in Jones et </w:t>
      </w:r>
      <w:r>
        <w:t>al</w:t>
      </w:r>
      <w:r w:rsidRPr="00C879C7">
        <w:t>. (eds) The Oxford Handbook of Creative Industries, Oxford University Press, Oxford, United Kingdom, pp. 387</w:t>
      </w:r>
      <w:r>
        <w:t>–</w:t>
      </w:r>
      <w:r w:rsidRPr="00C879C7">
        <w:t>404.</w:t>
      </w:r>
    </w:p>
  </w:endnote>
  <w:endnote w:id="47">
    <w:p w:rsidR="00C06717" w:rsidRPr="00C879C7" w:rsidRDefault="00C06717" w:rsidP="005F44EF">
      <w:pPr>
        <w:pStyle w:val="EndnoteText"/>
      </w:pPr>
      <w:r w:rsidRPr="00C879C7">
        <w:rPr>
          <w:rStyle w:val="EndnoteReference"/>
        </w:rPr>
        <w:endnoteRef/>
      </w:r>
      <w:r w:rsidRPr="00C879C7">
        <w:t xml:space="preserve"> Bakhshi, H., Freeman, A. and Higgs, P. (2012) A Dynamic Mapping of the UK’s Cre</w:t>
      </w:r>
      <w:r>
        <w:t xml:space="preserve">ative Industries, NESTA, London, as quoted in </w:t>
      </w:r>
      <w:r w:rsidRPr="00C879C7">
        <w:t xml:space="preserve">Higgs, P. &amp; Lennon, S. (2014) </w:t>
      </w:r>
      <w:hyperlink r:id="rId18" w:history="1">
        <w:r w:rsidRPr="00C879C7">
          <w:rPr>
            <w:rStyle w:val="Hyperlink"/>
          </w:rPr>
          <w:t>Australian Creative Employment in 2011</w:t>
        </w:r>
        <w:r>
          <w:rPr>
            <w:rStyle w:val="Hyperlink"/>
          </w:rPr>
          <w:t>—</w:t>
        </w:r>
        <w:r w:rsidRPr="00C879C7">
          <w:rPr>
            <w:rStyle w:val="Hyperlink"/>
          </w:rPr>
          <w:t>applying the NESTA Dynamic Mapping definition methodology to Australian Classifications</w:t>
        </w:r>
      </w:hyperlink>
      <w:r>
        <w:t>, QUT e-Prints, p. 17.</w:t>
      </w:r>
    </w:p>
  </w:endnote>
  <w:endnote w:id="48">
    <w:p w:rsidR="00C06717" w:rsidRPr="00C879C7" w:rsidRDefault="00C06717" w:rsidP="005F44EF">
      <w:pPr>
        <w:pStyle w:val="EndnoteText"/>
      </w:pPr>
      <w:r w:rsidRPr="00C879C7">
        <w:rPr>
          <w:rStyle w:val="EndnoteReference"/>
        </w:rPr>
        <w:endnoteRef/>
      </w:r>
      <w:r w:rsidRPr="00C879C7">
        <w:t xml:space="preserve"> Bakhshi, H., Freeman, A. and Higgs, P. (2012) A Dynamic Mapping of the UK’s Creative Industries, NESTA, London</w:t>
      </w:r>
      <w:r>
        <w:t xml:space="preserve">; </w:t>
      </w:r>
      <w:r w:rsidRPr="00C879C7">
        <w:t xml:space="preserve">Higgs, P. &amp; Lennon, S. (2014) </w:t>
      </w:r>
      <w:hyperlink r:id="rId19" w:history="1">
        <w:r w:rsidRPr="00C879C7">
          <w:rPr>
            <w:rStyle w:val="Hyperlink"/>
          </w:rPr>
          <w:t>Australian Creative Employment in 2011</w:t>
        </w:r>
        <w:r>
          <w:rPr>
            <w:rStyle w:val="Hyperlink"/>
          </w:rPr>
          <w:t>—</w:t>
        </w:r>
        <w:r w:rsidRPr="00C879C7">
          <w:rPr>
            <w:rStyle w:val="Hyperlink"/>
          </w:rPr>
          <w:t>applying the NESTA Dynamic Mapping definition methodology to Australian Classifications</w:t>
        </w:r>
      </w:hyperlink>
      <w:r>
        <w:t>, QUT e-Prints, pp. 4–5.</w:t>
      </w:r>
    </w:p>
  </w:endnote>
  <w:endnote w:id="49">
    <w:p w:rsidR="00C06717" w:rsidRPr="00C879C7" w:rsidRDefault="00C06717" w:rsidP="005F44EF">
      <w:pPr>
        <w:pStyle w:val="EndnoteText"/>
      </w:pPr>
      <w:r w:rsidRPr="00C879C7">
        <w:rPr>
          <w:rStyle w:val="EndnoteReference"/>
        </w:rPr>
        <w:endnoteRef/>
      </w:r>
      <w:r w:rsidRPr="00C879C7">
        <w:t xml:space="preserve"> Higgs, P. &amp; Lennon, S. (2014) </w:t>
      </w:r>
      <w:hyperlink r:id="rId20" w:history="1">
        <w:r w:rsidRPr="00C879C7">
          <w:rPr>
            <w:rStyle w:val="Hyperlink"/>
          </w:rPr>
          <w:t>Australian Creative Employment in 2011</w:t>
        </w:r>
        <w:r>
          <w:rPr>
            <w:rStyle w:val="Hyperlink"/>
          </w:rPr>
          <w:t>—</w:t>
        </w:r>
        <w:r w:rsidRPr="00C879C7">
          <w:rPr>
            <w:rStyle w:val="Hyperlink"/>
          </w:rPr>
          <w:t>applying the NESTA Dynamic Mapping definition methodology to Australian Classifications</w:t>
        </w:r>
      </w:hyperlink>
      <w:r w:rsidRPr="00C879C7">
        <w:t>, QUT e-Prints.</w:t>
      </w:r>
    </w:p>
  </w:endnote>
  <w:endnote w:id="50">
    <w:p w:rsidR="00C06717" w:rsidRPr="00C879C7" w:rsidRDefault="00C06717" w:rsidP="005F44EF">
      <w:pPr>
        <w:pStyle w:val="EndnoteText"/>
      </w:pPr>
      <w:r w:rsidRPr="00C879C7">
        <w:rPr>
          <w:rStyle w:val="EndnoteReference"/>
        </w:rPr>
        <w:endnoteRef/>
      </w:r>
      <w:r w:rsidRPr="00C879C7">
        <w:t xml:space="preserve"> This analysis was carried out at the ANZSCO 6-digit level.</w:t>
      </w:r>
    </w:p>
  </w:endnote>
  <w:endnote w:id="51">
    <w:p w:rsidR="00C06717" w:rsidRPr="00C879C7" w:rsidRDefault="00C06717">
      <w:pPr>
        <w:pStyle w:val="EndnoteText"/>
      </w:pPr>
      <w:r w:rsidRPr="00C879C7">
        <w:rPr>
          <w:rStyle w:val="EndnoteReference"/>
        </w:rPr>
        <w:endnoteRef/>
      </w:r>
      <w:r w:rsidRPr="00C879C7">
        <w:t xml:space="preserve"> Higgs, P. &amp; Lennon, S. (2014) </w:t>
      </w:r>
      <w:hyperlink r:id="rId21" w:history="1">
        <w:r w:rsidRPr="00C879C7">
          <w:rPr>
            <w:rStyle w:val="Hyperlink"/>
          </w:rPr>
          <w:t>Australian Creative Employment in 2011</w:t>
        </w:r>
        <w:r>
          <w:rPr>
            <w:rStyle w:val="Hyperlink"/>
          </w:rPr>
          <w:t>—</w:t>
        </w:r>
        <w:r w:rsidRPr="00C879C7">
          <w:rPr>
            <w:rStyle w:val="Hyperlink"/>
          </w:rPr>
          <w:t>applying the NESTA Dynamic Mapping definition methodology to Australian Classifications</w:t>
        </w:r>
      </w:hyperlink>
      <w:r w:rsidRPr="00C879C7">
        <w:t>, QUT e-Prints, pp. 20</w:t>
      </w:r>
      <w:r>
        <w:t>–</w:t>
      </w:r>
      <w:r w:rsidRPr="00C879C7">
        <w:t>21.</w:t>
      </w:r>
    </w:p>
  </w:endnote>
  <w:endnote w:id="52">
    <w:p w:rsidR="00C06717" w:rsidRPr="00C879C7" w:rsidRDefault="00C06717">
      <w:pPr>
        <w:pStyle w:val="EndnoteText"/>
      </w:pPr>
      <w:r w:rsidRPr="00C879C7">
        <w:rPr>
          <w:rStyle w:val="EndnoteReference"/>
        </w:rPr>
        <w:endnoteRef/>
      </w:r>
      <w:r w:rsidRPr="00C879C7">
        <w:t xml:space="preserve"> See </w:t>
      </w:r>
      <w:hyperlink w:anchor="_Appendix_A:_How" w:history="1">
        <w:r w:rsidRPr="006E170D">
          <w:rPr>
            <w:rStyle w:val="Hyperlink"/>
          </w:rPr>
          <w:t>Appendix A</w:t>
        </w:r>
      </w:hyperlink>
      <w:r w:rsidRPr="00C879C7">
        <w:t>.</w:t>
      </w:r>
    </w:p>
  </w:endnote>
  <w:endnote w:id="53">
    <w:p w:rsidR="00C06717" w:rsidRPr="00C879C7" w:rsidRDefault="00C06717" w:rsidP="00B80EB0">
      <w:pPr>
        <w:pStyle w:val="EndnoteText"/>
      </w:pPr>
      <w:r w:rsidRPr="00C879C7">
        <w:rPr>
          <w:rStyle w:val="EndnoteReference"/>
        </w:rPr>
        <w:endnoteRef/>
      </w:r>
      <w:r w:rsidRPr="00C879C7">
        <w:t xml:space="preserve"> Throsby, D. &amp; Petetskaya, K. (2007) </w:t>
      </w:r>
      <w:hyperlink r:id="rId22" w:history="1">
        <w:r w:rsidRPr="00C879C7">
          <w:rPr>
            <w:rStyle w:val="Hyperlink"/>
          </w:rPr>
          <w:t>Making Art Work: An Economic Study of Professional Artists in Australia</w:t>
        </w:r>
      </w:hyperlink>
      <w:r w:rsidRPr="00C879C7">
        <w:t>, p. 39.</w:t>
      </w:r>
    </w:p>
  </w:endnote>
  <w:endnote w:id="54">
    <w:p w:rsidR="00C06717" w:rsidRPr="00C879C7" w:rsidRDefault="00C06717" w:rsidP="00B80EB0">
      <w:pPr>
        <w:pStyle w:val="EndnoteText"/>
      </w:pPr>
      <w:r w:rsidRPr="00C879C7">
        <w:rPr>
          <w:rStyle w:val="EndnoteReference"/>
        </w:rPr>
        <w:endnoteRef/>
      </w:r>
      <w:r w:rsidRPr="00C879C7">
        <w:t xml:space="preserve"> BCAR estimates based on ABS 2016 Census data (ABS Tablebuilder Basic). A similar distribution is observed for 2011 data, suggesting that these proportions are roughly stable.</w:t>
      </w:r>
    </w:p>
  </w:endnote>
  <w:endnote w:id="55">
    <w:p w:rsidR="00C06717" w:rsidRPr="00C879C7" w:rsidRDefault="00C06717">
      <w:pPr>
        <w:pStyle w:val="EndnoteText"/>
      </w:pPr>
      <w:r w:rsidRPr="00C879C7">
        <w:rPr>
          <w:rStyle w:val="EndnoteReference"/>
        </w:rPr>
        <w:endnoteRef/>
      </w:r>
      <w:r w:rsidRPr="00C879C7">
        <w:t xml:space="preserve"> For example, see Bloore, P. (2009) </w:t>
      </w:r>
      <w:hyperlink r:id="rId23" w:history="1">
        <w:r w:rsidRPr="00C879C7">
          <w:rPr>
            <w:rStyle w:val="Hyperlink"/>
          </w:rPr>
          <w:t>Re-defining the Independent Film Value Chain</w:t>
        </w:r>
      </w:hyperlink>
      <w:r w:rsidRPr="00C879C7">
        <w:t>. (Accessed 7 November 2018).</w:t>
      </w:r>
    </w:p>
  </w:endnote>
  <w:endnote w:id="56">
    <w:p w:rsidR="00C06717" w:rsidRPr="00C879C7" w:rsidRDefault="00C06717" w:rsidP="006F29C2">
      <w:pPr>
        <w:pStyle w:val="EndnoteText"/>
      </w:pPr>
      <w:r w:rsidRPr="00C879C7">
        <w:rPr>
          <w:rStyle w:val="EndnoteReference"/>
        </w:rPr>
        <w:endnoteRef/>
      </w:r>
      <w:r w:rsidRPr="00C879C7">
        <w:t xml:space="preserve"> Cunningham, S. &amp; McCutcheon, M. (2018) </w:t>
      </w:r>
      <w:hyperlink r:id="rId24" w:history="1">
        <w:r w:rsidRPr="00C879C7">
          <w:rPr>
            <w:rStyle w:val="Hyperlink"/>
          </w:rPr>
          <w:t>The Creative Economy in Australia</w:t>
        </w:r>
      </w:hyperlink>
      <w:r w:rsidRPr="00C879C7">
        <w:t xml:space="preserve">. </w:t>
      </w:r>
    </w:p>
  </w:endnote>
  <w:endnote w:id="57">
    <w:p w:rsidR="00C06717" w:rsidRPr="00C879C7" w:rsidRDefault="00C06717" w:rsidP="006F29C2">
      <w:pPr>
        <w:pStyle w:val="EndnoteText"/>
      </w:pPr>
      <w:r w:rsidRPr="00C879C7">
        <w:rPr>
          <w:rStyle w:val="EndnoteReference"/>
        </w:rPr>
        <w:endnoteRef/>
      </w:r>
      <w:r w:rsidRPr="00C879C7">
        <w:t xml:space="preserve"> Cunningham, S. &amp; McCutcheon, M. (2018) </w:t>
      </w:r>
      <w:hyperlink r:id="rId25" w:history="1">
        <w:r w:rsidRPr="00C879C7">
          <w:rPr>
            <w:rStyle w:val="Hyperlink"/>
          </w:rPr>
          <w:t>The Creative Economy in Australia</w:t>
        </w:r>
      </w:hyperlink>
      <w:r w:rsidRPr="00C879C7">
        <w:t xml:space="preserve">, p. 1. </w:t>
      </w:r>
    </w:p>
  </w:endnote>
  <w:endnote w:id="58">
    <w:p w:rsidR="00C06717" w:rsidRPr="00C879C7" w:rsidRDefault="00C06717">
      <w:pPr>
        <w:pStyle w:val="EndnoteText"/>
      </w:pPr>
      <w:r w:rsidRPr="00C879C7">
        <w:rPr>
          <w:rStyle w:val="EndnoteReference"/>
        </w:rPr>
        <w:endnoteRef/>
      </w:r>
      <w:r w:rsidRPr="00C879C7">
        <w:t xml:space="preserve"> Cunningham, S. &amp; McCutcheon, M. (2018) </w:t>
      </w:r>
      <w:hyperlink r:id="rId26" w:history="1">
        <w:r w:rsidRPr="00C879C7">
          <w:rPr>
            <w:rStyle w:val="Hyperlink"/>
          </w:rPr>
          <w:t>The Creative Economy in Australia</w:t>
        </w:r>
      </w:hyperlink>
      <w:r w:rsidRPr="00C879C7">
        <w:t>, p. 1.</w:t>
      </w:r>
    </w:p>
  </w:endnote>
  <w:endnote w:id="59">
    <w:p w:rsidR="00C06717" w:rsidRDefault="00C06717">
      <w:pPr>
        <w:pStyle w:val="EndnoteText"/>
      </w:pPr>
      <w:r>
        <w:rPr>
          <w:rStyle w:val="EndnoteReference"/>
        </w:rPr>
        <w:endnoteRef/>
      </w:r>
      <w:r>
        <w:t xml:space="preserve"> BCAR estimates based on ABS (2017) Australian System of National Accounts, 2016–17, Cat. No. 5204.0.</w:t>
      </w:r>
    </w:p>
  </w:endnote>
  <w:endnote w:id="60">
    <w:p w:rsidR="00C06717" w:rsidRPr="00C879C7" w:rsidRDefault="00C06717">
      <w:pPr>
        <w:pStyle w:val="EndnoteText"/>
      </w:pPr>
      <w:r w:rsidRPr="00C879C7">
        <w:rPr>
          <w:rStyle w:val="EndnoteReference"/>
        </w:rPr>
        <w:endnoteRef/>
      </w:r>
      <w:r w:rsidRPr="00C879C7">
        <w:t xml:space="preserve"> Easton, E. &amp; Djumalieva, J. (2018) </w:t>
      </w:r>
      <w:hyperlink r:id="rId27" w:history="1">
        <w:r w:rsidRPr="00C879C7">
          <w:rPr>
            <w:rStyle w:val="Hyperlink"/>
          </w:rPr>
          <w:t>Creativity and the future of skills</w:t>
        </w:r>
      </w:hyperlink>
      <w:r w:rsidRPr="00C879C7">
        <w:t>, Creative Industries Policy and Evidence Centre, Nesta, United Kingdom. Accessed 19 November 2018.</w:t>
      </w:r>
    </w:p>
  </w:endnote>
  <w:endnote w:id="61">
    <w:p w:rsidR="00C06717" w:rsidRPr="00C879C7" w:rsidRDefault="00C06717" w:rsidP="006F29C2">
      <w:pPr>
        <w:pStyle w:val="EndnoteText"/>
      </w:pPr>
      <w:r w:rsidRPr="00C879C7">
        <w:rPr>
          <w:rStyle w:val="EndnoteReference"/>
        </w:rPr>
        <w:endnoteRef/>
      </w:r>
      <w:r w:rsidRPr="00C879C7">
        <w:t xml:space="preserve"> BCAR estimates based on Department of Jobs and Small Business (2018) </w:t>
      </w:r>
      <w:hyperlink r:id="rId28" w:history="1">
        <w:r w:rsidRPr="00C879C7">
          <w:rPr>
            <w:rStyle w:val="Hyperlink"/>
          </w:rPr>
          <w:t>Industry Projections</w:t>
        </w:r>
        <w:r>
          <w:rPr>
            <w:rStyle w:val="Hyperlink"/>
          </w:rPr>
          <w:t>—</w:t>
        </w:r>
        <w:r w:rsidRPr="00C879C7">
          <w:rPr>
            <w:rStyle w:val="Hyperlink"/>
          </w:rPr>
          <w:t>five years to May 2023</w:t>
        </w:r>
      </w:hyperlink>
      <w:r w:rsidRPr="00C879C7">
        <w:t xml:space="preserve">. High growth industries are defined by the BCAR as those industries that are growing more than a standard deviation above the average growth estimate for the total economy, which equates to employment growth of around 14.6 per cent over the 5 years to 2023. This identifies the following 3-digit ANZSIC groups as high-growth: </w:t>
      </w:r>
      <w:r>
        <w:t xml:space="preserve">Allied Health, </w:t>
      </w:r>
      <w:r w:rsidRPr="00C879C7">
        <w:t>Waste Collection Services; Motion Picture and Video Activities; Sound Recording and Music Publishing; Internet Publishing and Broadcasting; Scientific Research Services; Management and Related Consulting Services; Other Professional, Scientific and Technical Services; Computer System Design and Related Services; Preschool Education; Adult, Community and Other Education, nfd; Adult, Community and Other Education; and Other Social Assistance Services.</w:t>
      </w:r>
    </w:p>
  </w:endnote>
  <w:endnote w:id="62">
    <w:p w:rsidR="00C06717" w:rsidRPr="00C879C7" w:rsidRDefault="00C06717" w:rsidP="002718F7">
      <w:pPr>
        <w:pStyle w:val="EndnoteText"/>
      </w:pPr>
      <w:r w:rsidRPr="00C879C7">
        <w:rPr>
          <w:rStyle w:val="EndnoteReference"/>
        </w:rPr>
        <w:endnoteRef/>
      </w:r>
      <w:r w:rsidRPr="00C879C7">
        <w:t xml:space="preserve"> </w:t>
      </w:r>
      <w:r>
        <w:t>BCAR estimates based on A</w:t>
      </w:r>
      <w:r w:rsidRPr="00C879C7">
        <w:t>BS (2018) Innovation in Australian Business, 2016</w:t>
      </w:r>
      <w:r>
        <w:t>–</w:t>
      </w:r>
      <w:r w:rsidRPr="00C879C7">
        <w:t>17, Cat. No. 8158.0.</w:t>
      </w:r>
    </w:p>
  </w:endnote>
  <w:endnote w:id="63">
    <w:p w:rsidR="00C06717" w:rsidRPr="00C879C7" w:rsidRDefault="00C06717" w:rsidP="0093264C">
      <w:pPr>
        <w:pStyle w:val="EndnoteText"/>
      </w:pPr>
      <w:r w:rsidRPr="00C879C7">
        <w:rPr>
          <w:rStyle w:val="EndnoteReference"/>
        </w:rPr>
        <w:endnoteRef/>
      </w:r>
      <w:r w:rsidRPr="00C879C7">
        <w:t xml:space="preserve"> BCAR (2018) </w:t>
      </w:r>
      <w:hyperlink r:id="rId29" w:history="1">
        <w:r w:rsidRPr="00C879C7">
          <w:rPr>
            <w:rStyle w:val="Hyperlink"/>
          </w:rPr>
          <w:t>Cultural and Creative Activity in Australia, 2008</w:t>
        </w:r>
        <w:r w:rsidR="000E442A">
          <w:rPr>
            <w:rStyle w:val="Hyperlink"/>
          </w:rPr>
          <w:t>–</w:t>
        </w:r>
        <w:r w:rsidRPr="00C879C7">
          <w:rPr>
            <w:rStyle w:val="Hyperlink"/>
          </w:rPr>
          <w:t>09 to 2016</w:t>
        </w:r>
        <w:r w:rsidR="000E442A">
          <w:rPr>
            <w:rStyle w:val="Hyperlink"/>
          </w:rPr>
          <w:t>–</w:t>
        </w:r>
        <w:r w:rsidRPr="00C879C7">
          <w:rPr>
            <w:rStyle w:val="Hyperlink"/>
          </w:rPr>
          <w:t>17</w:t>
        </w:r>
      </w:hyperlink>
      <w:r w:rsidRPr="00C879C7">
        <w:t>, Canberra, p. 5</w:t>
      </w:r>
    </w:p>
  </w:endnote>
  <w:endnote w:id="64">
    <w:p w:rsidR="00C06717" w:rsidRPr="00C879C7" w:rsidRDefault="00C06717" w:rsidP="00ED71E3">
      <w:pPr>
        <w:pStyle w:val="EndnoteText"/>
      </w:pPr>
      <w:r w:rsidRPr="00C879C7">
        <w:rPr>
          <w:rStyle w:val="EndnoteReference"/>
        </w:rPr>
        <w:endnoteRef/>
      </w:r>
      <w:r w:rsidRPr="00C879C7">
        <w:t xml:space="preserve"> BCAR estimates based on ABS (2017) </w:t>
      </w:r>
      <w:hyperlink r:id="rId30" w:history="1">
        <w:r w:rsidRPr="00C879C7">
          <w:rPr>
            <w:rStyle w:val="Hyperlink"/>
          </w:rPr>
          <w:t xml:space="preserve">Australian National Accounts: Input-Output Tables, </w:t>
        </w:r>
        <w:r>
          <w:rPr>
            <w:rStyle w:val="Hyperlink"/>
          </w:rPr>
          <w:t>2014–15</w:t>
        </w:r>
      </w:hyperlink>
      <w:r w:rsidRPr="00C879C7">
        <w:t>, Cat. No. 5209.0.55.001.</w:t>
      </w:r>
    </w:p>
  </w:endnote>
  <w:endnote w:id="65">
    <w:p w:rsidR="00C06717" w:rsidRPr="00C879C7" w:rsidRDefault="00C06717" w:rsidP="000431E1">
      <w:pPr>
        <w:pStyle w:val="EndnoteText"/>
      </w:pPr>
      <w:r w:rsidRPr="00C879C7">
        <w:rPr>
          <w:rStyle w:val="EndnoteReference"/>
        </w:rPr>
        <w:endnoteRef/>
      </w:r>
      <w:r w:rsidRPr="00C879C7">
        <w:t xml:space="preserve"> Higgs, P. &amp; Lennon, S. (2014) </w:t>
      </w:r>
      <w:hyperlink r:id="rId31" w:history="1">
        <w:r w:rsidRPr="00C879C7">
          <w:rPr>
            <w:rStyle w:val="Hyperlink"/>
          </w:rPr>
          <w:t>Australian Creative Employment in 2011</w:t>
        </w:r>
        <w:r>
          <w:rPr>
            <w:rStyle w:val="Hyperlink"/>
          </w:rPr>
          <w:t>—</w:t>
        </w:r>
        <w:r w:rsidRPr="00C879C7">
          <w:rPr>
            <w:rStyle w:val="Hyperlink"/>
          </w:rPr>
          <w:t>applying the NESTA Dynamic Mapping definition methodology to Australian Classifications</w:t>
        </w:r>
      </w:hyperlink>
      <w:r w:rsidRPr="00C879C7">
        <w:t>, QUT e-Prints.</w:t>
      </w:r>
    </w:p>
  </w:endnote>
  <w:endnote w:id="66">
    <w:p w:rsidR="00C06717" w:rsidRDefault="00C06717">
      <w:pPr>
        <w:pStyle w:val="EndnoteText"/>
      </w:pPr>
      <w:r>
        <w:rPr>
          <w:rStyle w:val="EndnoteReference"/>
        </w:rPr>
        <w:endnoteRef/>
      </w:r>
      <w:r>
        <w:t xml:space="preserve"> A full list of ANZSCO definitions can be found at the ABS website, </w:t>
      </w:r>
      <w:hyperlink r:id="rId32" w:history="1">
        <w:r w:rsidRPr="007D49E0">
          <w:rPr>
            <w:rStyle w:val="Hyperlink"/>
          </w:rPr>
          <w:t>here</w:t>
        </w:r>
      </w:hyperlink>
      <w:r>
        <w:t>.</w:t>
      </w:r>
    </w:p>
  </w:endnote>
  <w:endnote w:id="67">
    <w:p w:rsidR="00C06717" w:rsidRDefault="00C06717">
      <w:pPr>
        <w:pStyle w:val="EndnoteText"/>
      </w:pPr>
      <w:r>
        <w:rPr>
          <w:rStyle w:val="EndnoteReference"/>
        </w:rPr>
        <w:endnoteRef/>
      </w:r>
      <w:r>
        <w:t xml:space="preserve"> A full list of ANZSIC definitions can be found at the ABS website, </w:t>
      </w:r>
      <w:hyperlink r:id="rId33" w:history="1">
        <w:r w:rsidRPr="007D49E0">
          <w:rPr>
            <w:rStyle w:val="Hyperlink"/>
          </w:rPr>
          <w:t>here</w:t>
        </w:r>
      </w:hyperlink>
      <w:r>
        <w:t>.</w:t>
      </w:r>
    </w:p>
  </w:endnote>
  <w:endnote w:id="68">
    <w:p w:rsidR="00C06717" w:rsidRPr="00C879C7" w:rsidRDefault="00C06717">
      <w:pPr>
        <w:pStyle w:val="EndnoteText"/>
      </w:pPr>
      <w:r w:rsidRPr="00C879C7">
        <w:rPr>
          <w:rStyle w:val="EndnoteReference"/>
        </w:rPr>
        <w:endnoteRef/>
      </w:r>
      <w:r w:rsidRPr="00C879C7">
        <w:t xml:space="preserve"> Higgs, P. &amp; Lennon, S. (2014) </w:t>
      </w:r>
      <w:hyperlink r:id="rId34" w:history="1">
        <w:r w:rsidRPr="00C879C7">
          <w:rPr>
            <w:rStyle w:val="Hyperlink"/>
          </w:rPr>
          <w:t>Australian Creative Employment in 2011</w:t>
        </w:r>
        <w:r>
          <w:rPr>
            <w:rStyle w:val="Hyperlink"/>
          </w:rPr>
          <w:t>—</w:t>
        </w:r>
        <w:r w:rsidRPr="00C879C7">
          <w:rPr>
            <w:rStyle w:val="Hyperlink"/>
          </w:rPr>
          <w:t>applying the NESTA Dynamic Mapping definition methodology to Australian Classifications</w:t>
        </w:r>
      </w:hyperlink>
      <w:r w:rsidRPr="00C879C7">
        <w:t>, QUT e-Prints, p. 7.</w:t>
      </w:r>
    </w:p>
  </w:endnote>
  <w:endnote w:id="69">
    <w:p w:rsidR="00C06717" w:rsidRPr="00C879C7" w:rsidRDefault="00C06717">
      <w:pPr>
        <w:pStyle w:val="EndnoteText"/>
      </w:pPr>
      <w:r w:rsidRPr="00C879C7">
        <w:rPr>
          <w:rStyle w:val="EndnoteReference"/>
        </w:rPr>
        <w:endnoteRef/>
      </w:r>
      <w:r w:rsidRPr="00C879C7">
        <w:t xml:space="preserve"> ABS (2014) </w:t>
      </w:r>
      <w:hyperlink r:id="rId35" w:history="1">
        <w:r w:rsidRPr="00C879C7">
          <w:rPr>
            <w:rStyle w:val="Hyperlink"/>
          </w:rPr>
          <w:t>Australian National Accounts: Cultural and Creative Activity Satellite Accounts, Experimental, 2008</w:t>
        </w:r>
        <w:r>
          <w:rPr>
            <w:rStyle w:val="Hyperlink"/>
          </w:rPr>
          <w:t>–</w:t>
        </w:r>
        <w:r w:rsidRPr="00C879C7">
          <w:rPr>
            <w:rStyle w:val="Hyperlink"/>
          </w:rPr>
          <w:t>09</w:t>
        </w:r>
      </w:hyperlink>
      <w:r w:rsidRPr="00C879C7">
        <w:t>, Cat no. 5271.0, pp. 38</w:t>
      </w:r>
      <w:r>
        <w:t>–</w:t>
      </w:r>
      <w:r w:rsidRPr="00C879C7">
        <w:t xml:space="preserve">40; BCAR (2018) </w:t>
      </w:r>
      <w:hyperlink r:id="rId36" w:history="1">
        <w:r w:rsidRPr="00C879C7">
          <w:rPr>
            <w:rStyle w:val="Hyperlink"/>
          </w:rPr>
          <w:t>Cultural and Creative Activity in Australia, 2008</w:t>
        </w:r>
        <w:r>
          <w:rPr>
            <w:rStyle w:val="Hyperlink"/>
          </w:rPr>
          <w:t>–</w:t>
        </w:r>
        <w:r w:rsidRPr="00C879C7">
          <w:rPr>
            <w:rStyle w:val="Hyperlink"/>
          </w:rPr>
          <w:t>09 to 2016</w:t>
        </w:r>
        <w:r>
          <w:rPr>
            <w:rStyle w:val="Hyperlink"/>
          </w:rPr>
          <w:t>–</w:t>
        </w:r>
        <w:r w:rsidRPr="00C879C7">
          <w:rPr>
            <w:rStyle w:val="Hyperlink"/>
          </w:rPr>
          <w:t>17</w:t>
        </w:r>
      </w:hyperlink>
      <w:r w:rsidRPr="00C879C7">
        <w:t>, Canberra.</w:t>
      </w:r>
    </w:p>
  </w:endnote>
  <w:endnote w:id="70">
    <w:p w:rsidR="00C06717" w:rsidRPr="00C879C7" w:rsidRDefault="00C06717">
      <w:pPr>
        <w:pStyle w:val="EndnoteText"/>
        <w:rPr>
          <w:b/>
        </w:rPr>
      </w:pPr>
      <w:r w:rsidRPr="00C879C7">
        <w:rPr>
          <w:rStyle w:val="EndnoteReference"/>
        </w:rPr>
        <w:endnoteRef/>
      </w:r>
      <w:r w:rsidRPr="00C879C7">
        <w:rPr>
          <w:b/>
        </w:rPr>
        <w:t xml:space="preserve"> </w:t>
      </w:r>
      <w:r w:rsidRPr="00C879C7">
        <w:t xml:space="preserve">For example, see NCVER (2018) </w:t>
      </w:r>
      <w:hyperlink r:id="rId37" w:history="1">
        <w:r w:rsidRPr="00C879C7">
          <w:rPr>
            <w:rStyle w:val="Hyperlink"/>
          </w:rPr>
          <w:t>Internet job postings: trending and emerging skills</w:t>
        </w:r>
        <w:r>
          <w:rPr>
            <w:rStyle w:val="Hyperlink"/>
          </w:rPr>
          <w:t>—</w:t>
        </w:r>
        <w:r w:rsidRPr="00C879C7">
          <w:rPr>
            <w:rStyle w:val="Hyperlink"/>
          </w:rPr>
          <w:t>infographic</w:t>
        </w:r>
      </w:hyperlink>
      <w:r w:rsidRPr="00C879C7">
        <w:t>, accessed 15</w:t>
      </w:r>
      <w:r w:rsidR="000E442A">
        <w:t> </w:t>
      </w:r>
      <w:r w:rsidRPr="00C879C7">
        <w:t>November 2018.</w:t>
      </w:r>
    </w:p>
  </w:endnote>
  <w:endnote w:id="71">
    <w:p w:rsidR="00C06717" w:rsidRDefault="00C06717">
      <w:pPr>
        <w:pStyle w:val="EndnoteText"/>
      </w:pPr>
      <w:r w:rsidRPr="00C879C7">
        <w:rPr>
          <w:rStyle w:val="EndnoteReference"/>
        </w:rPr>
        <w:endnoteRef/>
      </w:r>
      <w:r w:rsidRPr="00C879C7">
        <w:t xml:space="preserve"> For example, see Djumalieva, J. &amp; Sleeman, C. (2018) </w:t>
      </w:r>
      <w:hyperlink r:id="rId38" w:history="1">
        <w:r w:rsidRPr="00C879C7">
          <w:rPr>
            <w:rStyle w:val="Hyperlink"/>
          </w:rPr>
          <w:t>An Open and Data-driven Taxonomy of Skills Extracted from Online Job Adverts</w:t>
        </w:r>
      </w:hyperlink>
      <w:r w:rsidRPr="00C879C7">
        <w:t>. ESCoE Discussion Paper 2018</w:t>
      </w:r>
      <w:r w:rsidR="000E442A">
        <w:t>-</w:t>
      </w:r>
      <w:r w:rsidRPr="00C879C7">
        <w:t>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717" w:rsidRDefault="00C06717" w:rsidP="001664DA">
    <w:pPr>
      <w:pStyle w:val="Footer"/>
      <w:ind w:left="-1418"/>
    </w:pPr>
    <w:r>
      <w:rPr>
        <w:noProof/>
        <w:lang w:eastAsia="en-AU"/>
      </w:rPr>
      <w:drawing>
        <wp:inline distT="0" distB="0" distL="0" distR="0" wp14:anchorId="3DE98CF2" wp14:editId="43D104B1">
          <wp:extent cx="7734993" cy="5916507"/>
          <wp:effectExtent l="0" t="0" r="0" b="0"/>
          <wp:docPr id="4" name="Picture 4" descr="www.communications.gov.au/BCAR&#10;Twitter: #CommsAuB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car--cover-im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6190" cy="5925071"/>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717" w:rsidRDefault="00C06717" w:rsidP="00315ED7">
    <w:pPr>
      <w:pStyle w:val="Footer"/>
      <w:ind w:left="-1418"/>
    </w:pPr>
    <w:r>
      <w:rPr>
        <w:noProof/>
        <w:lang w:eastAsia="en-AU"/>
      </w:rPr>
      <w:drawing>
        <wp:inline distT="0" distB="0" distL="0" distR="0" wp14:anchorId="44ADDFE7" wp14:editId="5D738672">
          <wp:extent cx="7848450" cy="6003290"/>
          <wp:effectExtent l="0" t="0" r="0" b="0"/>
          <wp:docPr id="5" name="Picture 5" descr="www.communications.gov.au/BCAR&#10;#CommsAuBC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ar--cover--contact-details.png"/>
                  <pic:cNvPicPr/>
                </pic:nvPicPr>
                <pic:blipFill>
                  <a:blip r:embed="rId1">
                    <a:extLst>
                      <a:ext uri="{28A0092B-C50C-407E-A947-70E740481C1C}">
                        <a14:useLocalDpi xmlns:a14="http://schemas.microsoft.com/office/drawing/2010/main" val="0"/>
                      </a:ext>
                    </a:extLst>
                  </a:blip>
                  <a:stretch>
                    <a:fillRect/>
                  </a:stretch>
                </pic:blipFill>
                <pic:spPr>
                  <a:xfrm>
                    <a:off x="0" y="0"/>
                    <a:ext cx="7882585" cy="602940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717" w:rsidRPr="00036ADD" w:rsidRDefault="00C06717" w:rsidP="00B478F1">
    <w:pPr>
      <w:pStyle w:val="Footer"/>
      <w:tabs>
        <w:tab w:val="clear" w:pos="4513"/>
        <w:tab w:val="clear" w:pos="9026"/>
        <w:tab w:val="right" w:pos="8789"/>
        <w:tab w:val="right" w:pos="9333"/>
      </w:tabs>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852335390"/>
      <w:docPartObj>
        <w:docPartGallery w:val="Page Numbers (Bottom of Page)"/>
        <w:docPartUnique/>
      </w:docPartObj>
    </w:sdtPr>
    <w:sdtEndPr>
      <w:rPr>
        <w:noProof/>
        <w:color w:val="B60000"/>
      </w:rPr>
    </w:sdtEndPr>
    <w:sdtContent>
      <w:p w:rsidR="00C06717" w:rsidRPr="00801A40" w:rsidRDefault="00C06717" w:rsidP="00801A40">
        <w:pPr>
          <w:pStyle w:val="Footer"/>
          <w:tabs>
            <w:tab w:val="clear" w:pos="4513"/>
            <w:tab w:val="clear" w:pos="9026"/>
            <w:tab w:val="right" w:pos="9333"/>
          </w:tabs>
          <w:rPr>
            <w:noProof/>
            <w:sz w:val="18"/>
            <w:szCs w:val="18"/>
          </w:rPr>
        </w:pPr>
        <w:r>
          <w:rPr>
            <w:sz w:val="18"/>
            <w:szCs w:val="18"/>
          </w:rPr>
          <w:t>Creative skills for the future economy</w:t>
        </w:r>
        <w:r w:rsidRPr="00BF7E49">
          <w:rPr>
            <w:sz w:val="18"/>
            <w:szCs w:val="18"/>
          </w:rPr>
          <w:tab/>
        </w:r>
        <w:r w:rsidRPr="00BF7E49">
          <w:rPr>
            <w:sz w:val="18"/>
            <w:szCs w:val="18"/>
          </w:rPr>
          <w:fldChar w:fldCharType="begin"/>
        </w:r>
        <w:r w:rsidRPr="00BF7E49">
          <w:rPr>
            <w:sz w:val="18"/>
            <w:szCs w:val="18"/>
          </w:rPr>
          <w:instrText xml:space="preserve"> PAGE   \* MERGEFORMAT </w:instrText>
        </w:r>
        <w:r w:rsidRPr="00BF7E49">
          <w:rPr>
            <w:sz w:val="18"/>
            <w:szCs w:val="18"/>
          </w:rPr>
          <w:fldChar w:fldCharType="separate"/>
        </w:r>
        <w:r w:rsidR="000E442A">
          <w:rPr>
            <w:noProof/>
            <w:sz w:val="18"/>
            <w:szCs w:val="18"/>
          </w:rPr>
          <w:t>ii</w:t>
        </w:r>
        <w:r w:rsidRPr="00BF7E49">
          <w:rPr>
            <w:noProof/>
            <w:sz w:val="18"/>
            <w:szCs w:val="1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717" w:rsidRDefault="00C06717" w:rsidP="00315ED7">
    <w:pPr>
      <w:pStyle w:val="Footer"/>
      <w:ind w:left="-14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571" w:rsidRDefault="00B52571" w:rsidP="002117E6">
      <w:pPr>
        <w:spacing w:after="0"/>
      </w:pPr>
      <w:r>
        <w:separator/>
      </w:r>
    </w:p>
  </w:footnote>
  <w:footnote w:type="continuationSeparator" w:id="0">
    <w:p w:rsidR="00B52571" w:rsidRDefault="00B52571" w:rsidP="002117E6">
      <w:pPr>
        <w:spacing w:after="0"/>
      </w:pPr>
      <w:r>
        <w:continuationSeparator/>
      </w:r>
    </w:p>
  </w:footnote>
  <w:footnote w:type="continuationNotice" w:id="1">
    <w:p w:rsidR="00B52571" w:rsidRDefault="00B52571">
      <w:pPr>
        <w:spacing w:after="0"/>
      </w:pPr>
    </w:p>
  </w:footnote>
  <w:footnote w:id="2">
    <w:p w:rsidR="00C06717" w:rsidRDefault="00C06717" w:rsidP="00950947">
      <w:r>
        <w:rPr>
          <w:rStyle w:val="FootnoteReference"/>
        </w:rPr>
        <w:footnoteRef/>
      </w:r>
      <w:r>
        <w:t xml:space="preserve"> Unless otherwise stated ‘qualifications’ refers to the highest level of qualification achieved, with levels ranking from postgraduate degrees as the highest possible level, through graduate certificates and diplomas, bachelor level degrees, and on to diplomas, certificates and non-award courses.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717" w:rsidRPr="002F6934" w:rsidRDefault="00C06717" w:rsidP="001664DA">
    <w:pPr>
      <w:pStyle w:val="Header"/>
      <w:ind w:left="-14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717" w:rsidRDefault="00C06717" w:rsidP="001664DA">
    <w:pPr>
      <w:pStyle w:val="Header"/>
      <w:tabs>
        <w:tab w:val="clear" w:pos="9026"/>
        <w:tab w:val="right" w:pos="9333"/>
      </w:tabs>
      <w:ind w:left="-1418" w:right="-46"/>
      <w:rPr>
        <w:color w:val="0066AB" w:themeColor="text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717" w:rsidRDefault="00C06717" w:rsidP="002F6934">
    <w:pPr>
      <w:pStyle w:val="Header"/>
      <w:ind w:left="-99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717" w:rsidRPr="002F6934" w:rsidRDefault="00C06717" w:rsidP="001664DA">
    <w:pPr>
      <w:pStyle w:val="Header"/>
      <w:ind w:left="-14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717" w:rsidRDefault="00C06717" w:rsidP="001664DA">
    <w:pPr>
      <w:pStyle w:val="Header"/>
      <w:tabs>
        <w:tab w:val="clear" w:pos="9026"/>
        <w:tab w:val="right" w:pos="9333"/>
      </w:tabs>
      <w:ind w:left="-1418" w:right="-46"/>
      <w:rPr>
        <w:color w:val="0066AB" w:themeColor="text2"/>
      </w:rPr>
    </w:pPr>
    <w:r>
      <w:rPr>
        <w:noProof/>
        <w:color w:val="0066AB" w:themeColor="text2"/>
        <w:lang w:eastAsia="en-AU"/>
      </w:rPr>
      <w:drawing>
        <wp:inline distT="0" distB="0" distL="0" distR="0" wp14:anchorId="33F9A1FA" wp14:editId="0AC7B024">
          <wp:extent cx="7901940" cy="939800"/>
          <wp:effectExtent l="0" t="0" r="3810" b="0"/>
          <wp:docPr id="6" name="Picture 6" descr="Bureau of Communications and Arts Research, Department of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car-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6280" cy="943884"/>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717" w:rsidRDefault="00C0671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717" w:rsidRDefault="00C0671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717" w:rsidRDefault="00C067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F7D"/>
    <w:multiLevelType w:val="hybridMultilevel"/>
    <w:tmpl w:val="B3F8A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A4FA0"/>
    <w:multiLevelType w:val="hybridMultilevel"/>
    <w:tmpl w:val="01A2E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2C70AB"/>
    <w:multiLevelType w:val="hybridMultilevel"/>
    <w:tmpl w:val="5D54F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F31EA8"/>
    <w:multiLevelType w:val="hybridMultilevel"/>
    <w:tmpl w:val="7D522C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F01C1B"/>
    <w:multiLevelType w:val="hybridMultilevel"/>
    <w:tmpl w:val="D4E25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937613"/>
    <w:multiLevelType w:val="hybridMultilevel"/>
    <w:tmpl w:val="2B48B512"/>
    <w:lvl w:ilvl="0" w:tplc="69AC7252">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1A7554F"/>
    <w:multiLevelType w:val="hybridMultilevel"/>
    <w:tmpl w:val="161EC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2F2D20"/>
    <w:multiLevelType w:val="hybridMultilevel"/>
    <w:tmpl w:val="9F589AA6"/>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8F122D"/>
    <w:multiLevelType w:val="hybridMultilevel"/>
    <w:tmpl w:val="103AF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561829"/>
    <w:multiLevelType w:val="hybridMultilevel"/>
    <w:tmpl w:val="04220C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F36564"/>
    <w:multiLevelType w:val="hybridMultilevel"/>
    <w:tmpl w:val="E48A161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3DFA60C5"/>
    <w:multiLevelType w:val="hybridMultilevel"/>
    <w:tmpl w:val="4314A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5C6F19"/>
    <w:multiLevelType w:val="hybridMultilevel"/>
    <w:tmpl w:val="B5F612C2"/>
    <w:lvl w:ilvl="0" w:tplc="86D87DEE">
      <w:start w:val="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8C6623"/>
    <w:multiLevelType w:val="hybridMultilevel"/>
    <w:tmpl w:val="3ECC8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205954"/>
    <w:multiLevelType w:val="hybridMultilevel"/>
    <w:tmpl w:val="80888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9A6FE5"/>
    <w:multiLevelType w:val="hybridMultilevel"/>
    <w:tmpl w:val="D958A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0022BC"/>
    <w:multiLevelType w:val="hybridMultilevel"/>
    <w:tmpl w:val="7F22A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605FDC"/>
    <w:multiLevelType w:val="hybridMultilevel"/>
    <w:tmpl w:val="A87AF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6C09D1"/>
    <w:multiLevelType w:val="hybridMultilevel"/>
    <w:tmpl w:val="89028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5"/>
  </w:num>
  <w:num w:numId="4">
    <w:abstractNumId w:val="8"/>
  </w:num>
  <w:num w:numId="5">
    <w:abstractNumId w:val="9"/>
  </w:num>
  <w:num w:numId="6">
    <w:abstractNumId w:val="7"/>
  </w:num>
  <w:num w:numId="7">
    <w:abstractNumId w:val="15"/>
  </w:num>
  <w:num w:numId="8">
    <w:abstractNumId w:val="16"/>
  </w:num>
  <w:num w:numId="9">
    <w:abstractNumId w:val="4"/>
  </w:num>
  <w:num w:numId="10">
    <w:abstractNumId w:val="2"/>
  </w:num>
  <w:num w:numId="11">
    <w:abstractNumId w:val="3"/>
  </w:num>
  <w:num w:numId="12">
    <w:abstractNumId w:val="1"/>
  </w:num>
  <w:num w:numId="13">
    <w:abstractNumId w:val="10"/>
  </w:num>
  <w:num w:numId="14">
    <w:abstractNumId w:val="18"/>
  </w:num>
  <w:num w:numId="15">
    <w:abstractNumId w:val="6"/>
  </w:num>
  <w:num w:numId="16">
    <w:abstractNumId w:val="11"/>
  </w:num>
  <w:num w:numId="17">
    <w:abstractNumId w:val="12"/>
  </w:num>
  <w:num w:numId="18">
    <w:abstractNumId w:val="0"/>
  </w:num>
  <w:num w:numId="19">
    <w:abstractNumId w:val="14"/>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8193"/>
  </w:hdrShapeDefaults>
  <w:footnotePr>
    <w:numFmt w:val="lowerRoman"/>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138"/>
    <w:rsid w:val="00000555"/>
    <w:rsid w:val="000064C1"/>
    <w:rsid w:val="00011184"/>
    <w:rsid w:val="00016AFF"/>
    <w:rsid w:val="00017D96"/>
    <w:rsid w:val="0002023E"/>
    <w:rsid w:val="00021B54"/>
    <w:rsid w:val="0002438A"/>
    <w:rsid w:val="00025BC4"/>
    <w:rsid w:val="00036ADD"/>
    <w:rsid w:val="00040E88"/>
    <w:rsid w:val="00041955"/>
    <w:rsid w:val="000431E1"/>
    <w:rsid w:val="00043B87"/>
    <w:rsid w:val="00044965"/>
    <w:rsid w:val="00044D70"/>
    <w:rsid w:val="0004516E"/>
    <w:rsid w:val="0004795C"/>
    <w:rsid w:val="000505C4"/>
    <w:rsid w:val="00050D6D"/>
    <w:rsid w:val="00051790"/>
    <w:rsid w:val="00055007"/>
    <w:rsid w:val="000650FA"/>
    <w:rsid w:val="000657CA"/>
    <w:rsid w:val="00070671"/>
    <w:rsid w:val="000711B8"/>
    <w:rsid w:val="000721C8"/>
    <w:rsid w:val="00082A89"/>
    <w:rsid w:val="000856C5"/>
    <w:rsid w:val="0008729B"/>
    <w:rsid w:val="00087D0A"/>
    <w:rsid w:val="000904D0"/>
    <w:rsid w:val="00092D3B"/>
    <w:rsid w:val="00093C9E"/>
    <w:rsid w:val="00093CD9"/>
    <w:rsid w:val="00094568"/>
    <w:rsid w:val="0009467C"/>
    <w:rsid w:val="00096F45"/>
    <w:rsid w:val="00097414"/>
    <w:rsid w:val="00097879"/>
    <w:rsid w:val="000A5700"/>
    <w:rsid w:val="000A67CA"/>
    <w:rsid w:val="000A7AE6"/>
    <w:rsid w:val="000B0F68"/>
    <w:rsid w:val="000D0611"/>
    <w:rsid w:val="000D13BC"/>
    <w:rsid w:val="000D148D"/>
    <w:rsid w:val="000D6DB7"/>
    <w:rsid w:val="000E04E5"/>
    <w:rsid w:val="000E442A"/>
    <w:rsid w:val="000F3140"/>
    <w:rsid w:val="000F77B5"/>
    <w:rsid w:val="001026CA"/>
    <w:rsid w:val="00103D6A"/>
    <w:rsid w:val="0010618C"/>
    <w:rsid w:val="001065E7"/>
    <w:rsid w:val="00107501"/>
    <w:rsid w:val="00113615"/>
    <w:rsid w:val="001145E3"/>
    <w:rsid w:val="00115797"/>
    <w:rsid w:val="00116915"/>
    <w:rsid w:val="00123C90"/>
    <w:rsid w:val="001264FC"/>
    <w:rsid w:val="00143460"/>
    <w:rsid w:val="001471EA"/>
    <w:rsid w:val="001472FC"/>
    <w:rsid w:val="001531C1"/>
    <w:rsid w:val="00153483"/>
    <w:rsid w:val="00155C7A"/>
    <w:rsid w:val="001615CA"/>
    <w:rsid w:val="00161DFA"/>
    <w:rsid w:val="00165FA8"/>
    <w:rsid w:val="001664DA"/>
    <w:rsid w:val="001665B3"/>
    <w:rsid w:val="0017056B"/>
    <w:rsid w:val="00171F0B"/>
    <w:rsid w:val="00172E5F"/>
    <w:rsid w:val="001750B1"/>
    <w:rsid w:val="00180F68"/>
    <w:rsid w:val="00185E9F"/>
    <w:rsid w:val="001914F1"/>
    <w:rsid w:val="0019701B"/>
    <w:rsid w:val="00197464"/>
    <w:rsid w:val="001A1503"/>
    <w:rsid w:val="001A28CB"/>
    <w:rsid w:val="001A5E9A"/>
    <w:rsid w:val="001A7251"/>
    <w:rsid w:val="001A7A4B"/>
    <w:rsid w:val="001B108E"/>
    <w:rsid w:val="001B118F"/>
    <w:rsid w:val="001B28FE"/>
    <w:rsid w:val="001B4261"/>
    <w:rsid w:val="001B46EE"/>
    <w:rsid w:val="001B5579"/>
    <w:rsid w:val="001C119C"/>
    <w:rsid w:val="001C1C0D"/>
    <w:rsid w:val="001D092B"/>
    <w:rsid w:val="001D3B4E"/>
    <w:rsid w:val="001D44DE"/>
    <w:rsid w:val="001D5775"/>
    <w:rsid w:val="001D7251"/>
    <w:rsid w:val="001D7905"/>
    <w:rsid w:val="001E1FE3"/>
    <w:rsid w:val="001E45F7"/>
    <w:rsid w:val="001E645C"/>
    <w:rsid w:val="001F285E"/>
    <w:rsid w:val="001F4B18"/>
    <w:rsid w:val="00206B4A"/>
    <w:rsid w:val="00206F4C"/>
    <w:rsid w:val="002117E6"/>
    <w:rsid w:val="00216E0C"/>
    <w:rsid w:val="00221B80"/>
    <w:rsid w:val="00221FCB"/>
    <w:rsid w:val="0022200B"/>
    <w:rsid w:val="00227164"/>
    <w:rsid w:val="0023251E"/>
    <w:rsid w:val="00240778"/>
    <w:rsid w:val="0024174A"/>
    <w:rsid w:val="00241CA4"/>
    <w:rsid w:val="00250B4C"/>
    <w:rsid w:val="0025607A"/>
    <w:rsid w:val="00261351"/>
    <w:rsid w:val="002718F7"/>
    <w:rsid w:val="00271F8A"/>
    <w:rsid w:val="00274E37"/>
    <w:rsid w:val="00277050"/>
    <w:rsid w:val="00280CE7"/>
    <w:rsid w:val="00290231"/>
    <w:rsid w:val="002915CB"/>
    <w:rsid w:val="002918B3"/>
    <w:rsid w:val="0029358A"/>
    <w:rsid w:val="00293DD6"/>
    <w:rsid w:val="002A1495"/>
    <w:rsid w:val="002A35BC"/>
    <w:rsid w:val="002B1C8A"/>
    <w:rsid w:val="002B20D5"/>
    <w:rsid w:val="002C7F70"/>
    <w:rsid w:val="002D3276"/>
    <w:rsid w:val="002D52D0"/>
    <w:rsid w:val="002D60A4"/>
    <w:rsid w:val="002F02B0"/>
    <w:rsid w:val="002F1EC5"/>
    <w:rsid w:val="002F2EE4"/>
    <w:rsid w:val="002F40EB"/>
    <w:rsid w:val="002F6934"/>
    <w:rsid w:val="003006EA"/>
    <w:rsid w:val="00301FCB"/>
    <w:rsid w:val="003064E7"/>
    <w:rsid w:val="00313D8E"/>
    <w:rsid w:val="00315ED7"/>
    <w:rsid w:val="00316C91"/>
    <w:rsid w:val="00316E05"/>
    <w:rsid w:val="00330B75"/>
    <w:rsid w:val="00331040"/>
    <w:rsid w:val="003336DD"/>
    <w:rsid w:val="00335334"/>
    <w:rsid w:val="00336DDD"/>
    <w:rsid w:val="00342100"/>
    <w:rsid w:val="003450DA"/>
    <w:rsid w:val="00347AC2"/>
    <w:rsid w:val="00351B7F"/>
    <w:rsid w:val="003558E6"/>
    <w:rsid w:val="0037564C"/>
    <w:rsid w:val="00375B01"/>
    <w:rsid w:val="00381364"/>
    <w:rsid w:val="00381453"/>
    <w:rsid w:val="00382369"/>
    <w:rsid w:val="00383BEA"/>
    <w:rsid w:val="0038515E"/>
    <w:rsid w:val="003902CE"/>
    <w:rsid w:val="003A1D9D"/>
    <w:rsid w:val="003A1E24"/>
    <w:rsid w:val="003A3B52"/>
    <w:rsid w:val="003B0864"/>
    <w:rsid w:val="003B16C5"/>
    <w:rsid w:val="003B30C1"/>
    <w:rsid w:val="003B3D0F"/>
    <w:rsid w:val="003C11FB"/>
    <w:rsid w:val="003C18C8"/>
    <w:rsid w:val="003C2B04"/>
    <w:rsid w:val="003C4BE4"/>
    <w:rsid w:val="003C7AF1"/>
    <w:rsid w:val="003C7D47"/>
    <w:rsid w:val="003D0167"/>
    <w:rsid w:val="003D1A35"/>
    <w:rsid w:val="003D4CC4"/>
    <w:rsid w:val="003D5C23"/>
    <w:rsid w:val="003D5D04"/>
    <w:rsid w:val="003E056D"/>
    <w:rsid w:val="003E1386"/>
    <w:rsid w:val="003E1B72"/>
    <w:rsid w:val="003E2FAC"/>
    <w:rsid w:val="003E6428"/>
    <w:rsid w:val="003F483C"/>
    <w:rsid w:val="003F495D"/>
    <w:rsid w:val="003F55CA"/>
    <w:rsid w:val="00400E77"/>
    <w:rsid w:val="004055D8"/>
    <w:rsid w:val="0041093C"/>
    <w:rsid w:val="0041513D"/>
    <w:rsid w:val="004164E5"/>
    <w:rsid w:val="00416B2A"/>
    <w:rsid w:val="00423D42"/>
    <w:rsid w:val="00423EBD"/>
    <w:rsid w:val="00425AD6"/>
    <w:rsid w:val="00431AE8"/>
    <w:rsid w:val="00434BD1"/>
    <w:rsid w:val="0043583D"/>
    <w:rsid w:val="00436AC6"/>
    <w:rsid w:val="00437E18"/>
    <w:rsid w:val="004425F8"/>
    <w:rsid w:val="00442ECD"/>
    <w:rsid w:val="004439F7"/>
    <w:rsid w:val="004474F5"/>
    <w:rsid w:val="00447946"/>
    <w:rsid w:val="00450785"/>
    <w:rsid w:val="00450D6E"/>
    <w:rsid w:val="00450F95"/>
    <w:rsid w:val="004549A3"/>
    <w:rsid w:val="00465A73"/>
    <w:rsid w:val="00470D17"/>
    <w:rsid w:val="00473FC0"/>
    <w:rsid w:val="00474489"/>
    <w:rsid w:val="00477AC6"/>
    <w:rsid w:val="0048068F"/>
    <w:rsid w:val="00481C2A"/>
    <w:rsid w:val="004840FF"/>
    <w:rsid w:val="00484670"/>
    <w:rsid w:val="00484C49"/>
    <w:rsid w:val="00487366"/>
    <w:rsid w:val="00487842"/>
    <w:rsid w:val="004975F2"/>
    <w:rsid w:val="004A5CC8"/>
    <w:rsid w:val="004B1CCD"/>
    <w:rsid w:val="004C36E7"/>
    <w:rsid w:val="004C428E"/>
    <w:rsid w:val="004C4BE8"/>
    <w:rsid w:val="004D0C53"/>
    <w:rsid w:val="004D5BBB"/>
    <w:rsid w:val="004D5C93"/>
    <w:rsid w:val="004D60AF"/>
    <w:rsid w:val="004E3197"/>
    <w:rsid w:val="004E70E5"/>
    <w:rsid w:val="004F213B"/>
    <w:rsid w:val="004F7A9C"/>
    <w:rsid w:val="00510C3C"/>
    <w:rsid w:val="00512CFE"/>
    <w:rsid w:val="00512E8D"/>
    <w:rsid w:val="00514827"/>
    <w:rsid w:val="005165D7"/>
    <w:rsid w:val="00522F29"/>
    <w:rsid w:val="0052611F"/>
    <w:rsid w:val="00532612"/>
    <w:rsid w:val="00532BDF"/>
    <w:rsid w:val="005379FD"/>
    <w:rsid w:val="00544465"/>
    <w:rsid w:val="00547139"/>
    <w:rsid w:val="00560A8B"/>
    <w:rsid w:val="005634C7"/>
    <w:rsid w:val="005659A6"/>
    <w:rsid w:val="00565B47"/>
    <w:rsid w:val="005725F2"/>
    <w:rsid w:val="005740B8"/>
    <w:rsid w:val="00575A5A"/>
    <w:rsid w:val="00581C66"/>
    <w:rsid w:val="00584D1F"/>
    <w:rsid w:val="0058500C"/>
    <w:rsid w:val="005857EE"/>
    <w:rsid w:val="005866D9"/>
    <w:rsid w:val="00591428"/>
    <w:rsid w:val="005932D0"/>
    <w:rsid w:val="00595884"/>
    <w:rsid w:val="00597F20"/>
    <w:rsid w:val="00597F9B"/>
    <w:rsid w:val="005A0F6C"/>
    <w:rsid w:val="005A1267"/>
    <w:rsid w:val="005A30E7"/>
    <w:rsid w:val="005A622B"/>
    <w:rsid w:val="005B1191"/>
    <w:rsid w:val="005B4E8A"/>
    <w:rsid w:val="005B6742"/>
    <w:rsid w:val="005B7E07"/>
    <w:rsid w:val="005C3C3C"/>
    <w:rsid w:val="005C4416"/>
    <w:rsid w:val="005C4C2C"/>
    <w:rsid w:val="005D2830"/>
    <w:rsid w:val="005E09F7"/>
    <w:rsid w:val="005F44EF"/>
    <w:rsid w:val="005F48E4"/>
    <w:rsid w:val="005F5D32"/>
    <w:rsid w:val="0060132F"/>
    <w:rsid w:val="00604AAC"/>
    <w:rsid w:val="00605ECA"/>
    <w:rsid w:val="00607D19"/>
    <w:rsid w:val="00611A7E"/>
    <w:rsid w:val="006132F0"/>
    <w:rsid w:val="0061446D"/>
    <w:rsid w:val="00617886"/>
    <w:rsid w:val="006205C3"/>
    <w:rsid w:val="006218F8"/>
    <w:rsid w:val="006222DE"/>
    <w:rsid w:val="00622B99"/>
    <w:rsid w:val="00623C96"/>
    <w:rsid w:val="00625397"/>
    <w:rsid w:val="00625ECF"/>
    <w:rsid w:val="00626CAD"/>
    <w:rsid w:val="00631F93"/>
    <w:rsid w:val="00632E72"/>
    <w:rsid w:val="006353EB"/>
    <w:rsid w:val="0064138E"/>
    <w:rsid w:val="00642398"/>
    <w:rsid w:val="006425FF"/>
    <w:rsid w:val="0064296C"/>
    <w:rsid w:val="006452F0"/>
    <w:rsid w:val="006531A9"/>
    <w:rsid w:val="0065327A"/>
    <w:rsid w:val="006673F9"/>
    <w:rsid w:val="00672DE0"/>
    <w:rsid w:val="0067542D"/>
    <w:rsid w:val="00676DE4"/>
    <w:rsid w:val="00676E39"/>
    <w:rsid w:val="00677954"/>
    <w:rsid w:val="00685CD3"/>
    <w:rsid w:val="00686C9B"/>
    <w:rsid w:val="006905AA"/>
    <w:rsid w:val="006905FC"/>
    <w:rsid w:val="00691EC6"/>
    <w:rsid w:val="006972E3"/>
    <w:rsid w:val="006A2F0E"/>
    <w:rsid w:val="006A59CB"/>
    <w:rsid w:val="006B0578"/>
    <w:rsid w:val="006B3CAB"/>
    <w:rsid w:val="006B4530"/>
    <w:rsid w:val="006B7224"/>
    <w:rsid w:val="006C150F"/>
    <w:rsid w:val="006C1B3E"/>
    <w:rsid w:val="006D1AF4"/>
    <w:rsid w:val="006D7A1D"/>
    <w:rsid w:val="006E170D"/>
    <w:rsid w:val="006E4BF0"/>
    <w:rsid w:val="006F06FD"/>
    <w:rsid w:val="006F1831"/>
    <w:rsid w:val="006F29C2"/>
    <w:rsid w:val="006F73B8"/>
    <w:rsid w:val="007000BE"/>
    <w:rsid w:val="0070469E"/>
    <w:rsid w:val="00705B86"/>
    <w:rsid w:val="0070720E"/>
    <w:rsid w:val="0070788C"/>
    <w:rsid w:val="00716A12"/>
    <w:rsid w:val="007173AD"/>
    <w:rsid w:val="007267B7"/>
    <w:rsid w:val="00730AE6"/>
    <w:rsid w:val="007316B7"/>
    <w:rsid w:val="007324E7"/>
    <w:rsid w:val="00734DE1"/>
    <w:rsid w:val="00734DF5"/>
    <w:rsid w:val="00740E7A"/>
    <w:rsid w:val="00747B85"/>
    <w:rsid w:val="00747E6E"/>
    <w:rsid w:val="00751806"/>
    <w:rsid w:val="00753BB6"/>
    <w:rsid w:val="00756735"/>
    <w:rsid w:val="00761500"/>
    <w:rsid w:val="00761704"/>
    <w:rsid w:val="007640D0"/>
    <w:rsid w:val="007648FE"/>
    <w:rsid w:val="00766CED"/>
    <w:rsid w:val="0077186F"/>
    <w:rsid w:val="00774417"/>
    <w:rsid w:val="00781EFC"/>
    <w:rsid w:val="007841F2"/>
    <w:rsid w:val="00784C48"/>
    <w:rsid w:val="00786E75"/>
    <w:rsid w:val="00792320"/>
    <w:rsid w:val="0079430B"/>
    <w:rsid w:val="007A116D"/>
    <w:rsid w:val="007A37F7"/>
    <w:rsid w:val="007A3B6C"/>
    <w:rsid w:val="007B2BD1"/>
    <w:rsid w:val="007B2D94"/>
    <w:rsid w:val="007B540F"/>
    <w:rsid w:val="007B5D38"/>
    <w:rsid w:val="007B664A"/>
    <w:rsid w:val="007B67A2"/>
    <w:rsid w:val="007C3116"/>
    <w:rsid w:val="007D107F"/>
    <w:rsid w:val="007D2B65"/>
    <w:rsid w:val="007D4246"/>
    <w:rsid w:val="007D49E0"/>
    <w:rsid w:val="007D6F86"/>
    <w:rsid w:val="007E013F"/>
    <w:rsid w:val="007E5144"/>
    <w:rsid w:val="007E7814"/>
    <w:rsid w:val="007F43EC"/>
    <w:rsid w:val="007F450A"/>
    <w:rsid w:val="007F67AA"/>
    <w:rsid w:val="008005CE"/>
    <w:rsid w:val="00801A40"/>
    <w:rsid w:val="00804724"/>
    <w:rsid w:val="00807BE6"/>
    <w:rsid w:val="00815A14"/>
    <w:rsid w:val="0081602D"/>
    <w:rsid w:val="008169A6"/>
    <w:rsid w:val="00830D91"/>
    <w:rsid w:val="00831937"/>
    <w:rsid w:val="00835DCB"/>
    <w:rsid w:val="00836A84"/>
    <w:rsid w:val="00836ADA"/>
    <w:rsid w:val="0084011E"/>
    <w:rsid w:val="00851808"/>
    <w:rsid w:val="00851A4A"/>
    <w:rsid w:val="00854931"/>
    <w:rsid w:val="008567BA"/>
    <w:rsid w:val="0085777C"/>
    <w:rsid w:val="008612A1"/>
    <w:rsid w:val="008612E6"/>
    <w:rsid w:val="00862DEF"/>
    <w:rsid w:val="00866F15"/>
    <w:rsid w:val="00867C9D"/>
    <w:rsid w:val="00871928"/>
    <w:rsid w:val="0087466E"/>
    <w:rsid w:val="008749D8"/>
    <w:rsid w:val="00881D29"/>
    <w:rsid w:val="0088229E"/>
    <w:rsid w:val="00883E44"/>
    <w:rsid w:val="00883F2F"/>
    <w:rsid w:val="00885F52"/>
    <w:rsid w:val="0089200F"/>
    <w:rsid w:val="00893588"/>
    <w:rsid w:val="008A0A2E"/>
    <w:rsid w:val="008A142D"/>
    <w:rsid w:val="008A4B1F"/>
    <w:rsid w:val="008B03A5"/>
    <w:rsid w:val="008B48A4"/>
    <w:rsid w:val="008B7CA0"/>
    <w:rsid w:val="008C7199"/>
    <w:rsid w:val="008D2FCD"/>
    <w:rsid w:val="008F2C32"/>
    <w:rsid w:val="008F59C1"/>
    <w:rsid w:val="008F7F47"/>
    <w:rsid w:val="00901673"/>
    <w:rsid w:val="00904CF2"/>
    <w:rsid w:val="00905392"/>
    <w:rsid w:val="00905752"/>
    <w:rsid w:val="00906EC0"/>
    <w:rsid w:val="00914B1B"/>
    <w:rsid w:val="00921460"/>
    <w:rsid w:val="00922B0D"/>
    <w:rsid w:val="00926ACB"/>
    <w:rsid w:val="00930E60"/>
    <w:rsid w:val="009313D2"/>
    <w:rsid w:val="00932371"/>
    <w:rsid w:val="0093246F"/>
    <w:rsid w:val="0093264C"/>
    <w:rsid w:val="00932676"/>
    <w:rsid w:val="00932994"/>
    <w:rsid w:val="00935E2B"/>
    <w:rsid w:val="009361BD"/>
    <w:rsid w:val="00937E94"/>
    <w:rsid w:val="0094124E"/>
    <w:rsid w:val="009439DC"/>
    <w:rsid w:val="009468A3"/>
    <w:rsid w:val="00946EF8"/>
    <w:rsid w:val="00947098"/>
    <w:rsid w:val="009503A8"/>
    <w:rsid w:val="00950947"/>
    <w:rsid w:val="0095293E"/>
    <w:rsid w:val="0096143F"/>
    <w:rsid w:val="009627BA"/>
    <w:rsid w:val="00962B91"/>
    <w:rsid w:val="00966681"/>
    <w:rsid w:val="009668A1"/>
    <w:rsid w:val="00966A6D"/>
    <w:rsid w:val="009719BB"/>
    <w:rsid w:val="00974314"/>
    <w:rsid w:val="0097547C"/>
    <w:rsid w:val="009806DE"/>
    <w:rsid w:val="00982FED"/>
    <w:rsid w:val="00983702"/>
    <w:rsid w:val="009845D2"/>
    <w:rsid w:val="0098638D"/>
    <w:rsid w:val="00990E33"/>
    <w:rsid w:val="00992CD8"/>
    <w:rsid w:val="00995F68"/>
    <w:rsid w:val="009A1207"/>
    <w:rsid w:val="009A275B"/>
    <w:rsid w:val="009A37EC"/>
    <w:rsid w:val="009A6AF6"/>
    <w:rsid w:val="009A7083"/>
    <w:rsid w:val="009B16EA"/>
    <w:rsid w:val="009B3E11"/>
    <w:rsid w:val="009B4169"/>
    <w:rsid w:val="009B57D3"/>
    <w:rsid w:val="009B7E28"/>
    <w:rsid w:val="009B7EF0"/>
    <w:rsid w:val="009C2D6B"/>
    <w:rsid w:val="009C41DA"/>
    <w:rsid w:val="009C73DD"/>
    <w:rsid w:val="009C76F0"/>
    <w:rsid w:val="009D0000"/>
    <w:rsid w:val="009D2C1A"/>
    <w:rsid w:val="009D5D83"/>
    <w:rsid w:val="009E12E4"/>
    <w:rsid w:val="009E1B35"/>
    <w:rsid w:val="009E2BC5"/>
    <w:rsid w:val="009E3BB8"/>
    <w:rsid w:val="009F498E"/>
    <w:rsid w:val="009F7EDD"/>
    <w:rsid w:val="00A02F5F"/>
    <w:rsid w:val="00A06BD9"/>
    <w:rsid w:val="00A1229E"/>
    <w:rsid w:val="00A12BEA"/>
    <w:rsid w:val="00A151B7"/>
    <w:rsid w:val="00A1776D"/>
    <w:rsid w:val="00A17D76"/>
    <w:rsid w:val="00A235EF"/>
    <w:rsid w:val="00A241FE"/>
    <w:rsid w:val="00A2533A"/>
    <w:rsid w:val="00A406E3"/>
    <w:rsid w:val="00A4375D"/>
    <w:rsid w:val="00A44EFB"/>
    <w:rsid w:val="00A5343C"/>
    <w:rsid w:val="00A5710D"/>
    <w:rsid w:val="00A618DC"/>
    <w:rsid w:val="00A62B55"/>
    <w:rsid w:val="00A63145"/>
    <w:rsid w:val="00A64D50"/>
    <w:rsid w:val="00A677B8"/>
    <w:rsid w:val="00A705B7"/>
    <w:rsid w:val="00A7362F"/>
    <w:rsid w:val="00A755FD"/>
    <w:rsid w:val="00A81FB3"/>
    <w:rsid w:val="00A84392"/>
    <w:rsid w:val="00A84E76"/>
    <w:rsid w:val="00A8629A"/>
    <w:rsid w:val="00A90620"/>
    <w:rsid w:val="00A92314"/>
    <w:rsid w:val="00A92D8A"/>
    <w:rsid w:val="00A932FB"/>
    <w:rsid w:val="00A96F3F"/>
    <w:rsid w:val="00A974A5"/>
    <w:rsid w:val="00AA1C04"/>
    <w:rsid w:val="00AA3E1E"/>
    <w:rsid w:val="00AA60C1"/>
    <w:rsid w:val="00AB5E1C"/>
    <w:rsid w:val="00AB619E"/>
    <w:rsid w:val="00AB6E89"/>
    <w:rsid w:val="00AC2C65"/>
    <w:rsid w:val="00AC5281"/>
    <w:rsid w:val="00AC704A"/>
    <w:rsid w:val="00AD2DCA"/>
    <w:rsid w:val="00AD5AE5"/>
    <w:rsid w:val="00AE23B3"/>
    <w:rsid w:val="00AE4F02"/>
    <w:rsid w:val="00AE5083"/>
    <w:rsid w:val="00AE5808"/>
    <w:rsid w:val="00AF21F7"/>
    <w:rsid w:val="00AF4F93"/>
    <w:rsid w:val="00B00E4C"/>
    <w:rsid w:val="00B049A4"/>
    <w:rsid w:val="00B04E49"/>
    <w:rsid w:val="00B07387"/>
    <w:rsid w:val="00B07CF4"/>
    <w:rsid w:val="00B12F69"/>
    <w:rsid w:val="00B154AF"/>
    <w:rsid w:val="00B24527"/>
    <w:rsid w:val="00B24F55"/>
    <w:rsid w:val="00B34758"/>
    <w:rsid w:val="00B35924"/>
    <w:rsid w:val="00B446CB"/>
    <w:rsid w:val="00B478F1"/>
    <w:rsid w:val="00B51AC1"/>
    <w:rsid w:val="00B52571"/>
    <w:rsid w:val="00B55747"/>
    <w:rsid w:val="00B55D92"/>
    <w:rsid w:val="00B57E7C"/>
    <w:rsid w:val="00B65873"/>
    <w:rsid w:val="00B65FE2"/>
    <w:rsid w:val="00B71464"/>
    <w:rsid w:val="00B714FC"/>
    <w:rsid w:val="00B7176E"/>
    <w:rsid w:val="00B72238"/>
    <w:rsid w:val="00B72AD0"/>
    <w:rsid w:val="00B736A1"/>
    <w:rsid w:val="00B76074"/>
    <w:rsid w:val="00B76E2A"/>
    <w:rsid w:val="00B80153"/>
    <w:rsid w:val="00B80EB0"/>
    <w:rsid w:val="00B840AC"/>
    <w:rsid w:val="00B850EF"/>
    <w:rsid w:val="00B86D67"/>
    <w:rsid w:val="00B97983"/>
    <w:rsid w:val="00BA113C"/>
    <w:rsid w:val="00BA153F"/>
    <w:rsid w:val="00BA70F9"/>
    <w:rsid w:val="00BA74E8"/>
    <w:rsid w:val="00BA76BA"/>
    <w:rsid w:val="00BB155A"/>
    <w:rsid w:val="00BB2DE6"/>
    <w:rsid w:val="00BB30BA"/>
    <w:rsid w:val="00BB40E5"/>
    <w:rsid w:val="00BB5A64"/>
    <w:rsid w:val="00BC329E"/>
    <w:rsid w:val="00BC60A6"/>
    <w:rsid w:val="00BC7D72"/>
    <w:rsid w:val="00BD0006"/>
    <w:rsid w:val="00BD3252"/>
    <w:rsid w:val="00BD435B"/>
    <w:rsid w:val="00BD50EC"/>
    <w:rsid w:val="00BD5AC4"/>
    <w:rsid w:val="00BD68CF"/>
    <w:rsid w:val="00BE1628"/>
    <w:rsid w:val="00BE5E04"/>
    <w:rsid w:val="00BE6978"/>
    <w:rsid w:val="00BE6BE0"/>
    <w:rsid w:val="00BE7E66"/>
    <w:rsid w:val="00BF7E49"/>
    <w:rsid w:val="00C019B7"/>
    <w:rsid w:val="00C021CD"/>
    <w:rsid w:val="00C06717"/>
    <w:rsid w:val="00C16794"/>
    <w:rsid w:val="00C21291"/>
    <w:rsid w:val="00C218AA"/>
    <w:rsid w:val="00C27DE1"/>
    <w:rsid w:val="00C30D96"/>
    <w:rsid w:val="00C32A36"/>
    <w:rsid w:val="00C346B6"/>
    <w:rsid w:val="00C50742"/>
    <w:rsid w:val="00C519A4"/>
    <w:rsid w:val="00C56765"/>
    <w:rsid w:val="00C6215A"/>
    <w:rsid w:val="00C63083"/>
    <w:rsid w:val="00C657D3"/>
    <w:rsid w:val="00C71448"/>
    <w:rsid w:val="00C71687"/>
    <w:rsid w:val="00C73439"/>
    <w:rsid w:val="00C74856"/>
    <w:rsid w:val="00C74D99"/>
    <w:rsid w:val="00C75C80"/>
    <w:rsid w:val="00C76E80"/>
    <w:rsid w:val="00C81681"/>
    <w:rsid w:val="00C85FB5"/>
    <w:rsid w:val="00C879C7"/>
    <w:rsid w:val="00C90622"/>
    <w:rsid w:val="00CA08C5"/>
    <w:rsid w:val="00CA1514"/>
    <w:rsid w:val="00CA1CE6"/>
    <w:rsid w:val="00CB2872"/>
    <w:rsid w:val="00CB68B2"/>
    <w:rsid w:val="00CB7FBB"/>
    <w:rsid w:val="00CC0205"/>
    <w:rsid w:val="00CD1B06"/>
    <w:rsid w:val="00CD2BC4"/>
    <w:rsid w:val="00CD553C"/>
    <w:rsid w:val="00CE327F"/>
    <w:rsid w:val="00CE69A9"/>
    <w:rsid w:val="00CF0988"/>
    <w:rsid w:val="00CF1662"/>
    <w:rsid w:val="00CF78A1"/>
    <w:rsid w:val="00D00B45"/>
    <w:rsid w:val="00D0315F"/>
    <w:rsid w:val="00D10D89"/>
    <w:rsid w:val="00D110AE"/>
    <w:rsid w:val="00D1281C"/>
    <w:rsid w:val="00D14CBA"/>
    <w:rsid w:val="00D16719"/>
    <w:rsid w:val="00D2184E"/>
    <w:rsid w:val="00D331BA"/>
    <w:rsid w:val="00D33AD4"/>
    <w:rsid w:val="00D35480"/>
    <w:rsid w:val="00D360A7"/>
    <w:rsid w:val="00D409B6"/>
    <w:rsid w:val="00D40AEF"/>
    <w:rsid w:val="00D41166"/>
    <w:rsid w:val="00D42B0C"/>
    <w:rsid w:val="00D4553F"/>
    <w:rsid w:val="00D472A1"/>
    <w:rsid w:val="00D511E2"/>
    <w:rsid w:val="00D546A7"/>
    <w:rsid w:val="00D56B79"/>
    <w:rsid w:val="00D6411A"/>
    <w:rsid w:val="00D64550"/>
    <w:rsid w:val="00D65384"/>
    <w:rsid w:val="00D76A66"/>
    <w:rsid w:val="00D82807"/>
    <w:rsid w:val="00D85E70"/>
    <w:rsid w:val="00D871C5"/>
    <w:rsid w:val="00D87A4B"/>
    <w:rsid w:val="00D92AE1"/>
    <w:rsid w:val="00D95E64"/>
    <w:rsid w:val="00D95F62"/>
    <w:rsid w:val="00DA2982"/>
    <w:rsid w:val="00DA35F5"/>
    <w:rsid w:val="00DA5973"/>
    <w:rsid w:val="00DA7A04"/>
    <w:rsid w:val="00DB0946"/>
    <w:rsid w:val="00DB4F96"/>
    <w:rsid w:val="00DB72E6"/>
    <w:rsid w:val="00DC0FF5"/>
    <w:rsid w:val="00DC2DFA"/>
    <w:rsid w:val="00DC6E8E"/>
    <w:rsid w:val="00DD1AEB"/>
    <w:rsid w:val="00DD2635"/>
    <w:rsid w:val="00DD331D"/>
    <w:rsid w:val="00DD3DD8"/>
    <w:rsid w:val="00DD502D"/>
    <w:rsid w:val="00DD5D52"/>
    <w:rsid w:val="00DD6174"/>
    <w:rsid w:val="00DE6533"/>
    <w:rsid w:val="00DE6BCA"/>
    <w:rsid w:val="00DE7234"/>
    <w:rsid w:val="00DF0064"/>
    <w:rsid w:val="00DF3958"/>
    <w:rsid w:val="00DF4229"/>
    <w:rsid w:val="00DF561A"/>
    <w:rsid w:val="00DF6BAD"/>
    <w:rsid w:val="00E027A3"/>
    <w:rsid w:val="00E0603C"/>
    <w:rsid w:val="00E165A8"/>
    <w:rsid w:val="00E2298C"/>
    <w:rsid w:val="00E240B1"/>
    <w:rsid w:val="00E32D86"/>
    <w:rsid w:val="00E32D89"/>
    <w:rsid w:val="00E402F9"/>
    <w:rsid w:val="00E438FA"/>
    <w:rsid w:val="00E4602B"/>
    <w:rsid w:val="00E47696"/>
    <w:rsid w:val="00E70037"/>
    <w:rsid w:val="00E7394A"/>
    <w:rsid w:val="00E76AE7"/>
    <w:rsid w:val="00E76BD1"/>
    <w:rsid w:val="00E776C0"/>
    <w:rsid w:val="00E82323"/>
    <w:rsid w:val="00E83889"/>
    <w:rsid w:val="00E83C51"/>
    <w:rsid w:val="00E83F47"/>
    <w:rsid w:val="00E86FDA"/>
    <w:rsid w:val="00E870F0"/>
    <w:rsid w:val="00E90645"/>
    <w:rsid w:val="00E90E0D"/>
    <w:rsid w:val="00E92A7A"/>
    <w:rsid w:val="00E92FB0"/>
    <w:rsid w:val="00E93EA5"/>
    <w:rsid w:val="00E93ED1"/>
    <w:rsid w:val="00E940BB"/>
    <w:rsid w:val="00E95480"/>
    <w:rsid w:val="00E962F0"/>
    <w:rsid w:val="00EA3A7C"/>
    <w:rsid w:val="00EA45BF"/>
    <w:rsid w:val="00EA6D34"/>
    <w:rsid w:val="00EB12F7"/>
    <w:rsid w:val="00EB2845"/>
    <w:rsid w:val="00EB2AB8"/>
    <w:rsid w:val="00EB40A5"/>
    <w:rsid w:val="00EB5B5E"/>
    <w:rsid w:val="00EC3073"/>
    <w:rsid w:val="00EC5667"/>
    <w:rsid w:val="00ED032D"/>
    <w:rsid w:val="00ED2D92"/>
    <w:rsid w:val="00ED2D9E"/>
    <w:rsid w:val="00ED71E3"/>
    <w:rsid w:val="00EE3CF9"/>
    <w:rsid w:val="00EE5BF9"/>
    <w:rsid w:val="00EE63AB"/>
    <w:rsid w:val="00EE64ED"/>
    <w:rsid w:val="00EF67EC"/>
    <w:rsid w:val="00F07561"/>
    <w:rsid w:val="00F11D1D"/>
    <w:rsid w:val="00F11F42"/>
    <w:rsid w:val="00F12683"/>
    <w:rsid w:val="00F13CAF"/>
    <w:rsid w:val="00F143F5"/>
    <w:rsid w:val="00F157DD"/>
    <w:rsid w:val="00F1702B"/>
    <w:rsid w:val="00F21A27"/>
    <w:rsid w:val="00F2447E"/>
    <w:rsid w:val="00F3567E"/>
    <w:rsid w:val="00F359D8"/>
    <w:rsid w:val="00F35DE6"/>
    <w:rsid w:val="00F369BD"/>
    <w:rsid w:val="00F36CE7"/>
    <w:rsid w:val="00F408EE"/>
    <w:rsid w:val="00F4193A"/>
    <w:rsid w:val="00F428A0"/>
    <w:rsid w:val="00F44EDA"/>
    <w:rsid w:val="00F52E20"/>
    <w:rsid w:val="00F649F9"/>
    <w:rsid w:val="00F651DF"/>
    <w:rsid w:val="00F703DD"/>
    <w:rsid w:val="00F7051B"/>
    <w:rsid w:val="00F708D1"/>
    <w:rsid w:val="00F74B4F"/>
    <w:rsid w:val="00F77431"/>
    <w:rsid w:val="00F80F21"/>
    <w:rsid w:val="00F86D51"/>
    <w:rsid w:val="00F93E40"/>
    <w:rsid w:val="00F944E6"/>
    <w:rsid w:val="00F97AA7"/>
    <w:rsid w:val="00FA059C"/>
    <w:rsid w:val="00FA0862"/>
    <w:rsid w:val="00FA29D5"/>
    <w:rsid w:val="00FA4AF9"/>
    <w:rsid w:val="00FA53D2"/>
    <w:rsid w:val="00FA62D0"/>
    <w:rsid w:val="00FB1623"/>
    <w:rsid w:val="00FB35B9"/>
    <w:rsid w:val="00FB6487"/>
    <w:rsid w:val="00FB6CC8"/>
    <w:rsid w:val="00FC05A5"/>
    <w:rsid w:val="00FC2D85"/>
    <w:rsid w:val="00FC3081"/>
    <w:rsid w:val="00FC3379"/>
    <w:rsid w:val="00FD2B2B"/>
    <w:rsid w:val="00FD4BDB"/>
    <w:rsid w:val="00FD4F60"/>
    <w:rsid w:val="00FD5138"/>
    <w:rsid w:val="00FD51E6"/>
    <w:rsid w:val="00FE4DC0"/>
    <w:rsid w:val="00FE6CC4"/>
    <w:rsid w:val="00FF114D"/>
    <w:rsid w:val="00FF28A9"/>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6C83520-99DF-4FB1-A23D-BA3D9569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93C"/>
    <w:pPr>
      <w:spacing w:after="200" w:line="240" w:lineRule="auto"/>
    </w:pPr>
  </w:style>
  <w:style w:type="paragraph" w:styleId="Heading1">
    <w:name w:val="heading 1"/>
    <w:basedOn w:val="Normal"/>
    <w:next w:val="Normal"/>
    <w:link w:val="Heading1Char"/>
    <w:uiPriority w:val="9"/>
    <w:qFormat/>
    <w:rsid w:val="000D0611"/>
    <w:pPr>
      <w:keepNext/>
      <w:spacing w:before="1080" w:after="480"/>
      <w:outlineLvl w:val="0"/>
    </w:pPr>
    <w:rPr>
      <w:rFonts w:asciiTheme="majorHAnsi" w:eastAsiaTheme="majorEastAsia" w:hAnsiTheme="majorHAnsi" w:cstheme="majorBidi"/>
      <w:b/>
      <w:color w:val="113652"/>
      <w:sz w:val="48"/>
      <w:szCs w:val="32"/>
      <w:lang w:eastAsia="en-US"/>
    </w:rPr>
  </w:style>
  <w:style w:type="paragraph" w:styleId="Heading2">
    <w:name w:val="heading 2"/>
    <w:basedOn w:val="Normal"/>
    <w:next w:val="Normal"/>
    <w:link w:val="Heading2Char"/>
    <w:uiPriority w:val="9"/>
    <w:unhideWhenUsed/>
    <w:qFormat/>
    <w:rsid w:val="00BB2DE6"/>
    <w:pPr>
      <w:keepNext/>
      <w:pageBreakBefore/>
      <w:outlineLvl w:val="1"/>
    </w:pPr>
    <w:rPr>
      <w:rFonts w:asciiTheme="majorHAnsi" w:eastAsiaTheme="majorEastAsia" w:hAnsiTheme="majorHAnsi" w:cstheme="majorBidi"/>
      <w:b/>
      <w:color w:val="0066AB"/>
      <w:sz w:val="36"/>
      <w:szCs w:val="26"/>
      <w:lang w:eastAsia="en-US"/>
    </w:rPr>
  </w:style>
  <w:style w:type="paragraph" w:styleId="Heading3">
    <w:name w:val="heading 3"/>
    <w:basedOn w:val="Normal"/>
    <w:next w:val="Normal"/>
    <w:link w:val="Heading3Char"/>
    <w:uiPriority w:val="9"/>
    <w:unhideWhenUsed/>
    <w:qFormat/>
    <w:rsid w:val="00EC3073"/>
    <w:pPr>
      <w:keepNext/>
      <w:spacing w:after="120"/>
      <w:outlineLvl w:val="2"/>
    </w:pPr>
    <w:rPr>
      <w:rFonts w:asciiTheme="majorHAnsi" w:eastAsiaTheme="majorEastAsia" w:hAnsiTheme="majorHAnsi" w:cstheme="majorBidi"/>
      <w:b/>
      <w:color w:val="0066AB"/>
      <w:sz w:val="30"/>
      <w:szCs w:val="24"/>
      <w:lang w:eastAsia="en-US"/>
    </w:rPr>
  </w:style>
  <w:style w:type="paragraph" w:styleId="Heading4">
    <w:name w:val="heading 4"/>
    <w:basedOn w:val="Normal"/>
    <w:next w:val="Normal"/>
    <w:link w:val="Heading4Char"/>
    <w:uiPriority w:val="9"/>
    <w:unhideWhenUsed/>
    <w:qFormat/>
    <w:rsid w:val="00EC3073"/>
    <w:pPr>
      <w:keepNext/>
      <w:keepLines/>
      <w:spacing w:after="120"/>
      <w:outlineLvl w:val="3"/>
    </w:pPr>
    <w:rPr>
      <w:rFonts w:asciiTheme="majorHAnsi" w:eastAsiaTheme="majorEastAsia" w:hAnsiTheme="majorHAnsi" w:cstheme="majorBidi"/>
      <w:b/>
      <w:bCs/>
      <w:color w:val="0066AB"/>
      <w:sz w:val="24"/>
      <w:szCs w:val="24"/>
    </w:rPr>
  </w:style>
  <w:style w:type="paragraph" w:styleId="Heading5">
    <w:name w:val="heading 5"/>
    <w:basedOn w:val="Normal"/>
    <w:next w:val="Normal"/>
    <w:link w:val="Heading5Char"/>
    <w:uiPriority w:val="9"/>
    <w:unhideWhenUsed/>
    <w:qFormat/>
    <w:rsid w:val="00A92D8A"/>
    <w:pPr>
      <w:keepNext/>
      <w:keepLines/>
      <w:spacing w:after="60"/>
      <w:outlineLvl w:val="4"/>
    </w:pPr>
    <w:rPr>
      <w:rFonts w:asciiTheme="majorHAnsi" w:eastAsiaTheme="majorEastAsia" w:hAnsiTheme="majorHAnsi" w:cstheme="majorBidi"/>
      <w:b/>
      <w:color w:val="0066AB"/>
    </w:rPr>
  </w:style>
  <w:style w:type="paragraph" w:styleId="Heading6">
    <w:name w:val="heading 6"/>
    <w:basedOn w:val="Normal"/>
    <w:next w:val="Normal"/>
    <w:link w:val="Heading6Char"/>
    <w:uiPriority w:val="9"/>
    <w:unhideWhenUsed/>
    <w:qFormat/>
    <w:rsid w:val="00EC3073"/>
    <w:pPr>
      <w:keepNext/>
      <w:keepLines/>
      <w:spacing w:after="60"/>
      <w:outlineLvl w:val="5"/>
    </w:pPr>
    <w:rPr>
      <w:rFonts w:asciiTheme="majorHAnsi" w:eastAsiaTheme="majorEastAsia" w:hAnsiTheme="majorHAnsi" w:cstheme="majorBidi"/>
      <w:i/>
      <w:iCs/>
      <w:color w:val="0066AB"/>
    </w:rPr>
  </w:style>
  <w:style w:type="paragraph" w:styleId="Heading7">
    <w:name w:val="heading 7"/>
    <w:basedOn w:val="Normal"/>
    <w:next w:val="Normal"/>
    <w:link w:val="Heading7Char"/>
    <w:uiPriority w:val="9"/>
    <w:unhideWhenUsed/>
    <w:qFormat/>
    <w:rsid w:val="00EC3073"/>
    <w:pPr>
      <w:keepNext/>
      <w:keepLines/>
      <w:spacing w:before="40" w:after="0"/>
      <w:outlineLvl w:val="6"/>
    </w:pPr>
    <w:rPr>
      <w:rFonts w:asciiTheme="majorHAnsi" w:eastAsiaTheme="majorEastAsia" w:hAnsiTheme="majorHAnsi" w:cstheme="majorBidi"/>
      <w:i/>
      <w:iCs/>
      <w:color w:val="0066AB"/>
    </w:rPr>
  </w:style>
  <w:style w:type="paragraph" w:styleId="Heading8">
    <w:name w:val="heading 8"/>
    <w:basedOn w:val="Normal"/>
    <w:next w:val="Normal"/>
    <w:link w:val="Heading8Char"/>
    <w:uiPriority w:val="9"/>
    <w:unhideWhenUsed/>
    <w:qFormat/>
    <w:rsid w:val="00734DE1"/>
    <w:pPr>
      <w:keepNext/>
      <w:keepLines/>
      <w:spacing w:before="40" w:after="0"/>
      <w:outlineLvl w:val="7"/>
    </w:pPr>
    <w:rPr>
      <w:rFonts w:asciiTheme="majorHAnsi" w:eastAsiaTheme="majorEastAsia" w:hAnsiTheme="majorHAnsi" w:cstheme="majorBidi"/>
      <w:color w:val="0066AB"/>
      <w:sz w:val="21"/>
      <w:szCs w:val="21"/>
    </w:rPr>
  </w:style>
  <w:style w:type="paragraph" w:styleId="Heading9">
    <w:name w:val="heading 9"/>
    <w:basedOn w:val="Normal"/>
    <w:next w:val="Normal"/>
    <w:link w:val="Heading9Char"/>
    <w:uiPriority w:val="9"/>
    <w:unhideWhenUsed/>
    <w:qFormat/>
    <w:rsid w:val="00EC3073"/>
    <w:pPr>
      <w:keepNext/>
      <w:keepLines/>
      <w:spacing w:before="40" w:after="0"/>
      <w:outlineLvl w:val="8"/>
    </w:pPr>
    <w:rPr>
      <w:rFonts w:asciiTheme="majorHAnsi" w:eastAsiaTheme="majorEastAsia" w:hAnsiTheme="majorHAnsi" w:cstheme="majorBidi"/>
      <w:i/>
      <w:iCs/>
      <w:color w:val="0066A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611"/>
    <w:rPr>
      <w:rFonts w:asciiTheme="majorHAnsi" w:eastAsiaTheme="majorEastAsia" w:hAnsiTheme="majorHAnsi" w:cstheme="majorBidi"/>
      <w:b/>
      <w:color w:val="113652"/>
      <w:sz w:val="48"/>
      <w:szCs w:val="32"/>
      <w:lang w:eastAsia="en-US"/>
    </w:rPr>
  </w:style>
  <w:style w:type="character" w:customStyle="1" w:styleId="Heading2Char">
    <w:name w:val="Heading 2 Char"/>
    <w:basedOn w:val="DefaultParagraphFont"/>
    <w:link w:val="Heading2"/>
    <w:uiPriority w:val="9"/>
    <w:rsid w:val="00BB2DE6"/>
    <w:rPr>
      <w:rFonts w:asciiTheme="majorHAnsi" w:eastAsiaTheme="majorEastAsia" w:hAnsiTheme="majorHAnsi" w:cstheme="majorBidi"/>
      <w:b/>
      <w:color w:val="0066AB"/>
      <w:sz w:val="36"/>
      <w:szCs w:val="26"/>
      <w:lang w:eastAsia="en-US"/>
    </w:rPr>
  </w:style>
  <w:style w:type="character" w:customStyle="1" w:styleId="Heading3Char">
    <w:name w:val="Heading 3 Char"/>
    <w:basedOn w:val="DefaultParagraphFont"/>
    <w:link w:val="Heading3"/>
    <w:uiPriority w:val="9"/>
    <w:rsid w:val="00EC3073"/>
    <w:rPr>
      <w:rFonts w:asciiTheme="majorHAnsi" w:eastAsiaTheme="majorEastAsia" w:hAnsiTheme="majorHAnsi" w:cstheme="majorBidi"/>
      <w:b/>
      <w:color w:val="0066AB"/>
      <w:sz w:val="30"/>
      <w:szCs w:val="24"/>
      <w:lang w:eastAsia="en-US"/>
    </w:rPr>
  </w:style>
  <w:style w:type="character" w:styleId="Hyperlink">
    <w:name w:val="Hyperlink"/>
    <w:basedOn w:val="DefaultParagraphFont"/>
    <w:uiPriority w:val="99"/>
    <w:unhideWhenUsed/>
    <w:rsid w:val="002F40EB"/>
    <w:rPr>
      <w:color w:val="0066AB"/>
      <w:u w:val="single"/>
    </w:rPr>
  </w:style>
  <w:style w:type="paragraph" w:customStyle="1" w:styleId="Bulletlevel1">
    <w:name w:val="Bullet level 1"/>
    <w:basedOn w:val="Normal"/>
    <w:qFormat/>
    <w:rsid w:val="00D511E2"/>
    <w:pPr>
      <w:numPr>
        <w:numId w:val="1"/>
      </w:numPr>
      <w:ind w:left="567" w:hanging="567"/>
      <w:contextualSpacing/>
    </w:pPr>
    <w:rPr>
      <w:rFonts w:eastAsiaTheme="minorHAnsi"/>
      <w:lang w:eastAsia="en-US"/>
    </w:rPr>
  </w:style>
  <w:style w:type="paragraph" w:styleId="Quote">
    <w:name w:val="Quote"/>
    <w:basedOn w:val="Normal"/>
    <w:next w:val="Normal"/>
    <w:link w:val="QuoteChar"/>
    <w:uiPriority w:val="29"/>
    <w:qFormat/>
    <w:rsid w:val="009C73DD"/>
    <w:pPr>
      <w:ind w:left="567"/>
    </w:pPr>
    <w:rPr>
      <w:rFonts w:eastAsiaTheme="minorHAnsi"/>
      <w:i/>
      <w:iCs/>
      <w:color w:val="0066AB"/>
      <w:lang w:eastAsia="en-US"/>
    </w:rPr>
  </w:style>
  <w:style w:type="character" w:customStyle="1" w:styleId="QuoteChar">
    <w:name w:val="Quote Char"/>
    <w:basedOn w:val="DefaultParagraphFont"/>
    <w:link w:val="Quote"/>
    <w:uiPriority w:val="29"/>
    <w:rsid w:val="009C73DD"/>
    <w:rPr>
      <w:rFonts w:eastAsiaTheme="minorHAnsi"/>
      <w:i/>
      <w:iCs/>
      <w:color w:val="0066AB"/>
      <w:lang w:eastAsia="en-US"/>
    </w:rPr>
  </w:style>
  <w:style w:type="paragraph" w:styleId="Header">
    <w:name w:val="header"/>
    <w:basedOn w:val="Normal"/>
    <w:link w:val="HeaderChar"/>
    <w:uiPriority w:val="99"/>
    <w:unhideWhenUsed/>
    <w:rsid w:val="002117E6"/>
    <w:pPr>
      <w:tabs>
        <w:tab w:val="center" w:pos="4513"/>
        <w:tab w:val="right" w:pos="9026"/>
      </w:tabs>
      <w:spacing w:after="0"/>
    </w:pPr>
  </w:style>
  <w:style w:type="character" w:customStyle="1" w:styleId="HeaderChar">
    <w:name w:val="Header Char"/>
    <w:basedOn w:val="DefaultParagraphFont"/>
    <w:link w:val="Header"/>
    <w:uiPriority w:val="99"/>
    <w:rsid w:val="002117E6"/>
  </w:style>
  <w:style w:type="paragraph" w:styleId="Footer">
    <w:name w:val="footer"/>
    <w:basedOn w:val="Normal"/>
    <w:link w:val="FooterChar"/>
    <w:uiPriority w:val="99"/>
    <w:unhideWhenUsed/>
    <w:rsid w:val="002117E6"/>
    <w:pPr>
      <w:tabs>
        <w:tab w:val="center" w:pos="4513"/>
        <w:tab w:val="right" w:pos="9026"/>
      </w:tabs>
      <w:spacing w:after="0"/>
    </w:pPr>
  </w:style>
  <w:style w:type="character" w:customStyle="1" w:styleId="FooterChar">
    <w:name w:val="Footer Char"/>
    <w:basedOn w:val="DefaultParagraphFont"/>
    <w:link w:val="Footer"/>
    <w:uiPriority w:val="99"/>
    <w:rsid w:val="002117E6"/>
  </w:style>
  <w:style w:type="character" w:customStyle="1" w:styleId="Heading4Char">
    <w:name w:val="Heading 4 Char"/>
    <w:basedOn w:val="DefaultParagraphFont"/>
    <w:link w:val="Heading4"/>
    <w:uiPriority w:val="9"/>
    <w:rsid w:val="00EC3073"/>
    <w:rPr>
      <w:rFonts w:asciiTheme="majorHAnsi" w:eastAsiaTheme="majorEastAsia" w:hAnsiTheme="majorHAnsi" w:cstheme="majorBidi"/>
      <w:b/>
      <w:bCs/>
      <w:color w:val="0066AB"/>
      <w:sz w:val="24"/>
      <w:szCs w:val="24"/>
    </w:rPr>
  </w:style>
  <w:style w:type="character" w:customStyle="1" w:styleId="Heading5Char">
    <w:name w:val="Heading 5 Char"/>
    <w:basedOn w:val="DefaultParagraphFont"/>
    <w:link w:val="Heading5"/>
    <w:uiPriority w:val="9"/>
    <w:rsid w:val="00A92D8A"/>
    <w:rPr>
      <w:rFonts w:asciiTheme="majorHAnsi" w:eastAsiaTheme="majorEastAsia" w:hAnsiTheme="majorHAnsi" w:cstheme="majorBidi"/>
      <w:b/>
      <w:color w:val="0066AB"/>
    </w:rPr>
  </w:style>
  <w:style w:type="table" w:styleId="TableGrid">
    <w:name w:val="Table Grid"/>
    <w:basedOn w:val="TableNormal"/>
    <w:uiPriority w:val="39"/>
    <w:rsid w:val="002117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F4193A"/>
    <w:pPr>
      <w:keepNext/>
      <w:spacing w:after="0"/>
    </w:pPr>
    <w:rPr>
      <w:rFonts w:asciiTheme="majorHAnsi" w:eastAsiaTheme="minorHAnsi" w:hAnsiTheme="majorHAnsi"/>
      <w:b/>
      <w:color w:val="113652"/>
      <w:lang w:eastAsia="en-US"/>
    </w:rPr>
  </w:style>
  <w:style w:type="paragraph" w:customStyle="1" w:styleId="Tabletextcentred">
    <w:name w:val="Table text centred"/>
    <w:basedOn w:val="Normal"/>
    <w:next w:val="NoSpacing"/>
    <w:rsid w:val="002117E6"/>
    <w:pPr>
      <w:spacing w:after="0"/>
      <w:jc w:val="center"/>
    </w:pPr>
    <w:rPr>
      <w:rFonts w:eastAsia="Times New Roman" w:cs="Times New Roman"/>
      <w:szCs w:val="20"/>
      <w:lang w:eastAsia="en-US"/>
    </w:rPr>
  </w:style>
  <w:style w:type="paragraph" w:customStyle="1" w:styleId="Tablerowcolumnheadingcentred">
    <w:name w:val="Table row/column heading centred"/>
    <w:basedOn w:val="Normal"/>
    <w:next w:val="Normal"/>
    <w:rsid w:val="002F40EB"/>
    <w:pPr>
      <w:spacing w:after="0"/>
      <w:jc w:val="center"/>
    </w:pPr>
    <w:rPr>
      <w:rFonts w:eastAsia="Times New Roman" w:cs="Times New Roman"/>
      <w:b/>
      <w:bCs/>
      <w:color w:val="FFFFFF" w:themeColor="background1"/>
      <w:szCs w:val="20"/>
      <w:lang w:eastAsia="en-US"/>
    </w:rPr>
  </w:style>
  <w:style w:type="paragraph" w:customStyle="1" w:styleId="Tabletext">
    <w:name w:val="Table text"/>
    <w:basedOn w:val="Tabletextcentred"/>
    <w:qFormat/>
    <w:rsid w:val="002117E6"/>
    <w:pPr>
      <w:jc w:val="left"/>
    </w:pPr>
  </w:style>
  <w:style w:type="paragraph" w:styleId="NoSpacing">
    <w:name w:val="No Spacing"/>
    <w:uiPriority w:val="1"/>
    <w:qFormat/>
    <w:rsid w:val="002117E6"/>
    <w:pPr>
      <w:spacing w:after="0" w:line="240" w:lineRule="auto"/>
    </w:pPr>
  </w:style>
  <w:style w:type="paragraph" w:customStyle="1" w:styleId="Tablerowcolumnheading">
    <w:name w:val="Table row/column heading"/>
    <w:basedOn w:val="Normal"/>
    <w:next w:val="Normal"/>
    <w:rsid w:val="002F40EB"/>
    <w:pPr>
      <w:spacing w:after="0"/>
    </w:pPr>
    <w:rPr>
      <w:rFonts w:eastAsia="Times New Roman" w:cs="Times New Roman"/>
      <w:b/>
      <w:bCs/>
      <w:color w:val="FFFFFF" w:themeColor="background1"/>
      <w:szCs w:val="20"/>
      <w:lang w:eastAsia="en-US"/>
    </w:rPr>
  </w:style>
  <w:style w:type="paragraph" w:customStyle="1" w:styleId="Checkboxemptybulletpoint">
    <w:name w:val="Check box empty bullet point"/>
    <w:basedOn w:val="Bulletlevel1"/>
    <w:qFormat/>
    <w:rsid w:val="002117E6"/>
    <w:pPr>
      <w:numPr>
        <w:numId w:val="2"/>
      </w:numPr>
      <w:spacing w:after="0"/>
      <w:ind w:left="567" w:hanging="567"/>
    </w:pPr>
  </w:style>
  <w:style w:type="character" w:customStyle="1" w:styleId="Heading6Char">
    <w:name w:val="Heading 6 Char"/>
    <w:basedOn w:val="DefaultParagraphFont"/>
    <w:link w:val="Heading6"/>
    <w:uiPriority w:val="9"/>
    <w:rsid w:val="00EC3073"/>
    <w:rPr>
      <w:rFonts w:asciiTheme="majorHAnsi" w:eastAsiaTheme="majorEastAsia" w:hAnsiTheme="majorHAnsi" w:cstheme="majorBidi"/>
      <w:i/>
      <w:iCs/>
      <w:color w:val="0066AB"/>
    </w:rPr>
  </w:style>
  <w:style w:type="character" w:customStyle="1" w:styleId="Heading7Char">
    <w:name w:val="Heading 7 Char"/>
    <w:basedOn w:val="DefaultParagraphFont"/>
    <w:link w:val="Heading7"/>
    <w:uiPriority w:val="9"/>
    <w:rsid w:val="00EC3073"/>
    <w:rPr>
      <w:rFonts w:asciiTheme="majorHAnsi" w:eastAsiaTheme="majorEastAsia" w:hAnsiTheme="majorHAnsi" w:cstheme="majorBidi"/>
      <w:i/>
      <w:iCs/>
      <w:color w:val="0066AB"/>
    </w:rPr>
  </w:style>
  <w:style w:type="character" w:customStyle="1" w:styleId="Heading8Char">
    <w:name w:val="Heading 8 Char"/>
    <w:basedOn w:val="DefaultParagraphFont"/>
    <w:link w:val="Heading8"/>
    <w:uiPriority w:val="9"/>
    <w:rsid w:val="00734DE1"/>
    <w:rPr>
      <w:rFonts w:asciiTheme="majorHAnsi" w:eastAsiaTheme="majorEastAsia" w:hAnsiTheme="majorHAnsi" w:cstheme="majorBidi"/>
      <w:color w:val="0066AB"/>
      <w:sz w:val="21"/>
      <w:szCs w:val="21"/>
    </w:rPr>
  </w:style>
  <w:style w:type="character" w:customStyle="1" w:styleId="Heading9Char">
    <w:name w:val="Heading 9 Char"/>
    <w:basedOn w:val="DefaultParagraphFont"/>
    <w:link w:val="Heading9"/>
    <w:uiPriority w:val="9"/>
    <w:rsid w:val="00EC3073"/>
    <w:rPr>
      <w:rFonts w:asciiTheme="majorHAnsi" w:eastAsiaTheme="majorEastAsia" w:hAnsiTheme="majorHAnsi" w:cstheme="majorBidi"/>
      <w:i/>
      <w:iCs/>
      <w:color w:val="0066AB"/>
      <w:sz w:val="21"/>
      <w:szCs w:val="21"/>
    </w:rPr>
  </w:style>
  <w:style w:type="character" w:styleId="PlaceholderText">
    <w:name w:val="Placeholder Text"/>
    <w:basedOn w:val="DefaultParagraphFont"/>
    <w:uiPriority w:val="99"/>
    <w:semiHidden/>
    <w:rsid w:val="0064138E"/>
    <w:rPr>
      <w:color w:val="808080"/>
    </w:rPr>
  </w:style>
  <w:style w:type="character" w:styleId="FollowedHyperlink">
    <w:name w:val="FollowedHyperlink"/>
    <w:basedOn w:val="DefaultParagraphFont"/>
    <w:uiPriority w:val="99"/>
    <w:semiHidden/>
    <w:unhideWhenUsed/>
    <w:rsid w:val="009B7EF0"/>
    <w:rPr>
      <w:color w:val="0066AB" w:themeColor="followedHyperlink"/>
      <w:u w:val="single"/>
    </w:rPr>
  </w:style>
  <w:style w:type="character" w:customStyle="1" w:styleId="UnresolvedMention1">
    <w:name w:val="Unresolved Mention1"/>
    <w:basedOn w:val="DefaultParagraphFont"/>
    <w:uiPriority w:val="99"/>
    <w:semiHidden/>
    <w:unhideWhenUsed/>
    <w:rsid w:val="0094124E"/>
    <w:rPr>
      <w:color w:val="808080"/>
      <w:shd w:val="clear" w:color="auto" w:fill="E6E6E6"/>
    </w:rPr>
  </w:style>
  <w:style w:type="paragraph" w:customStyle="1" w:styleId="Heading2-notshowing">
    <w:name w:val="Heading 2 - not showing"/>
    <w:basedOn w:val="Heading2"/>
    <w:qFormat/>
    <w:rsid w:val="00BB2DE6"/>
    <w:pPr>
      <w:pageBreakBefore w:val="0"/>
      <w:spacing w:after="120"/>
    </w:pPr>
    <w:rPr>
      <w:sz w:val="32"/>
    </w:rPr>
  </w:style>
  <w:style w:type="paragraph" w:customStyle="1" w:styleId="Heading3-notshowing">
    <w:name w:val="Heading 3 - not showing"/>
    <w:basedOn w:val="Heading3"/>
    <w:qFormat/>
    <w:rsid w:val="00EC3073"/>
    <w:rPr>
      <w:sz w:val="28"/>
    </w:rPr>
  </w:style>
  <w:style w:type="paragraph" w:styleId="TOC1">
    <w:name w:val="toc 1"/>
    <w:basedOn w:val="Normal"/>
    <w:next w:val="Normal"/>
    <w:autoRedefine/>
    <w:uiPriority w:val="39"/>
    <w:unhideWhenUsed/>
    <w:rsid w:val="005C3C3C"/>
    <w:pPr>
      <w:tabs>
        <w:tab w:val="right" w:leader="dot" w:pos="9072"/>
      </w:tabs>
      <w:spacing w:before="120" w:after="0"/>
    </w:pPr>
    <w:rPr>
      <w:b/>
      <w:color w:val="113652"/>
      <w:sz w:val="24"/>
    </w:rPr>
  </w:style>
  <w:style w:type="paragraph" w:styleId="TOC2">
    <w:name w:val="toc 2"/>
    <w:basedOn w:val="Normal"/>
    <w:next w:val="Normal"/>
    <w:autoRedefine/>
    <w:uiPriority w:val="39"/>
    <w:unhideWhenUsed/>
    <w:rsid w:val="00705B86"/>
    <w:pPr>
      <w:tabs>
        <w:tab w:val="right" w:leader="dot" w:pos="9072"/>
      </w:tabs>
      <w:spacing w:after="0"/>
      <w:ind w:left="567"/>
    </w:pPr>
  </w:style>
  <w:style w:type="paragraph" w:styleId="TOC3">
    <w:name w:val="toc 3"/>
    <w:basedOn w:val="Normal"/>
    <w:next w:val="Normal"/>
    <w:autoRedefine/>
    <w:uiPriority w:val="39"/>
    <w:unhideWhenUsed/>
    <w:rsid w:val="00705B86"/>
    <w:pPr>
      <w:tabs>
        <w:tab w:val="right" w:leader="dot" w:pos="9072"/>
      </w:tabs>
      <w:spacing w:after="0"/>
      <w:ind w:left="1134"/>
    </w:pPr>
  </w:style>
  <w:style w:type="paragraph" w:styleId="TOC4">
    <w:name w:val="toc 4"/>
    <w:basedOn w:val="Normal"/>
    <w:next w:val="Normal"/>
    <w:autoRedefine/>
    <w:uiPriority w:val="39"/>
    <w:unhideWhenUsed/>
    <w:rsid w:val="00705B86"/>
    <w:pPr>
      <w:tabs>
        <w:tab w:val="right" w:leader="dot" w:pos="9072"/>
      </w:tabs>
      <w:spacing w:after="0"/>
    </w:pPr>
  </w:style>
  <w:style w:type="paragraph" w:customStyle="1" w:styleId="Sourcenote">
    <w:name w:val="Source / note"/>
    <w:basedOn w:val="Normal"/>
    <w:next w:val="Normal"/>
    <w:qFormat/>
    <w:rsid w:val="00C16794"/>
    <w:rPr>
      <w:sz w:val="20"/>
      <w:szCs w:val="20"/>
    </w:rPr>
  </w:style>
  <w:style w:type="paragraph" w:styleId="ListParagraph">
    <w:name w:val="List Paragraph"/>
    <w:basedOn w:val="Normal"/>
    <w:uiPriority w:val="34"/>
    <w:qFormat/>
    <w:rsid w:val="00C16794"/>
    <w:pPr>
      <w:numPr>
        <w:numId w:val="3"/>
      </w:numPr>
      <w:ind w:left="567" w:hanging="567"/>
      <w:contextualSpacing/>
    </w:pPr>
  </w:style>
  <w:style w:type="character" w:styleId="CommentReference">
    <w:name w:val="annotation reference"/>
    <w:basedOn w:val="DefaultParagraphFont"/>
    <w:uiPriority w:val="99"/>
    <w:semiHidden/>
    <w:unhideWhenUsed/>
    <w:rsid w:val="002B20D5"/>
    <w:rPr>
      <w:sz w:val="16"/>
      <w:szCs w:val="16"/>
    </w:rPr>
  </w:style>
  <w:style w:type="paragraph" w:styleId="CommentText">
    <w:name w:val="annotation text"/>
    <w:basedOn w:val="Normal"/>
    <w:link w:val="CommentTextChar"/>
    <w:uiPriority w:val="99"/>
    <w:semiHidden/>
    <w:unhideWhenUsed/>
    <w:rsid w:val="002B20D5"/>
    <w:rPr>
      <w:sz w:val="20"/>
      <w:szCs w:val="20"/>
    </w:rPr>
  </w:style>
  <w:style w:type="character" w:customStyle="1" w:styleId="CommentTextChar">
    <w:name w:val="Comment Text Char"/>
    <w:basedOn w:val="DefaultParagraphFont"/>
    <w:link w:val="CommentText"/>
    <w:uiPriority w:val="99"/>
    <w:semiHidden/>
    <w:rsid w:val="002B20D5"/>
    <w:rPr>
      <w:sz w:val="20"/>
      <w:szCs w:val="20"/>
    </w:rPr>
  </w:style>
  <w:style w:type="paragraph" w:styleId="CommentSubject">
    <w:name w:val="annotation subject"/>
    <w:basedOn w:val="CommentText"/>
    <w:next w:val="CommentText"/>
    <w:link w:val="CommentSubjectChar"/>
    <w:uiPriority w:val="99"/>
    <w:semiHidden/>
    <w:unhideWhenUsed/>
    <w:rsid w:val="002B20D5"/>
    <w:rPr>
      <w:b/>
      <w:bCs/>
    </w:rPr>
  </w:style>
  <w:style w:type="character" w:customStyle="1" w:styleId="CommentSubjectChar">
    <w:name w:val="Comment Subject Char"/>
    <w:basedOn w:val="CommentTextChar"/>
    <w:link w:val="CommentSubject"/>
    <w:uiPriority w:val="99"/>
    <w:semiHidden/>
    <w:rsid w:val="002B20D5"/>
    <w:rPr>
      <w:b/>
      <w:bCs/>
      <w:sz w:val="20"/>
      <w:szCs w:val="20"/>
    </w:rPr>
  </w:style>
  <w:style w:type="paragraph" w:styleId="BalloonText">
    <w:name w:val="Balloon Text"/>
    <w:basedOn w:val="Normal"/>
    <w:link w:val="BalloonTextChar"/>
    <w:uiPriority w:val="99"/>
    <w:semiHidden/>
    <w:unhideWhenUsed/>
    <w:rsid w:val="002B20D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0D5"/>
    <w:rPr>
      <w:rFonts w:ascii="Segoe UI" w:hAnsi="Segoe UI" w:cs="Segoe UI"/>
      <w:sz w:val="18"/>
      <w:szCs w:val="18"/>
    </w:rPr>
  </w:style>
  <w:style w:type="paragraph" w:styleId="EndnoteText">
    <w:name w:val="endnote text"/>
    <w:basedOn w:val="Normal"/>
    <w:link w:val="EndnoteTextChar"/>
    <w:uiPriority w:val="99"/>
    <w:semiHidden/>
    <w:unhideWhenUsed/>
    <w:rsid w:val="00050D6D"/>
    <w:pPr>
      <w:spacing w:after="0"/>
    </w:pPr>
    <w:rPr>
      <w:sz w:val="20"/>
      <w:szCs w:val="20"/>
    </w:rPr>
  </w:style>
  <w:style w:type="character" w:customStyle="1" w:styleId="EndnoteTextChar">
    <w:name w:val="Endnote Text Char"/>
    <w:basedOn w:val="DefaultParagraphFont"/>
    <w:link w:val="EndnoteText"/>
    <w:uiPriority w:val="99"/>
    <w:semiHidden/>
    <w:rsid w:val="00050D6D"/>
    <w:rPr>
      <w:sz w:val="20"/>
      <w:szCs w:val="20"/>
    </w:rPr>
  </w:style>
  <w:style w:type="character" w:styleId="EndnoteReference">
    <w:name w:val="endnote reference"/>
    <w:basedOn w:val="DefaultParagraphFont"/>
    <w:uiPriority w:val="99"/>
    <w:semiHidden/>
    <w:unhideWhenUsed/>
    <w:rsid w:val="00050D6D"/>
    <w:rPr>
      <w:vertAlign w:val="superscript"/>
    </w:rPr>
  </w:style>
  <w:style w:type="paragraph" w:styleId="FootnoteText">
    <w:name w:val="footnote text"/>
    <w:basedOn w:val="Normal"/>
    <w:link w:val="FootnoteTextChar"/>
    <w:uiPriority w:val="99"/>
    <w:semiHidden/>
    <w:unhideWhenUsed/>
    <w:rsid w:val="002F40EB"/>
    <w:pPr>
      <w:spacing w:after="0"/>
    </w:pPr>
    <w:rPr>
      <w:sz w:val="20"/>
      <w:szCs w:val="20"/>
    </w:rPr>
  </w:style>
  <w:style w:type="character" w:customStyle="1" w:styleId="FootnoteTextChar">
    <w:name w:val="Footnote Text Char"/>
    <w:basedOn w:val="DefaultParagraphFont"/>
    <w:link w:val="FootnoteText"/>
    <w:uiPriority w:val="99"/>
    <w:semiHidden/>
    <w:rsid w:val="002F40EB"/>
    <w:rPr>
      <w:sz w:val="20"/>
      <w:szCs w:val="20"/>
    </w:rPr>
  </w:style>
  <w:style w:type="character" w:styleId="FootnoteReference">
    <w:name w:val="footnote reference"/>
    <w:basedOn w:val="DefaultParagraphFont"/>
    <w:uiPriority w:val="99"/>
    <w:semiHidden/>
    <w:unhideWhenUsed/>
    <w:rsid w:val="002F40EB"/>
    <w:rPr>
      <w:vertAlign w:val="superscript"/>
    </w:rPr>
  </w:style>
  <w:style w:type="character" w:customStyle="1" w:styleId="superscriptfootnotereference">
    <w:name w:val="superscript footnote reference"/>
    <w:basedOn w:val="FootnoteReference"/>
    <w:uiPriority w:val="1"/>
    <w:qFormat/>
    <w:rsid w:val="002F40EB"/>
    <w:rPr>
      <w:vertAlign w:val="superscript"/>
    </w:rPr>
  </w:style>
  <w:style w:type="paragraph" w:customStyle="1" w:styleId="BCRBodytext">
    <w:name w:val="BCR Body text"/>
    <w:link w:val="BCRBodytextChar"/>
    <w:qFormat/>
    <w:rsid w:val="007F43EC"/>
    <w:pPr>
      <w:spacing w:before="120" w:line="256" w:lineRule="auto"/>
    </w:pPr>
    <w:rPr>
      <w:rFonts w:ascii="Calibri" w:eastAsiaTheme="minorHAnsi" w:hAnsi="Calibri"/>
      <w:lang w:eastAsia="en-US"/>
    </w:rPr>
  </w:style>
  <w:style w:type="character" w:customStyle="1" w:styleId="BCRBodytextChar">
    <w:name w:val="BCR Body text Char"/>
    <w:basedOn w:val="DefaultParagraphFont"/>
    <w:link w:val="BCRBodytext"/>
    <w:locked/>
    <w:rsid w:val="007F43EC"/>
    <w:rPr>
      <w:rFonts w:ascii="Calibri" w:eastAsiaTheme="minorHAns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0134">
      <w:bodyDiv w:val="1"/>
      <w:marLeft w:val="0"/>
      <w:marRight w:val="0"/>
      <w:marTop w:val="0"/>
      <w:marBottom w:val="0"/>
      <w:divBdr>
        <w:top w:val="none" w:sz="0" w:space="0" w:color="auto"/>
        <w:left w:val="none" w:sz="0" w:space="0" w:color="auto"/>
        <w:bottom w:val="none" w:sz="0" w:space="0" w:color="auto"/>
        <w:right w:val="none" w:sz="0" w:space="0" w:color="auto"/>
      </w:divBdr>
    </w:div>
    <w:div w:id="386537807">
      <w:bodyDiv w:val="1"/>
      <w:marLeft w:val="0"/>
      <w:marRight w:val="0"/>
      <w:marTop w:val="0"/>
      <w:marBottom w:val="0"/>
      <w:divBdr>
        <w:top w:val="none" w:sz="0" w:space="0" w:color="auto"/>
        <w:left w:val="none" w:sz="0" w:space="0" w:color="auto"/>
        <w:bottom w:val="none" w:sz="0" w:space="0" w:color="auto"/>
        <w:right w:val="none" w:sz="0" w:space="0" w:color="auto"/>
      </w:divBdr>
    </w:div>
    <w:div w:id="1522158366">
      <w:bodyDiv w:val="1"/>
      <w:marLeft w:val="0"/>
      <w:marRight w:val="0"/>
      <w:marTop w:val="0"/>
      <w:marBottom w:val="0"/>
      <w:divBdr>
        <w:top w:val="none" w:sz="0" w:space="0" w:color="auto"/>
        <w:left w:val="none" w:sz="0" w:space="0" w:color="auto"/>
        <w:bottom w:val="none" w:sz="0" w:space="0" w:color="auto"/>
        <w:right w:val="none" w:sz="0" w:space="0" w:color="auto"/>
      </w:divBdr>
    </w:div>
    <w:div w:id="182485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cid:image001.jpg@01CF53E2.F599DED0" TargetMode="External"/><Relationship Id="rId26" Type="http://schemas.openxmlformats.org/officeDocument/2006/relationships/footer" Target="foot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pyright@communications.gov.au" TargetMode="External"/><Relationship Id="rId34"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header" Target="header5.xml"/><Relationship Id="rId33" Type="http://schemas.openxmlformats.org/officeDocument/2006/relationships/image" Target="media/image7.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creativecommons.org/licenses/by/4.0"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image" Target="media/image6.png"/><Relationship Id="rId37" Type="http://schemas.openxmlformats.org/officeDocument/2006/relationships/image" Target="media/image11.emf"/><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pmc.gov.au/government/its-honour" TargetMode="External"/><Relationship Id="rId28" Type="http://schemas.openxmlformats.org/officeDocument/2006/relationships/header" Target="header6.xml"/><Relationship Id="rId36"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hyperlink" Target="http://www.creativecommons.org"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opyright@communications.gov.au" TargetMode="External"/><Relationship Id="rId27" Type="http://schemas.openxmlformats.org/officeDocument/2006/relationships/footer" Target="footer4.xml"/><Relationship Id="rId30" Type="http://schemas.openxmlformats.org/officeDocument/2006/relationships/header" Target="header8.xml"/><Relationship Id="rId35" Type="http://schemas.openxmlformats.org/officeDocument/2006/relationships/image" Target="media/image9.emf"/></Relationships>
</file>

<file path=word/_rels/endnotes.xml.rels><?xml version="1.0" encoding="UTF-8" standalone="yes"?>
<Relationships xmlns="http://schemas.openxmlformats.org/package/2006/relationships"><Relationship Id="rId8" Type="http://schemas.openxmlformats.org/officeDocument/2006/relationships/hyperlink" Target="https://www.nesta.org.uk/publications/future-skills-employment-2030" TargetMode="External"/><Relationship Id="rId13" Type="http://schemas.openxmlformats.org/officeDocument/2006/relationships/hyperlink" Target="https://www.pwc.com.au/about-us/social-impact/problems-worth-solving/stem.html" TargetMode="External"/><Relationship Id="rId18" Type="http://schemas.openxmlformats.org/officeDocument/2006/relationships/hyperlink" Target="https://eprints.qut.edu.au/92726/1/Applying%20NESTA%27s%20definition%20to%20Australian%20Census%20Data.pdf" TargetMode="External"/><Relationship Id="rId26" Type="http://schemas.openxmlformats.org/officeDocument/2006/relationships/hyperlink" Target="https://research.qut.edu.au/dmrc/wp-content/uploads/sites/5/2018/03/Factsheet-1-Creative-Employment-overview-V5.pdf" TargetMode="External"/><Relationship Id="rId3" Type="http://schemas.openxmlformats.org/officeDocument/2006/relationships/hyperlink" Target="https://www.oxfordmartin.ox.ac.uk/publications/view/1314" TargetMode="External"/><Relationship Id="rId21" Type="http://schemas.openxmlformats.org/officeDocument/2006/relationships/hyperlink" Target="https://eprints.qut.edu.au/92726/1/Applying%20NESTA%27s%20definition%20to%20Australian%20Census%20Data.pdf" TargetMode="External"/><Relationship Id="rId34" Type="http://schemas.openxmlformats.org/officeDocument/2006/relationships/hyperlink" Target="https://eprints.qut.edu.au/92726/1/Applying%20NESTA%27s%20definition%20to%20Australian%20Census%20Data.pdf" TargetMode="External"/><Relationship Id="rId7" Type="http://schemas.openxmlformats.org/officeDocument/2006/relationships/hyperlink" Target="https://www.pwc.co.uk/services/economics-policy/insights/the-impact-of-automation-on-jobs.html" TargetMode="External"/><Relationship Id="rId12" Type="http://schemas.openxmlformats.org/officeDocument/2006/relationships/hyperlink" Target="https://www.pwc.com/gx/en/services/people-organisation/publications/workforce-of-the-future.html" TargetMode="External"/><Relationship Id="rId17" Type="http://schemas.openxmlformats.org/officeDocument/2006/relationships/hyperlink" Target="https://www.gov.uk/government/uploads/system/uploads/attachment_data/file/183544/2001part1-foreword2001.pdf" TargetMode="External"/><Relationship Id="rId25" Type="http://schemas.openxmlformats.org/officeDocument/2006/relationships/hyperlink" Target="https://research.qut.edu.au/dmrc/wp-content/uploads/sites/5/2018/03/Factsheet-1-Creative-Employment-overview-V5.pdf" TargetMode="External"/><Relationship Id="rId33" Type="http://schemas.openxmlformats.org/officeDocument/2006/relationships/hyperlink" Target="http://www.abs.gov.au/AUSSTATS/abs@.nsf/allprimarymainfeatures/D249EC2A7DC203BACA257B9500133E91?opendocument" TargetMode="External"/><Relationship Id="rId38" Type="http://schemas.openxmlformats.org/officeDocument/2006/relationships/hyperlink" Target="https://www.escoe.ac.uk/wp-content/uploads/2018/08/ESCoE-DP-2018-13.pdf" TargetMode="External"/><Relationship Id="rId2" Type="http://schemas.openxmlformats.org/officeDocument/2006/relationships/hyperlink" Target="https://www.pwc.co.uk/services/economics-policy/insights/uk-economic-outlook/march-2017.html" TargetMode="External"/><Relationship Id="rId16" Type="http://schemas.openxmlformats.org/officeDocument/2006/relationships/hyperlink" Target="http://bear.warrington.ufl.edu/weitz/mar7786/articles/amabile%20ccal%20mgt%20review.pdf" TargetMode="External"/><Relationship Id="rId20" Type="http://schemas.openxmlformats.org/officeDocument/2006/relationships/hyperlink" Target="https://eprints.qut.edu.au/92726/1/Applying%20NESTA%27s%20definition%20to%20Australian%20Census%20Data.pdf" TargetMode="External"/><Relationship Id="rId29" Type="http://schemas.openxmlformats.org/officeDocument/2006/relationships/hyperlink" Target="https://www.communications.gov.au/publications/cultural-and-creative-activity-australia-2008-09-2016-17" TargetMode="External"/><Relationship Id="rId1" Type="http://schemas.openxmlformats.org/officeDocument/2006/relationships/hyperlink" Target="https://www.mckinsey.com/global-themes/digital-disruption/harnessing-automation-for-a-future-that-works" TargetMode="External"/><Relationship Id="rId6" Type="http://schemas.openxmlformats.org/officeDocument/2006/relationships/hyperlink" Target="https://www.pwc.co.uk/services/economics-policy/insights/uk-economic-outlook/march-2017.html" TargetMode="External"/><Relationship Id="rId11" Type="http://schemas.openxmlformats.org/officeDocument/2006/relationships/hyperlink" Target="https://www.pwc.co.uk/assets/pdf/pwc-uk-economic-outlookreport-march2015.pdf" TargetMode="External"/><Relationship Id="rId24" Type="http://schemas.openxmlformats.org/officeDocument/2006/relationships/hyperlink" Target="https://research.qut.edu.au/dmrc/wp-content/uploads/sites/5/2018/03/Factsheet-1-Creative-Employment-overview-V5.pdf" TargetMode="External"/><Relationship Id="rId32" Type="http://schemas.openxmlformats.org/officeDocument/2006/relationships/hyperlink" Target="http://www.abs.gov.au/AUSSTATS/abs@.nsf/Lookup/1220.0Main+Features12013,%20Version%201.2?OpenDocument" TargetMode="External"/><Relationship Id="rId37" Type="http://schemas.openxmlformats.org/officeDocument/2006/relationships/hyperlink" Target="https://www.ncver.edu.au/research-and-statistics/publications/all-publications/internet-job-postings-preliminary-skills-analysis/internet-job-postings-trending-and-emerging-skills-infographic" TargetMode="External"/><Relationship Id="rId5" Type="http://schemas.openxmlformats.org/officeDocument/2006/relationships/hyperlink" Target="https://www.mckinsey.com/global-themes/digital-disruption/harnessing-automation-for-a-future-that-works" TargetMode="External"/><Relationship Id="rId15" Type="http://schemas.openxmlformats.org/officeDocument/2006/relationships/hyperlink" Target="https://www.communications.gov.au/publications/cultural-and-creative-activity-australia-2008-09-2016-17" TargetMode="External"/><Relationship Id="rId23" Type="http://schemas.openxmlformats.org/officeDocument/2006/relationships/hyperlink" Target="http://bfi.org.uk/sites/bfi.org.uk/files/downloads/redefining-the-independent-film-value-chain.pdf" TargetMode="External"/><Relationship Id="rId28" Type="http://schemas.openxmlformats.org/officeDocument/2006/relationships/hyperlink" Target="http://lmip.gov.au/PortalFile.axd?FieldID=2787734&amp;.xlsx" TargetMode="External"/><Relationship Id="rId36" Type="http://schemas.openxmlformats.org/officeDocument/2006/relationships/hyperlink" Target="https://www.communications.gov.au/publications/cultural-and-creative-activity-australia-2008-09-2016-17" TargetMode="External"/><Relationship Id="rId10" Type="http://schemas.openxmlformats.org/officeDocument/2006/relationships/hyperlink" Target="https://www.pwc.co.uk/services/economics-policy/insights/uk-economic-outlook/march-2017.html" TargetMode="External"/><Relationship Id="rId19" Type="http://schemas.openxmlformats.org/officeDocument/2006/relationships/hyperlink" Target="https://eprints.qut.edu.au/92726/1/Applying%20NESTA%27s%20definition%20to%20Australian%20Census%20Data.pdf" TargetMode="External"/><Relationship Id="rId31" Type="http://schemas.openxmlformats.org/officeDocument/2006/relationships/hyperlink" Target="https://eprints.qut.edu.au/92726/1/Applying%20NESTA%27s%20definition%20to%20Australian%20Census%20Data.pdf" TargetMode="External"/><Relationship Id="rId4" Type="http://schemas.openxmlformats.org/officeDocument/2006/relationships/hyperlink" Target="https://industry.gov.au/Office-of-the-Chief-Economist/Research-Papers/Pages/Mechanical-boon-will-automation-advance-Australia.aspx" TargetMode="External"/><Relationship Id="rId9" Type="http://schemas.openxmlformats.org/officeDocument/2006/relationships/hyperlink" Target="http://www.alphabeta.com/the-automation-advantage/" TargetMode="External"/><Relationship Id="rId14" Type="http://schemas.openxmlformats.org/officeDocument/2006/relationships/hyperlink" Target="https://www2.deloitte.com/au/en/pages/technology/articles/tech-trends.html" TargetMode="External"/><Relationship Id="rId22" Type="http://schemas.openxmlformats.org/officeDocument/2006/relationships/hyperlink" Target="http://www.australiacouncil.gov.au/workspace/uploads/files/making-art-work-throsby-report-5a05106d0bb69.pdf" TargetMode="External"/><Relationship Id="rId27" Type="http://schemas.openxmlformats.org/officeDocument/2006/relationships/hyperlink" Target="https://pec.ac.uk/publications/Creativity_and_the_Future_of_Skills_v7.pdf" TargetMode="External"/><Relationship Id="rId30" Type="http://schemas.openxmlformats.org/officeDocument/2006/relationships/hyperlink" Target="http://www.abs.gov.au/AUSSTATS/abs@.nsf/allprimarymainfeatures/E5E795BF83494111CA2582AC0019C79C?opendocument" TargetMode="External"/><Relationship Id="rId35" Type="http://schemas.openxmlformats.org/officeDocument/2006/relationships/hyperlink" Target="http://www.ausstats.abs.gov.au/ausstats/subscriber.nsf/0/EFFE2547EC51F5AACA257C78000C1B53/$File/52710_2008-09.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BCAR">
      <a:dk1>
        <a:srgbClr val="231F20"/>
      </a:dk1>
      <a:lt1>
        <a:srgbClr val="FFFFFF"/>
      </a:lt1>
      <a:dk2>
        <a:srgbClr val="0066AB"/>
      </a:dk2>
      <a:lt2>
        <a:srgbClr val="E4E4E4"/>
      </a:lt2>
      <a:accent1>
        <a:srgbClr val="00B8B7"/>
      </a:accent1>
      <a:accent2>
        <a:srgbClr val="BAD764"/>
      </a:accent2>
      <a:accent3>
        <a:srgbClr val="FFCB05"/>
      </a:accent3>
      <a:accent4>
        <a:srgbClr val="2E3192"/>
      </a:accent4>
      <a:accent5>
        <a:srgbClr val="C49A6C"/>
      </a:accent5>
      <a:accent6>
        <a:srgbClr val="76848F"/>
      </a:accent6>
      <a:hlink>
        <a:srgbClr val="0066AB"/>
      </a:hlink>
      <a:folHlink>
        <a:srgbClr val="0066AB"/>
      </a:folHlink>
    </a:clrScheme>
    <a:fontScheme name="BCAR">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5E3A57EF42484D8B194BCF43214089" ma:contentTypeVersion="0" ma:contentTypeDescription="Create a new document." ma:contentTypeScope="" ma:versionID="3ba73bcc6edb73fc48aac1b8d85822f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49252-79DE-4C64-9C46-4F1369E8F681}">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C96AC3E5-88DC-44B5-90DC-A42943DCD1FF}">
  <ds:schemaRefs>
    <ds:schemaRef ds:uri="http://schemas.microsoft.com/sharepoint/v3/contenttype/forms"/>
  </ds:schemaRefs>
</ds:datastoreItem>
</file>

<file path=customXml/itemProps3.xml><?xml version="1.0" encoding="utf-8"?>
<ds:datastoreItem xmlns:ds="http://schemas.openxmlformats.org/officeDocument/2006/customXml" ds:itemID="{6351E7B2-0984-494B-B4E8-4DDB804DB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DDFA944-387B-4D5D-934B-1BAB873E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9707</Words>
  <Characters>55332</Characters>
  <Application>Microsoft Office Word</Application>
  <DocSecurity>4</DocSecurity>
  <Lines>461</Lines>
  <Paragraphs>129</Paragraphs>
  <ScaleCrop>false</ScaleCrop>
  <HeadingPairs>
    <vt:vector size="2" baseType="variant">
      <vt:variant>
        <vt:lpstr>Title</vt:lpstr>
      </vt:variant>
      <vt:variant>
        <vt:i4>1</vt:i4>
      </vt:variant>
    </vt:vector>
  </HeadingPairs>
  <TitlesOfParts>
    <vt:vector size="1" baseType="lpstr">
      <vt:lpstr>Creative skills for the future economy</vt:lpstr>
    </vt:vector>
  </TitlesOfParts>
  <Company>Department of Communications and the Arts</Company>
  <LinksUpToDate>false</LinksUpToDate>
  <CharactersWithSpaces>64910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skills for the future economy</dc:title>
  <dc:subject/>
  <dc:creator>Department of Communications and the Arts</dc:creator>
  <cp:keywords/>
  <dc:description>24 July 2018</dc:description>
  <cp:lastModifiedBy>Department of Communications and the Arts</cp:lastModifiedBy>
  <cp:revision>2</cp:revision>
  <cp:lastPrinted>2019-01-22T01:09:00Z</cp:lastPrinted>
  <dcterms:created xsi:type="dcterms:W3CDTF">2019-01-22T03:39:00Z</dcterms:created>
  <dcterms:modified xsi:type="dcterms:W3CDTF">2019-01-22T03:39:00Z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0x010100025E3A57EF42484D8B194BCF43214089</vt:lpwstr>
  </property>
  <property fmtid="{D5CDD505-2E9C-101B-9397-08002B2CF9AE}" pid="3" name="TrimRevisionNumber">
    <vt:i4>1</vt:i4>
  </property>
</Properties>
</file>